
<file path=[Content_Types].xml><?xml version="1.0" encoding="utf-8"?>
<Types xmlns="http://schemas.openxmlformats.org/package/2006/content-types">
  <Default Extension="xlsx" ContentType="application/vnd.openxmlformats-officedocument.spreadsheetml.sheet"/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charts/chart11.xml" ContentType="application/vnd.openxmlformats-officedocument.drawingml.chart+xml"/>
  <Override PartName="/word/charts/chart10.xml" ContentType="application/vnd.openxmlformats-officedocument.drawingml.chart+xml"/>
  <Override PartName="/word/charts/chart9.xml" ContentType="application/vnd.openxmlformats-officedocument.drawingml.chart+xml"/>
  <Override PartName="/word/charts/chart8.xml" ContentType="application/vnd.openxmlformats-officedocument.drawingml.chart+xml"/>
  <Override PartName="/word/charts/chart7.xml" ContentType="application/vnd.openxmlformats-officedocument.drawingml.chart+xml"/>
  <Override PartName="/word/charts/chart6.xml" ContentType="application/vnd.openxmlformats-officedocument.drawingml.chart+xml"/>
  <Override PartName="/word/charts/chart5.xml" ContentType="application/vnd.openxmlformats-officedocument.drawingml.chart+xml"/>
  <Override PartName="/word/charts/chart2.xml" ContentType="application/vnd.openxmlformats-officedocument.drawingml.chart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hart1.xml" ContentType="application/vnd.openxmlformats-officedocument.drawingml.chart+xml"/>
  <Override PartName="/word/charts/chart3.xml" ContentType="application/vnd.openxmlformats-officedocument.drawingml.chart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Override1.xml" ContentType="application/vnd.openxmlformats-officedocument.themeOverride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2.xml" ContentType="application/vnd.openxmlformats-officedocument.drawingml.chart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jc w:val="center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ИНФОРМАЦИЯ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contextualSpacing/>
        <w:jc w:val="center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 ХОДЕ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ВЫПОЛНЕНИЯ МЕРОПРИЯТИЙ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РЕГИОНАЛЬНОЙ ПРОГРАММЫ ПРОТИВОДЕЙСТВИЯ КОРРУПЦИИ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ТОМСКОЙ ОБЛАСТИ В 2025 ГОДУ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contextualSpacing/>
        <w:jc w:val="center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Мониторинг антикоррупционного законодательства, принятие нормативных правовых актов Томской области, направленных на противодействие коррупции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Департаментом по профилактике коррупционных и иных правонарушений Администрации Томской области (далее – Департамент) разработано 5 правовых актов, направленных на противодействие коррупции: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распоряжение Администрации Томской области от 10.02.2025 № 90-ра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«Об утверждении региональной программы противодействия коррупции                       в Томской области на 2025 – 2028 годы»;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 распоряжение Администрации Томской области от 28.03.2025 № 238-ра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«Об установлении Порядка представления лицами, поступающими на должность руководителя областного государственного учреждения, в отношении которого функции и полномочия учредителя осуществляет Администрация Томской области,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руководителями областных государственных учреждений, в отношении которых функции и полномочия учредителя осуществляет Администрация Томской области, сведений о своих доходах, об имуществе и обязательствах имущественного характера, а также 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доходах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об имуществе и обязательствах имущественного характера своих супруга (супруги) и несовершеннолетних детей»;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3) распоряжение Администрации Томской области от 18.07.2025 № 502-ра «Об утверждении мер по предупреждению коррупции для работников Администрации Томской области»;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4) распоряжение Администрации Томской области от 05.08.2025 № 537-ра     «Об  утвержде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нии Порядка размещения сведений о доходах, об имуществе                            и обязательствах имущественного характера руководителей областных государственных учреждений Томской области, а также сведений о доходах,                     об имуществе 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обязательствах имущественного характера своих супруга (супруги)            и несовершеннолетних детей на официальных сайтах исполнительных органов Томской области, осуществляющих функции и полномочия учредителей областных государственных учреждений Томской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области, и предоставления этих сведений средствам массовой информации для опубликования»;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5) распоряжение Администрации Томской области от 15.10.2025 № 708-ра           «Об утверждении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Кодекса этики и служебного поведения государственных гражданских служащих Томской области, проходящих службу в Администрации Томской области, работников Администрации Томской области, осуществляющих трудовую деятельность на основании  трудового договора».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этого Департаментом подготовлено 1 заключение на проект распоряжения Администрации Томской области и 8 заключений на проекты законов Томской 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За отчетный период лицами, ответственными за профилактику коррупционных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ины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х правонарушений во всех органах государственной власти, органах местного самоуправления Томской области, осуществлялся постоянный мониторинг антикоррупционного законодательства, приняты нормативные правовые акты, направленные на противодействие коррупции.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мониторинга антикоррупционного законодательства                               в 2025 году органами местного самоуправления Томской области принято 22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нормативных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правовых акта, направленных на противодействие коррупции.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Анализ содерж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ания действующих нормативных правовых и иных актов             в сфере противодействия коррупции и приведение их в соответствие                               с законодательством Российской Федерации по вопросам противодействия коррупции (при необходимости)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целях приведения действующих нормативных правовых актов в сфере противодействия коррупции в соответствие с законодательством Российской Федерации и региональным законодательством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Департаментом по профилактике коррупционных и иных правонарушений Администрации Томской области                  в 2025 году внесены соответствующие изменения в 11 правовых актов Томской области: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постановление Администрации Томской области от 28.02.2013 № 65а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«Об утверждении Положения о предоставлении лицами, поступающими                            на должность руководителя областного государственного учреждения                    Томской области, и руководителями областных государственных учреждений Томской об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ласти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детей»             (3 изменения: постановление от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16.01.2025 № 8а, постановление от 08.04.2025                   № 156а, постановление от 28.08.2025 № 397а);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 постановление Администрации Томской области от 16.09.2010 № 180а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«О Комиссии Администрации Томской области по соблюдению требований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к служебному поведению государственных гражданских служащих Томск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ой области, проходящих службу в Администрации Томской области либо являющихся руководителями исполнительных органов Томской области, и урегулированию конфликта интересов» (2 изменения: постановление от 27.02.2025 № 76а, постановление от 28.08.2025 № 397а);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3) распоряжение Губернатора Томской области от 24.07.2020 № 158-р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«Об определении уполномоченного должностного лица» (распоряжение от 20.05.2025 № 136-р);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4) постановление Губернатора Томской области от 11.06.2009 № 37 «Об утверждении Порядка уведомления представителя нанимателя о фактах обращения в целях склонения государственного гражданского служащего Томской области,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проходящего службу в Администрации Томской области, либо руководителя исполнительного органа Томской области к совершению коррупционных правонарушений и организации проверки этих сведений» (постановление                                от 18.07.2025 № 55);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5) постановление Губернатора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Томской области от 20.04.2010 № 29 «Об обеспечении реализации статей 8, 8-1 Закона Томской области                                    от 9 декабря 2005 года № 231-ОЗ «О государственной гражданской службе Томской области» (постановление от 18.07.2025 № 55);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6) постановление Губернатора Томской области от 25.04.2017 № 36 «Об утверждении Положения о Департаменте по профилактике коррупционных                   и иных правонарушений Администрации Томской области» (постановление от 18.07.2025 № 55);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7) распоряжение Губернатора Томской области от 17.12.2009 № 365-р «Об утверждении карты коррупционных рисков исполнительных органов Томской области» (2 изменения: распоряжение от 29.09.2025 № 263-р, распоряжение от 19.12.2025 № 340-р);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8) распоряжение Администрации Томской области от 07.02.2023 № 77-ра «Об определении Порядка использования государственной информационной системы в области противодействия корруп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ции «Посейдон» в Администрации Томской области и Перечня должностных лиц Администрации Томской области, уполномоченных на работу с государственной информационной системой в области противодействия коррупции «Посейдон» (распоряжение от 29.09.2025 № 658-ра);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9) постановление Администрации Томской области от 13.01.2010 № 4а                 «Об утвержде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нии Положения о порядке осуществления проверки достоверности                  и полноты сведений, представляемых государственными гражданскими служащими Томской области, занимающими должности в исполнительных органах Томской области, гражданами, претендующ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ими на замещение должностей государственной гражданской службы Томской области в исполнительных органах Томской области,            и соблюдения государственными гражданскими служащими Томской области, занимающими должности в исполнительных органах Томской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области, требований             к служебному поведению» (постановление от 14.11.2025 № 518а);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10) постановление Администрации Томской области от 28.02.2013 № 64а               «Об утверждении Положения о порядке осуществления проверки достоверности                            и полноты сведений о доход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ах, об имуществе и обязательствах имущественного характера, предоставляемых лицами, поступающими на должность руководителя областного государственного учреждения Томской области, и лицами, замещающими данные должности» (постановление от 14.11.2025 № 518а);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11) распоряжение Администрации Томской области от 18.07.2025 № 502-ра «Об утверждении мер по предупреждению коррупции для работников Администрации Томской области» (постановление от 18.12.2025 № 852-ра).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органами местного самоуправления Томской области приведено               в соответствие с законодательством Российской Федерации 59 действующих нормативных правовых и иных актов в сфере противодействия коррупции.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с соблюдением требований законодательства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 государственной гражданской и муниципальной службе, о противодействии коррупции проверок достоверности и полноты сведений о доходах, расходах, об имуществе                             и обязательствах имущественного характера, представляемых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служащими  Томской области; лицами, замещающими государственные должности Томской области и муниципальные должности в Томской области; гражданами, претендующими на замещение указанных должностей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отчетном периоде в органах государственной власти Томской области организовано проведение 36 проверок достоверности и полноты сведений о доходах, расходах, об имуществе и обязательствах имущественного характера, из них: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tbl>
      <w:tblPr>
        <w:tblStyle w:val="805"/>
        <w:tblW w:w="9072" w:type="dxa"/>
        <w:tblInd w:w="8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11 -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shd w:val="clear" w:color="auto" w:fill="ffffff" w:themeFill="background1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Департаментом по профилактике коррупционных и иных правонарушений Админис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трации Томской области (их них:                         в отношении 2 лиц, замещающих государственные должности Томской области, 8 государственных гражданских служащих Администрации Томской области, 1 руководителя исполнительного органа Томской области); 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6 -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shd w:val="clear" w:color="auto" w:fill="ffffff" w:themeFill="background1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Департаментом градостроительного развития Томской области;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2 -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Департаментом инвестиционной и промышленной политики Томской области;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2 -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Департаментом образования Томской области;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3 -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Департаментом лесного хозяйства Томской области;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1 -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Департаментом природных ресурсов и охраны окружающей среды Томской области;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1188"/>
        </w:trPr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6 -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2 -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3 -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Департаментом транспорта, дорожной деятельности и связи Томской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области;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Инспекцией государственного технического надзора Томской области;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Законодательной Думой Томской области.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</w:tbl>
    <w:p>
      <w:pPr>
        <w:ind w:left="425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909095" cy="4563373"/>
            <wp:effectExtent l="0" t="0" r="0" b="8890"/>
            <wp:docPr id="1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органах местного самоуправления Томской области проведено 116 проверок достоверности и полноты сведений о доходах, расходах, об имуществе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обязательствах имущественного характера, из них: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tbl>
      <w:tblPr>
        <w:tblStyle w:val="805"/>
        <w:tblW w:w="0" w:type="auto"/>
        <w:jc w:val="center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558"/>
        <w:gridCol w:w="7041"/>
      </w:tblGrid>
      <w:tr>
        <w:tblPrEx/>
        <w:trPr>
          <w:jc w:val="center"/>
          <w:trHeight w:val="369"/>
        </w:trPr>
        <w:tc>
          <w:tcPr>
            <w:tcW w:w="55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5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7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  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Парабельский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муниципальный район Томской области,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jc w:val="center"/>
          <w:trHeight w:val="369"/>
        </w:trPr>
        <w:tc>
          <w:tcPr>
            <w:tcW w:w="55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6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7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  Городской округ Стрежевой Томской области,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jc w:val="center"/>
          <w:trHeight w:val="369"/>
        </w:trPr>
        <w:tc>
          <w:tcPr>
            <w:tcW w:w="55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7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7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  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Колпашевский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муниципальный район Томской области,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jc w:val="center"/>
          <w:trHeight w:val="355"/>
        </w:trPr>
        <w:tc>
          <w:tcPr>
            <w:tcW w:w="55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13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7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  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Шегарский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муниципальный район Томской области,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jc w:val="center"/>
          <w:trHeight w:val="369"/>
        </w:trPr>
        <w:tc>
          <w:tcPr>
            <w:tcW w:w="55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34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7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  Городской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округ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ЗАТО Северск Томской области,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jc w:val="center"/>
          <w:trHeight w:val="383"/>
        </w:trPr>
        <w:tc>
          <w:tcPr>
            <w:tcW w:w="55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51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7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  Город Томск.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</w:tbl>
    <w:p>
      <w:pPr>
        <w:jc w:val="both"/>
        <w:shd w:val="clear" w:color="auto" w:fill="ffffff" w:themeFill="background1"/>
        <w:tabs>
          <w:tab w:val="left" w:pos="113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left="709"/>
        <w:jc w:val="both"/>
        <w:shd w:val="clear" w:color="auto" w:fill="ffffff" w:themeFill="background1"/>
        <w:tabs>
          <w:tab w:val="left" w:pos="113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486400" cy="3234905"/>
            <wp:effectExtent l="38100" t="0" r="0" b="381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По результатам проведенных проверок достоверности и полноты сведений              о доходах в органах государственной власти Томской области меры ответственности за коррупционные правонарушения применены в отношении: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1)  16 гражданских служащих Томской области, включая руководителей исполнительных органов Томской области: 3 – в виде выговора; 13 – в виде замечания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2) 1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лица, замещающего государственную должность Томской области –                  в виде замечания.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При этом в отношении 1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лица, замещающего государственную должность  Томской области, по состоянию на 31.12.2025 проверка не завершена.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 связи с подтвержденными нарушениями, выявленными при анализе справок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br/>
        <w:t xml:space="preserve">о доходах, а также признанием факта совершения коррупционного правонарушения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br/>
        <w:t xml:space="preserve">и дачи согласия на применение взыскания в упрощенном порядке, предусмотренном частью 1 статьи 59.3 Федерального закона от 27 июля 2004 года № 79-ФЗ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br/>
        <w:t xml:space="preserve">«О государственной гражданской службе Российской Федерации»,                                       1  государственный гражданский служащий в Департаменте по молодежной политике Томской области привлечен к юридической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ответственности в виде выговора.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По результатам проверок в органах местного самоуправления Томской области меры ответственности за коррупционные правонарушения применены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 отношении 50 муниципальных служащих (41 – замечание, 7 – выговор,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br/>
        <w:t xml:space="preserve">2 – увольнение).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Кроме этого, Департаментом по профилактике коррупционных и иных правонарушений Администрации Томской области в 2025 году проведены                           4 проверки достоверности и полноты сведений о доходах, расходах,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br/>
        <w:t xml:space="preserve">об имуществе и обязательствах имущественного характера в отношении глав сельских поселений. Еще одна проверка по состоянию на 31.12.2025 находилась                 на стадии завершения.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По результатам указа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нных проверок представительными органами местного самоуправления муниципальных образований Томской области к лицам, замещающим муниципальные должности, применены меры ответственности:                        1 – в виде предупреждения, 1 – в виде замечания.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 отношении 2 лиц заявления о применении мер ответственности                           на 31.12.2025 находились на рассмотрении в представительных органах местного самоуправления муниципальных образований Томской области.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6257030" cy="2381186"/>
            <wp:effectExtent l="0" t="0" r="0" b="63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проверок соблюдения служащими Томской области,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а также лицами, замещающими государственные должности Томской области                                  и муниципальные должности в Томской области, требований к служебному поведению и (или) требований об урегулировании конфликта интересов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отчетном периоде в органах государственной власти Томской области проведены 2 проверки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соблюдения гражданскими служащими ограничений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br/>
        <w:t xml:space="preserve">и запретов, требований о предотвращении или урегулировании конфликта интересов, исполнения ими обязанностей, установленных федеральными законами в целях противодействия коррупции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из них: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2 - Департаментом по профилактике коррупционных и иных правонарушений Администрации Томской области (2 - за непринятие мер по предотвращению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урегулированию конфликта интересов).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указанных проверок к 1 государственному гражданскому    служащему Томской области применена мера ответственности за коррупционные правонарушения в виде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предупреждения о неполном должностном соответствии;  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 1 государственному гражданскому служащему Томской области мера юридической ответственности не применена, указано на недопустимость нарушения требований антикоррупционного законодательства.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Кроме того, по состоянию на конец отчетного периода (декабрь 2025 года)               в Департаменте по социально-экономическому развитию села Томской области организовано  проведение проверки 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облюдения ограничений и запретов, требований о предотвращении конфликта интересов и неисполнение обязанностей, установленных в целях противодействия коррупции в отношении 1 государственного гражданского служащего.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отчетном периоде в муниципальном образовании «Город Томск» проведены 23 проверки соблюдения муниципальными служащими установленных ограничений, запретов, требований о предотвращении или урегулировании конфликта интересов.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указанных проверок меры ответственности за коррупционные правонарушения применены: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к 3 муниципальным служащим (3 – замечание) (за несоблюдение ограничений и запретов);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к 1 муниципальному служащему (1 – увольнение) (за непринятие мер                      по предотвращению и урегулированию конфликта интересов).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left="567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764695" cy="1852653"/>
            <wp:effectExtent l="4762" t="4762" r="4762" b="4762"/>
            <wp:docPr id="4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left="567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764695" cy="1804945"/>
            <wp:effectExtent l="0" t="0" r="7620" b="5080"/>
            <wp:docPr id="5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Также в 2025 году от государственных гражданских служащих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              Томской области поступило 18 уведомлений о возможном возникновении                  личной заинтересованности при исполнении должностных обязанностей,                    которая приводит или может привести к конфликту интересов, из них: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6 – в Администрацию Томской области;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 – в </w:t>
      </w:r>
      <w:hyperlink r:id="rId17" w:tooltip="http://depzhkh.tomsk.gov.ru/" w:history="1">
        <w:r>
          <w:rPr>
            <w:rFonts w:ascii="PT Astra Serif" w:hAnsi="PT Astra Serif" w:eastAsia="PT Astra Serif" w:cs="PT Astra Serif"/>
            <w:sz w:val="26"/>
            <w:szCs w:val="26"/>
            <w:highlight w:val="white"/>
          </w:rPr>
          <w:t xml:space="preserve">Департамент ЖКХ и государственного жилищного надзора Томской области</w:t>
        </w:r>
      </w:hyperlink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 – в </w:t>
      </w:r>
      <w:hyperlink r:id="rId18" w:tooltip="http://depzdrav.tomsk.gov.ru/" w:history="1">
        <w:r>
          <w:rPr>
            <w:rFonts w:ascii="PT Astra Serif" w:hAnsi="PT Astra Serif" w:eastAsia="PT Astra Serif" w:cs="PT Astra Serif"/>
            <w:sz w:val="26"/>
            <w:szCs w:val="26"/>
            <w:highlight w:val="white"/>
          </w:rPr>
          <w:t xml:space="preserve">Департамент здравоохранения Томской области</w:t>
        </w:r>
      </w:hyperlink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 – в Департамент лесного хозяйства Томской области;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7 – в Департамент образования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10 уведомлений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рассмотрены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представителями нанимателей (работодателями) государственных гражданских служащих, 8 уведомлений рассмотрены на заседаниях комиссий по соблюдению требований к служебному поведению государственных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гражданских служащих и урегулированию конфликта интересов.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итогам рассмотрения уведомлений в 16 случаях приняты меры по урегулированию конфликта интересов или по недопущению его возникновения путем изменения должностного или служебного положения служащего (из них в 6 случ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аях путем отстранения служащих от исполнения должностных (служебных) обязанностей),           в 10 случаях приняты меры в иной форме предотвращения или урегулирования конфликта интересов), в 2 случаях приняты решения, что личная заинтересованность, которая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может привести к конфликту интересов, отсутствует.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От муниципальных служащих Томской области в 2025 году поступило 54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Указанные уведомления рассмотрены на заседаниях комиссий по соблюдению требований к служебному поведению муниципальных служащих и урегулированию конфликта интересов.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14 случаях приняты меры по урегулированию конфликта интересов или по недопущению его возникновения путем изменения должностного или служебного положения служащего (из них в 1 случае путем отстр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анения служащего                           от исполнения должностных (служебных) обязанностей), в 2 случаях приняты меры            в виде отвода или самоотвода и в 28 случаях приняты меры в иной форме предотвращения или урегулирования конфликта интересов.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Осуществление контроля за соотве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тствием расходов лиц, замещающих государственные должности Томской области, муниципальные должности                           в Томской области, должности государственной гражданской службы                        Томской области, муниципальной службы в Том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ской области, и иных лиц их доходам в соответствии с требованиями Федерального закона от 3 декабря 2012 года                    № 230-ФЗ «О контроле за соответствием расходов лиц, замещающих государственные должности, и иных лиц их доходам» и постановления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            Губернатора Томской области от 08.08.2013 № 88 «О принятии решений                           об осуществлении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контроля за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расходами лиц, замещающих государственные должности Томской области, иных должностных лиц, а также за расходами                    их супруг (супругов) и несовершеннолетних детей» 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</w:t>
      </w:r>
      <w:hyperlink r:id="rId19" w:tooltip="http://dor.tomsk.gov.ru/" w:history="1">
        <w:r>
          <w:rPr>
            <w:rFonts w:ascii="PT Astra Serif" w:hAnsi="PT Astra Serif" w:eastAsia="PT Astra Serif" w:cs="PT Astra Serif"/>
            <w:sz w:val="26"/>
            <w:szCs w:val="26"/>
            <w:highlight w:val="white"/>
          </w:rPr>
          <w:t xml:space="preserve">Департаментом охотничьего и рыбного хозяйства Томской области</w:t>
        </w:r>
      </w:hyperlink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осущес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твлен контроль за расходами 1 служащего, по результатам которого установлено, что представленные в соответствии с требованиями части 1 статьи                 3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Федерального закона от 3 декабря 2012 года № 230-ФЗ «О контроле                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за соответствием расходов лиц, замещающих государственные должности, и иных лиц их доходам» сведения являются достоверными и полными, обстоятельства, свидетельствующие 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несоответствии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расходов служащего его доходам и доходам супруги, не установлены.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Анализ сведений, содержащихся в анкетах лиц, представляемых                     при назначении на государственные должности Томской области, должности государственной гражданской службы Томской области, муниципальн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ые должности в Томской области, должности муниципальной службы                                      в Томской области, об их родственниках и свойственниках в целях выявления возможного конфликта интересов, в том числе с учетом внесенных в анкеты изменений.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Рассмотрение доклада о результатах исполнения настоящего пункта                       на заседаниях комиссий по соблюдению требований к служебному поведению                       и урегулированию конфликта интересов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целях выявления возможного конфликта интересов Департаментом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по профи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лактике коррупционных и иных правонарушений Администрации       Томской области (далее – Департамент), кадровыми службами органов государственной власти Томской области, органов местного самоуправления муниципальных образований Томской области не реже одно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го раза в полугодие проводится анализ сведений, содержащихся в анкетах лиц, представляемых                    при назначении на государственные должности, должности государственной гражданской службы, муниципальные должности, должности муниципальной службы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Томской области, об их родственниках и свойственниках (далее – сведения, анкеты).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первой половине 2025 года Департаментом изучены сведения                                  о родственниках и свойственниках: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 62 государственных гражданских служащих Администрации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Томской области, из них: 15 - государственных гражданских служащих, замещающих должности руководителей структурных подразделений Администрации                   Томской области, 47 - государственных гражданских служащих Администрации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анализа сведений случаев, указывающих на возможность возникновения ситуаций конфликтов интересов, среди указанных государственных гражданских служащих, не выявлено. Вместе с тем, 1 гос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ударственным гражданским служащим Администрации Томской области, в связи с установлением в ходе анализа факта непредставления актуальной информации о месте работы отца, представлено сообщение об изменении сведений, содержащихся в анкете, в названной части;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 29 лиц, замещающих должности руководителей исполнительных органов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анализа сведений выявлена ситуация возможности возникновения конфликта интересов в отношении 1 государственного </w:t>
      </w:r>
      <w:r>
        <w:rPr>
          <w:rFonts w:ascii="PT Astra Serif" w:hAnsi="PT Astra Serif" w:eastAsia="PT Astra Serif" w:cs="PT Astra Serif"/>
          <w:strike w:val="0"/>
          <w:color w:val="auto"/>
          <w:sz w:val="26"/>
          <w:szCs w:val="26"/>
          <w:highlight w:val="white"/>
        </w:rPr>
        <w:t xml:space="preserve">служащего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 По данному факту проведена проверка соблюдения гражданским служащим ограничений и запретов, требований о предотвращении или урегулировании конфликта интересов, 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сполнения им обязанностей, установленных Федеральным законом от 25.12.2008 № 273-ФЗ «О противодействии коррупции» и другими федеральными законами, по итогам которой к должностному лицу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применено взыскание в виде неполного должностного соответствия.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Во второй половине 2025 года Департаментом изучены сведения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о родственниках и свойственниках  назначенных в период с 01.01.2025 по 08.12.2025: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 9  государственных гражданских служащих Администрации Томской области категории «руководители», «помощники» (советники)»;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  4  руководителей исполнительных органов Томской области.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анализа сведений выявлена ситуац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ия возможности возникновения конфликта интересов в отношении 1 государственного гражданского служащего Администрации Томской области, в связи с чем Департаментом  запрошены дополнительные документы в целях объективной и всесторонней оценки данного факта.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Доклады о результата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х анализа сведений, содержащихся в анкетах лиц, представляемых при назначении на государственные должности, должности государственной гражданской службы, муниципальные должности, должности муниципальной службы Томской области, об их родственниках и свойств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енниках рассматриваются на заседаниях комиссий по соблюдению требований к служебному поведению и урегулированию конфликта интересов органов государственной власти Томской области и органов местного самоуправления  муниципальных образований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851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анализа эффективности деятельности комиссий по соблюдению требований к служебному поведению служащих Томской области и урегулированию конфликт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а интересов, а также работы подразделений кадровых сл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ужб                       (лиц, ответственных за профилактику коррупционных и иных правонарушений)                  в государственных органах Томской области и органах власти Томской области               по профилактике коррупционных и иных правонарушений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органах государственной власти Томской области в 2025 году проведено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114 заседаний комиссий по соблюдению требований к служебному поведению государственных гражданских служащих и урегулированию конфликта интересов (далее – Комиссия), 10 - в Администрации Томской области.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Всего комиссиями рассмотрено 22 материала в отношении государственных гражданских служащих Томской области, а также граждан, ранее замещавших должности государственной гражданской службы Томской области, из которых: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tbl>
      <w:tblPr>
        <w:tblStyle w:val="805"/>
        <w:tblW w:w="9072" w:type="dxa"/>
        <w:tblInd w:w="8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>
        <w:tblPrEx/>
        <w:trPr>
          <w:trHeight w:val="29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3 -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по фактам представления государственными гражданскими служащими недостоверных или неполных сведений о доходах, об имуществе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br/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и обязательствах имущественного характера;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29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2 -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заявления государственных гражданских служащих о невозможности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br/>
              <w:t xml:space="preserve">по объективным причинам представить сведения о доходах на супруга (супругу);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29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1 -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заявление о невозможности выполнить требования о запрете отдельным категориям лиц открывать и иметь счета (вкла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                              в соответствующих случаях;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2 -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касающиеся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несоблюдения государственными гражданскими служащими ограничений и запретов, требований к служебному поведению и (или) требований об урегулировании конфликта интересов;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8 -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уведомлений государственных гражданских служащих о возникновении (возможном возникновении) у них конфликта интересов;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6 -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shd w:val="clear" w:color="auto" w:fill="ffffff" w:themeFill="background1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заявлений государственных гражданских служащих или бывших служащих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</w:tbl>
    <w:p>
      <w:pPr>
        <w:ind w:left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693434" cy="5538159"/>
            <wp:effectExtent l="0" t="0" r="2540" b="571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заседаний указанных Комиссий меры ответственности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за коррупционные правонарушения применены к 1 государственному гражданскому служащему Томской области - за несоблюдение требований к урегулированию конфликта интересов.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органах местного самоуправления Томской области в 2025 году проведено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481 заседание комиссии по соблюдению требований к служебному поведению муниципальных служащих и урегулированию конфликта интересов.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Всего комиссиями рассмотрено 167 материалов в отношении муниципальных служащих,  из которых: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tbl>
      <w:tblPr>
        <w:tblStyle w:val="805"/>
        <w:tblW w:w="9056" w:type="dxa"/>
        <w:tblInd w:w="817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743"/>
        <w:gridCol w:w="8313"/>
      </w:tblGrid>
      <w:tr>
        <w:tblPrEx/>
        <w:trPr>
          <w:trHeight w:val="923"/>
        </w:trPr>
        <w:tc>
          <w:tcPr>
            <w:tcW w:w="743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75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 по фактам представления служащими недостоверных или неполных сведений о доходах, об имуществе и обязательствах имущественного характера;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923"/>
        </w:trPr>
        <w:tc>
          <w:tcPr>
            <w:tcW w:w="743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2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заявления служащих о невозможности по объективным причинам представить сведения о доходах в отношении супруги (супруга)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br/>
              <w:t xml:space="preserve">и несовершеннолетних детей;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615"/>
        </w:trPr>
        <w:tc>
          <w:tcPr>
            <w:tcW w:w="743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57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касающихся несоблюдения требований к служебному поведению             и (или) требований об урегулировании конфликта интересов;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862"/>
        </w:trPr>
        <w:tc>
          <w:tcPr>
            <w:tcW w:w="743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33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заявления бывших служащих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</w:tbl>
    <w:p>
      <w:pPr>
        <w:ind w:firstLine="708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на заседаниях комиссий рассмотрено 314 вопросов профилактики коррупционных правонарушений.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6159260" cy="3485071"/>
            <wp:effectExtent l="38100" t="0" r="0" b="1270"/>
            <wp:docPr id="7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заседаний указанных комиссий меры ответственности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за коррупционные правонарушения применены к 53 муниципальным служащим: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tbl>
      <w:tblPr>
        <w:tblStyle w:val="805"/>
        <w:tblW w:w="8928" w:type="dxa"/>
        <w:tblInd w:w="817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361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к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50 за представление недостоверных или неполных сведений о доходах, об имуществе и обязательствах имущественного характера;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к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3   за несоблюдение требований к служебному поведению.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</w:tbl>
    <w:p>
      <w:pPr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Организация заседаний Комиссии по координации работы                                         по противодействию коррупции в Томской области, подготовка материалов                      к заседаниям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 отчетном пе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риоде проведено 4 заседания Комиссии по координации работы по противодействию коррупции в Томской области под председательством Губернатора Томской области, на которых рассмотрены вопросы согласно утвержденным планам на первое и второе полугодие 2025 года.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На первом заседании рассмотрены вопросы: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1) об организации работы по противодействию коррупции в дорожной деятельности;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2) о мерах по предупреждению коррупции, принимаемых в Департаменте строительства Томской области, в том числе при реализации национальных проектов;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3) о рассмотрении заявления лица, замещающего государственную должность Томской области о невозможности выполнить требования Федерального закона                   от 7 мая 2013 года № 79-ФЗ «О запрете отдельным кате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              и (или) пользоваться иностранными финансовыми инструментами».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На втором заседании рассмотрены вопросы: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1) о мерах по предупреждению коррупции, принимаемых в Департаменте здравоохранения Томской области, в том числе при реализации национальных проектов;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2) о мерах по предупреждению коррупции, принимаемых в Департаменте спорта Томской области, в том числе при реализации национальных проектов.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На третьем заседании рассмотрены вопросы: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1) о мерах, направленных на предупреждение, выявление и пресечение преступлений коррупционной направленности по фактам хищения бюджетных денежных средств;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2) о мерах по предупреждению коррупции, принимаемых в Главной инспекции государственного строительного надзора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На четвертом заседании рассмотрены вопросы: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1) о мерах по предупреждению коррупции, принимаемых в Департаменте                  по культуре Томской области и подведомственных ему учреждениях;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2) о мерах по предупреждению коррупции, принимаемых в Департаменте                    по вопросам семьи и детей Томской области и подведомственных ему учреждениях.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По результатам заседаний Губернатором Томской области ответственным лицам даны соответствующие поручения для исполнения.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С учетом мнения членов Комиссии, исполнительных органов Томской области, органов местного самоуправления муниципальных образований Томской области утвержден План работы Комиссии на 1 полугодие 2026 года.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пров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ерок по воп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росам исполнения законодательства                               о противодействии коррупции в Томской области в исполнительных органах  Томской области, в организациях, подведомственных исполнительным органам Томской области и Администрации Томской области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Департаментом по профилактике коррупционных и иных правонарушений Администрации Томской области проведены проверочные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мероприятия в отношении 11 организаций (учреждений), подведомственных исполнительным органам Томской области.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указанных организациях выявлен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 значительное количество нарушений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     при ведении финансово-хозяйственной деятельности, кадровой работы,                          при осуществлении закупок, при реализации национальных проектов и региональных программ, а также нарушения в части выстраивания антикоррупционной работы.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  <w14:ligatures w14:val="none"/>
        </w:rPr>
      </w:r>
    </w:p>
    <w:p>
      <w:pPr>
        <w:pStyle w:val="790"/>
        <w:ind w:firstLine="709"/>
        <w:jc w:val="both"/>
        <w:rPr>
          <w:rFonts w:ascii="PT Astra Serif" w:hAnsi="PT Astra Serif" w:eastAsia="PT Astra Serif" w:cs="PT Astra Serif"/>
          <w:sz w:val="26"/>
          <w:szCs w:val="26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основании выявленных Департаментом по профилактике коррупционных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иных правонарушений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Администрации Томской области нарушений требований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действующего законодательства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к дисциплинарной ответственности привлечено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40 работников, расторгнуты трудовые отношения с 15 работниками.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  <w14:ligatures w14:val="none"/>
        </w:rPr>
      </w:r>
    </w:p>
    <w:p>
      <w:pPr>
        <w:pStyle w:val="790"/>
        <w:ind w:firstLine="709"/>
        <w:jc w:val="both"/>
        <w:rPr>
          <w:rFonts w:ascii="PT Astra Serif" w:hAnsi="PT Astra Serif" w:eastAsia="PT Astra Serif" w:cs="PT Astra Serif"/>
          <w:color w:val="000000" w:themeColor="text1"/>
          <w:szCs w:val="26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постоянной основе организовано и осуществляется рабочее взаимодействие по вопросам профилактики коррупционных и иных правонарушений с УМВД России по Томской области, УФСБ России по Томской области и другими правоохранительными органами Томской области. </w:t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  <w14:ligatures w14:val="none"/>
        </w:rPr>
      </w:r>
    </w:p>
    <w:p>
      <w:pPr>
        <w:pStyle w:val="790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отчетном периоде в УМВД России по Томской области, Государственную инспекцию труда в Томской области, прокуратуру Томской области, следственное управление Следственного комитета России по Томской области, Управление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Роскомнадзора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по Томской области, Управление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Росгвардии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по Томской области,             Комитет государственного финансового контроля Томской области, УФСБ России            по Томской области, Сибирское межрегиональное управление Федеральной службы по надзору в сфере природопользования г. Томска направлялись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материалы                       для принятия мер реагирования.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ходе работы Департамента непосредственно в государственный бюджет Российской Федерации возвращено 74 378,12 рублей налоговых задолженностей физических лиц.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left="284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left="426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745193" cy="2355012"/>
            <wp:effectExtent l="0" t="0" r="8255" b="762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лицами, ответственными за работу по профилактике коррупции              и иных правонарушений в исполни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тельных органах Томской области, с сотрудниками подведомственных организаций на постоянной основе проводятся разъяснительные беседы, семинары-совещания, направляются памятки, разработанные Администрацией Томской области, по вопросам профилактики коррупции.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антикоррупционной экспертизы нормативных правовых актов Томской области и их проектов с учетом мониторинга соответствующей правоприменительной практики в целях выявления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коррупциогенных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факторов                      и последующего устранения таких факторов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За 2025 год отделом экспертизы правовых актов на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коррупциогенность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Комитета по государственно-правовым вопросам Департамента по государственно-правовым вопросам и законопроектной деятельности Администрации    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проведены плановая антикоррупционная и правовая экспертизы 60 нормативных правовых актов Администрации и Губернатора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Томской области             (далее – нормативные правовые акты).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данных экспертиз в 58 нормативных правовых актах выявлены нормы, содержащие 154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коррупциогенных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фактора, из них: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широта дискреционных полномочий (подп. а) пункта 3 Методики) – 20  случаев;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 определение компетенции по формуле «вправе» (подп. б) пункта 3 Методики) – 4 случая;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3) выборочное изменение объема прав - возможность необоснованног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 установления исключений из общего порядка для граждан и организаций                       по усмотрению государственных органов, органов местного самоуправления                 или организаций (их должностных лиц) (подп. в) пункта 3 Методики) – 2 случая;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4) прин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ятие нормативного правового акта за пределами компетенции - нарушение компетенции государственных органов, органов местного самоуправления или организаций (их должностных лиц) при принятии нормативных правовых актов (подп. д) пункта 3 Методики) – 1 случай;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5) отсутствие или неполнота административных процедур (подп. ж) пункта 3 Методики) – 31 случай;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6) нормативные коллизии (подп. и) пункта 3 Методики) – 30 случаев;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7) наличие завышенных требований к лицу, предъявляемых для реализации принадлежащего ему права, - установление неопределенных, трудновыполнимых            и обременительных требований к гражданам и организациям (подп. а) пункта 4 Методики) – 14 случаев;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8) злоупотребление правом заявителя государственными органами, органами местного самоуправления или организациями (их должностными лицами) - отсутствие четкой регламентации прав граждан и организаций (подп. б пункта 4 Методики) – 3 случая;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9) юридико-лингвистическая неопределенность (подп. в) пункта 4 Методики) – 49 случаев.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по результатам экспертизы в 60 актах, подлежащих антикоррупционной экспертизе (в том числе в актах, в которых выявлены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коррупциогенные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факторы), установлено наличие противоречий действующему законодательству и нарушений правил юридической техники.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Как результат, 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ходе плановой антикоррупционной и правовой экспертизы, проведенной за 2025 год, выявлено 60 нормативных правовых актов с различными правовыми дефектами, что составляет 100 % от общего числа нормативных правовых актов, включенных в план в отчётном периоде.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Все отрицательные заключения направлены разработчикам правовых актов   для внесения необходимых изменений в целях исключения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коррупциогенных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факторов, устранения выявленных противоречий и иных недостатков.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рассмотрения указанных заключений исполнительные органы Томской области и структурные подразделения Администрации Томской области предоставили информацию о подготовке соответствующих проектов нормативных правовых актов о внесении изменений.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Департаментом по государственно-правовым вопросам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законопроектной деятельности Администрации Томской области за отчетный период в текущем порядке была проведена правовая и антикоррупционная экспертиза 550 проектов правовых актов Администрации Томской области, Губернатора Томской области.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в исполнительных органах Томской области, государственных органах Томской области проведена антикоррупционная экспертиза в отношении 2649 проектов нормативных правовых актов.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center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4213611" cy="1901725"/>
            <wp:effectExtent l="4762" t="4762" r="4762" b="4762"/>
            <wp:docPr id="9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Антикоррупционная экспертиза муници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пальных нормативных правовых актов осуществляется органами местного самоуправления муниципальных образований Томской области в соответствии с Планами проведения антикоррупционной экспертизы муниципальных нормативных правовых актов, утверждаемыми ежегодно.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антикоррупционная экспертиза была проведена в отношении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1285 муниципальных нормативных правовых актов и 7389 проектов нормативных правовых актов.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Коррупциогенные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факторы выявлены в 777 проектах нормативных правовых актов и в 94 действующих нормативных правовых актах.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Все выявленные в ходе антикоррупционной экспертизы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коррупциогенные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факторы своевременно устранены.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Обеспечение возможности проведения независимой антикоррупционной экспертизы нормативных правовых актов и их проектов в установленном порядке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Постановлением Админи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страции Томской области от 12.10.2010 № 198а                «О создании условий для проведения независимой антикоррупционной экспертизы проектов нормативных правовых актов» регламентирован порядок работы в области независимой антикоррупционной экспертизы.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Указанное постановление размещено на официальном интернет-портале Администрации Томской области (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val="en-US"/>
        </w:rPr>
        <w:t xml:space="preserve">www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val="en-US"/>
        </w:rPr>
        <w:t xml:space="preserve">tomsk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val="en-US"/>
        </w:rPr>
        <w:t xml:space="preserve">gov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val="en-US"/>
        </w:rPr>
        <w:t xml:space="preserve">ru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) в подразделе «Антикоррупционная экспертиза» раздела «Противодействие коррупции».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целях реализации вышеуказанного постановления на официальных сайтах исполнительных органов Томской области, государственных органов Томской области в подразделе «Антикоррупционная экспертиза» раздела «Противодействие коррупции» созданы усл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овия для проведения независимой антикоррупционной экспертизы проектов нормативных правовых актов, затрагивающих права, свободы           и обязанности человека и гражданина, устанавливающих правовой статус организаций или имеющие межведомственный характер.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отношении 384 проектов нормативных правовых актов и 59 нормативных  правовых актов проведена независимая антикоррупционная экспертиза.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целях обеспечения возм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ожности проведения независимой антикоррупционной экспертизы в 2025 году на официальных сайтах органов местного самоуправления Томской области в информационно-телекоммуникационной сети «Интернет» размещены нормативные правовые акты             и их проекты.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отношении 57 проектов нормативных правовых актов и 21 нормативного правового акта проведена независимая антикоррупц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ионная экспертиза, получено 5 заключений на проекты актов и 15 заключений на действующие акты. Все 15 заключений независимых экспертов, приняты во внимание в рамках проведения экспертизы 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отношении действующих нормативных правовых актов и их актуализации.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Оценка состояния коррупции посредством проведения мониторинговых исследований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оценки эффективности деятельности по реализации антикоррупционных мер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оценки эффективности деятельности исполнительных органов Томской области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по реализации антикоррупционных мер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tabs>
          <w:tab w:val="left" w:pos="709" w:leader="none"/>
        </w:tabs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1"/>
          <w:bottom w:val="none" w:color="000000" w:sz="4" w:space="0"/>
          <w:right w:val="none" w:color="000000" w:sz="4" w:space="3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Департаментом по профилактике коррупционных и иных правонарушений Администрации Томской области, во исполнение распоряжения Губернатора  Томской области от 28.06.2019 № 143-р «О повышении эффективности деятельности исполнительных органов Томской области по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профилактике коррупционных правонарушений», в отчетном периоде проведена оценка эффективности деятельности исполнительных органов Томской области по профилактике коррупционных правонарушений в 2024 году, по итогам которой сформированы рейтинговые таблицы.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Указанные таблицы размещены на официальном интернет-портале Администрации Томской области в разделе «Противодействие коррупции».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right="-2" w:firstLine="709"/>
        <w:jc w:val="both"/>
        <w:tabs>
          <w:tab w:val="left" w:pos="709" w:leader="none"/>
        </w:tabs>
        <w:rPr>
          <w:rFonts w:ascii="PT Astra Serif" w:hAnsi="PT Astra Serif" w:cs="PT Astra Serif"/>
          <w:sz w:val="26"/>
          <w:szCs w:val="26"/>
          <w:highlight w:val="white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Оценка проведена в отношении 32 исполнительных органов Томской области, 11 из которых не имеют подведомственные учреждения, 21 имеет подведомственные учреждения.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right="-2" w:firstLine="709"/>
        <w:jc w:val="both"/>
        <w:tabs>
          <w:tab w:val="left" w:pos="709" w:leader="none"/>
        </w:tabs>
        <w:rPr>
          <w:rFonts w:ascii="PT Astra Serif" w:hAnsi="PT Astra Serif" w:cs="PT Astra Serif"/>
          <w:sz w:val="26"/>
          <w:szCs w:val="26"/>
          <w:highlight w:val="white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Наибольшее количес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тво баллов среди органов, не имеющих подведомственные учреждения, набрал Департамент лицензирования и регионального государственного контроля Томской области (54), наименьшее – Представительство Томской области при Правительстве Российской Федерации (42).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right="-2" w:firstLine="709"/>
        <w:jc w:val="both"/>
        <w:tabs>
          <w:tab w:val="left" w:pos="709" w:leader="none"/>
        </w:tabs>
        <w:rPr>
          <w:rFonts w:ascii="PT Astra Serif" w:hAnsi="PT Astra Serif" w:cs="PT Astra Serif"/>
          <w:sz w:val="26"/>
          <w:szCs w:val="26"/>
          <w:highlight w:val="white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Наибольшее количество баллов среди органов, имеющих подведомственные учреждения, набрал Департамент образования Томской области (60), наименьшее - Департамент градостроительного развития Томской области (37).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center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3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left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692775" cy="1789043"/>
            <wp:effectExtent l="0" t="0" r="3175" b="1905"/>
            <wp:docPr id="10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left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690869" cy="2242268"/>
            <wp:effectExtent l="0" t="0" r="5715" b="5715"/>
            <wp:docPr id="1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Департамент по профилактике коррупционных и иных правонарушений Администрации Томской области ежеквартально осуществляет мониторинг хода реализации мероприятий по противодействию коррупции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органах государственной власти Томской области и органах местного самоуправления муниципальных образований Томской области, основной задачей которого является сбор и обработка статистических данных.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анкетирования участников образовательных отношений (обучающихся, родителей, законных представителей несовершеннолетних обу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чающихся) в областных государственных образовательных организациях  Томской области по оценке качества деятельности данных организаций                             с включением вопросов о коррупционных правонарушениях в деятельности обозначенных организаций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областных государственных образовательных организациях (учреждениях),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отношении которых функции и полномочия учредителя осуществляет Департамент образования Томской области, проведено анкетирование по оценке качества деятельности данных организаций с включением вопросов, касающихся проявления «бытовой» коррупции.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проведено анкетирование по вопросам, касающимся проявления «бытовой» коррупции. Участие в опросе приняли 10062 обучающихся и 2536 родителей (законных представителей).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Фактов проявления коррупции не выявлено.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Обобщение практики рассмотрения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обращений граждан и юридических лиц по вопросам противодействия коррупции, в том числе обращений, поступивших по телефону доверия, на горячую линию или с использованием интерактивных сервисов на официальном интернет-портале Администрации Томской области (</w:t>
      </w:r>
      <w:hyperlink r:id="rId26" w:tooltip="www.tomsk.gov.ru" w:history="1">
        <w:r>
          <w:rPr>
            <w:rFonts w:ascii="PT Astra Serif" w:hAnsi="PT Astra Serif" w:eastAsia="PT Astra Serif" w:cs="PT Astra Serif"/>
            <w:i/>
            <w:sz w:val="26"/>
            <w:szCs w:val="26"/>
            <w:highlight w:val="white"/>
          </w:rPr>
          <w:t xml:space="preserve">www.tomsk.gov.ru</w:t>
        </w:r>
      </w:hyperlink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), официальных сайтах государственных органов Томской области и органов власти Томской области, позволяющих пользователям сообщать о фактах коррупции.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Проведение анализа организации и эффективности работы                                с обращениями, соблюдение сроков и результатов рассмотрения обращений                       о фактах проявления коррупции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в Администрацию Томской области поступило (посредством                АО «Почта России», электронной почты,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VipNet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(канал связи с Управлением Президента Российской Федерации),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(Платфор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ма обратной связи), Портал Администрации Томской области), МЭДО (межведомственный электронный документооборот при личном обращении в Администрацию Томской области)                55 обращений граждан и юридических лиц по вопросам противодействия коррупции.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Обращения по вопросам противодействия коррупции на телефон доверия «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Антикоррупция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» не поступали.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прокуратуру Томской области было п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еренаправлено 13 обращений, содержащих доводы о коррупции, в следственное управление Следственного комитета Российской Федерации по Томской области – 3, в УФСБ России                        по Томской области – 2, в УМВД России по Томской области – 9.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                         По 16 обращениям, по результатам анализа, оснований для проведения проверок                    в рамках полномочий Департамента по профилактике коррупционных и иных правонарушений Администрации Томской области не установлено.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Все обращения рассмотрены в установленном порядке. Сроки рассмотрения обращений не нарушались.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отчетном периоде в Контрольно-счетную палату Томской области поступило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1 обращение по вопросам противодействия коррупции, которое в рамках имеющихся полномочий, в соответствии с ч. 3 ст. 8 Федерального закона от 2 мая 2006 года                        № 59-ФЗ «О порядке рас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смотрения обращений граждан РФ», было перенаправлено                      для рассмотрения в контрольно-счетный орган муниципального образования городского округа Стрежевой–Муниципальное казенное учреждение «Ревизионная комиссия городского округа Стрежевой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», о чем гражданин, направивший данное обращение, был уведомлен 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установленные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законом срок.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Департамент труда и занятости населения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Томской области поступило 1 обращение гражданина с указанием на наличие коррупционных рисков и признаков личной заинтересованности государственного гражданского служащего. Указанное обращение рассмотрено в срок, заявителю даны соответствующие разъяснения.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Департамент здравоохранения Томской области также поступило письменное обращение, содержащее указание на наличие конфликта интересов                   в связи  с осу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ществлением руководителем областного государственного учреждения здравоохранения, подведомственного Департаменту, иной оплачиваемой работы                 (по совместительству). При рассмотрении данного обращения нарушений законодательства не установлено.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иные исполнительные органы Томской области и государственные органы Томской области обращения граждан о фактах проявления коррупции не поступали.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в органы местного самоуправления Томской обла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сти поступило 12 обращений от граждан и организаций о коррупционных правонарушениях служащих (из них 10 обращений – в письменной форме, 1 – по горячей линии (телефону доверия), 1 – с использованием интерактивных сервисов на официальном интернет – портале).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Сроки рассмотрения вышеназванных обращений соблюдены.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всем поступающим обращениям проводится анализ на наличие фактов проявления коррупции.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center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3927944" cy="1820848"/>
            <wp:effectExtent l="0" t="0" r="0" b="825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Организация и проведение мероприятий по пр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офессиональном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у развитию                в области противодействия коррупции, в том числе обучения по дополнительным профессиональным программам в области противодействия коррупции:              служащих Томской области, в должностные обязанности которых входит участие 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                    в противодействии коррупции; лиц, впервые поступивших на государственную (муниципальную) службу и замещающих должности, связанные с соблюдением требований к служебному поведению и (или) требований об урегулировании конфликта интересов;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служащих Томской области, в должностные обязанности которых входит участие в проведении закупок товаров, работ, услуг                              для обеспечения государственных (муниципальных) нужд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В 2025 году 160 государственных гражданских служащих Томской области                  и 137 муниципальных служащих в Томской области, в должностные обязанности которых входит участие в противодействии коррупции и проведение закупок товаров,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работ, услуг для обеспечения государственных и муниципальных нужд, прошли повышение квалификации по следующим темам: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«Формирование антикоррупционной компетентности государственного гражданского служащего»;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«Контрактная система в сфере закупок товаров, работ и услуг для обеспечения государственных и муниципальных нужд»;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«Профилактика коррупционных и иных правонарушений на государственной гражданской службе»;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«Управление в сфере закупок товаров, работ, услуг для обеспечения государственных и муниципальных нужд»;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«Профилактика коррупции в государственном органе»;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«Правовые основы противодействия коррупции».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Лица, впервые поступившие на государственную гражданскую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муниципальную службу Томской области, приняли участие в мероприятиях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по профессиональному развитию в Томской области по вопросам противодействия коррупции в 2025 году: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- 52 государственных гражданских служащих Томской области;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- 33 муниципальных служащих Томской области.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в отчетном периоде 24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государственных гражданских служащих Томской области и 36 муниципальных служащих в Томской области приняли участие в мероприятиях по профессиональному развитию в области противодействия коррупции по теме: «Противодействие коррупции в Российской Федерации».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Обучение проводилось на базе ОГБУ «Томский региональный ресурсный центр» (Корпоративный университет управления Администрации Томской области), АНО ДПО «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Дистантия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» в рамках государственного задания, а также на базе                АНО ДПО «Первый федеральный университет антикоррупционного просвещения»            и ЧУДПО «Институт повышения квалификации «Эксперт».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Организация мероприятий (семинаров-совещаний, круглых столов, совещаний, лекций и т.п.) по вопросам применения законодательства о противодействии коррупции с сотрудниками органов власти Томской области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 рамках проведения профилактических мероприятий Департаментом                   по профилактике коррупционных и иных правонарушений Администрации            Томской области (далее - Департамент) ежегодно,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периодически проводятся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совещания (семинары), круглые столы,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том числе при участии сотрудников прокуратуры Томской области,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по вопросам применения законодательства Российской Федерации о противодействии коррупции.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для сотрудников органов власти Томской области Департаментом проведено 17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white"/>
          <w:lang w:eastAsia="en-US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совещаний, в том числе посредством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видеоконференц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-связи,         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из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которых: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10 совещаний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white"/>
          <w:lang w:eastAsia="en-US"/>
        </w:rPr>
        <w:t xml:space="preserve"> -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для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лиц, ответственных за противодействие коррупции                      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органах местного самоуправления, муниципальных служащих и сотрудников муниципальных образований, лиц, замещающих муниципальные должности,                 глав сельских и городских поселений. Всего в семинарах-совещаниях приняли участие порядка 350 человек;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 совещания - для лиц, ответственных за противодействие коррупции в органах государственной власти Томской области. Всего в совещаниях приняли участие порядка 100 человек;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 совещание - для государственных служащих, замещающих должности                   в Администрации Томской области, 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котором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приняли участие 47 человек;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 совещание - для государственных служащих исполнительных органов Томской области, 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котором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приняли 24 участника;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 семинара - для лиц, впервые принятых на государственную гражданскую службу. Всего приняли участие 50 человек.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указанных мероприятиях освещались вопросы заполнения сведений                    о доходах за отчетный 2024 год, профилактики коррупционных правонарушений                 в соответствующих орга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нах и организациях, предотвращения, выявления                           и урегулирования конфликта интересов, организации антикоррупционной работы              в органах государственной власти, а также основные нарушения в сфере противодействия коррупции.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790"/>
        <w:ind w:firstLine="708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Данные мероприятия носят исключительно практический характер (приводятся примеры из практической деятельности Департамента, освещаются вопросы ответственности, а также разъясняется конкретный правовой механизм по недопущению нарушений).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Подготовка, направление в органы власти Томской области методических, информационных и справочных материалов по вопросам противодействия коррупции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Департаментом по профилактике коррупционных и иных правонарушений Администрации Томской облас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ти (далее – Департамент),                           в целях совершенствования деятельности по противодействию коррупции,                      для государственных гражданских служащих Томской области и муниципальных служащих в Томской области подготовлены: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презентация по порядку заполнения справок о доходах, расходах,                        об имуществе и обязательствах имущественного характера государственными гражданскими служащими Томской области за 2024 год;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 памятка для государст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венных гражданских служащих Томской области, замещающих должности в Администрации Томской области, и руководителей исполнительных органов Томской области по вопросам применения антикоррупционного законодательства (совместно с прокуратурой Томской области).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связи с принятием распоряжения Администрации 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от 10.02.2025 № 90-ра «Об утверждении региональной программы противодействия коррупции в Томской области на 2025 – 2028 годы» обновлены следующие методические материалы: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памятка по организации работы комиссии по соблюдению требований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к служебному поведению и урегулированию конфликта интересов;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 памятка для лиц, ответственных за работу по профилактике коррупционных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иных правонарушений в исполнительных органах Томской области (совместно с прокуратурой Томской области);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3) памятка для глав муниципальных образований Томской области по вопросу организации антикоррупционной работы;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4) рекомендации по вопросам организации антикоррупционной работы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муниципальных образованиях Томской области;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5) памятка «Обязанности, ограничения и запреты, связанные с гражданской службой».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также актуализированы следующие методические материалы: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методические рекомендации по обеспечению исполнения лицами, замещающими муниципальные должности, главами местных администраций    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контракту обязанности представления сведений о доходах, расходах,                            об имуществе и обязательствах имущественного характера;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 рекомендации по вопросам организации антикоррупционной работы                       в муниципальных образованиях Томской области;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3) материалы электронного курса по программе повышения квалификации «Теория и практика государственной гражданской службы» для обучения лиц, впервые принятых на государственную гражданскую службу.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Кроме этого обновлены кейсы по вопросам соблюдения антикоррупционного законодательства, необходимые для прохождения аттестации государственных гражданских служащих.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Данные методические материалы направлены в органы государственной власти Томской области и органы местного самоуправления муниципальных образований Томской области для использования в работе.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pacing w:line="288" w:lineRule="atLeast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Департаментом, в целях оказания консультативной и 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етодической помощи               в 2025 году, в структурные подразделения Администрации Томской области,             органы государственной власти Томской области и муниципальные образования Томской области направлялись различные информационные материалы.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pacing w:line="288" w:lineRule="atLeast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рамках подготовки к Ме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ждународному дню борьбы с коррупцией Департаментом разработаны эскизы баннеров на антикоррупционную тематику, которые также направлены в органы государственной власти Томской области            и муниципальные образования Томской области для размещения их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официальных  интернет-порталах.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по заявке Департамента создан социальный видеоролик               «Россия без коррупции!». Данный видеоролик 09.12.2025 размещен на сайте Администрации Томской области, официальных сайтах 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пабликах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более 1000 организаций Томской области.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году, в целях оперативного взаимодействия лиц, ответственных                   за работу по профилактике коррупционных и иных правонарушений в органах публичной власти Томской области, Департаментом создана коммуникативная площадка в мессенджере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val="en-US"/>
        </w:rPr>
        <w:t xml:space="preserve">MAX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«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Антикоррупция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–70». С использованием данного информационного сервиса дополнительно осуществляется направление актуальной  информации по вопросам противодействия коррупции.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обучения по программам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повышения квалификации служащих Томской области с включением в образовательные программы дисциплин                       по антикоррупционной тематике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52 государственных гражданских служащих Томской области              и 33 муниципальных служащих в Томской области прошли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обучение по программам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повышения квалификации, в которые включены дисциплины по антикоррупционной тематике. В данные программы повышения квалификации включены следующие темы: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практические вопросы профилактики коррупционных правонарушений;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понятие коррупции, коррупционного поведения;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предоставление сведений о доходах и сайтах;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ответственность за коррупционные правонарушения;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профилактика коррупционных правонарушений на государственной гражданской и муниципальной службе;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конфликт интересов на государственной гражданской и муниципальной службе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содержания, в том числе издание и размещение социальной рекламной продукции антикоррупционной направленности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Департаментом по профилактике коррупционных и иных правонарушений Администрации Томской области подгото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влена презентация                  по порядку заполнения справок о доходах, расходах, об имуществе и обязательствах имущественного характера государственными гражданскими служащими               Томской области за 2024 год; совместно с прокуратурой Томской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области разработана памятка для государственных гражданских служащих Томской области, замещающих должности в Администрации Томской области, и руководителей исполнительных органов Томской области по вопросам применения антикоррупционного законодательства;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связи с принятием распоряжения Администрации Томской обл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асти от 10.02.2025 № 90-ра «Об утверждении региональной программы противодействия коррупции в Томской области                  на 2025–2028 годы» обновлены 11 методических материалов (памятки, рекомендации по вопросам организации антикоррупционной работы,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кейсы по вопросам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соблюдения антикоррупционного законодательства, материалы электронного курса  др.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), которые размещены на официальном интернет-портале Администрации  Томской области и направлены для профилактической работы в органы государственной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власти Томской области и органы местного самоуправления муниципальных образований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Разработка социальной рекламы антикоррупционной направленности (тематические видеоролик, баннеры)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организована Департаментом информационной политики Администрации Томской области совместно                               с Департаментом по профилактике коррупционных и иных правонарушений Администрации Томской области в рамках Международного д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ня борьбы                             с коррупцией. Данная реклама размещена на официальных сайтах органов государственной власти Томской области, органов местного самоуправления муниципальных образований Томской области и подведомственных им учреждениях.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этого социальные баннеры на антикоррупционную тематику размещались на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билбордах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расположенных на центральных улицах города Томска,             в социальных сетях и на сайте Администрации Томской области,  антикоррупционный ролик транслировался в социальных сетях Администрации Томской области, официальных сайтах 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пабликах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более 1000 организаций              Томской области.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информационном стенде Админист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рации Томской области размещен выпуск № 90 Томской областной газеты «Красное знамя» за 09.12.2025, где вышло интервью с прокурором Томской области С.С. Ломакиным по теме «Неотвратимость наказания для всех коррупционеров, независимо от статуса и положения».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административных зданиях органов государственной власти                      Томской области, органов местного самоуправления муниципальных образований Томской области размещается и поддерживается в актуальном состоянии информация антикоррупционного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содержания, в том числе продукция антикоррупционной направленности (буклеты, памятки и др.), разработанные Департаментом по профилактике коррупционных и иных правонарушений Администрации Томской области, Генеральной прокуратурой Российской Федерации и др.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Также в исполнительных органах Томской области размещаются самостоятельно подготовленные, в том числе совместно с подведомственными учреждениями, памятки антикоррупционной направленности.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Так, например,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bidi="ru-RU"/>
        </w:rPr>
        <w:t xml:space="preserve"> 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2025 году Комитетом по обеспечению деятельности мировых судей 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разработаны памятки о противодействии коррупции:                      «О понятии «коррупция», «О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сведениях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о родственниках и свойственниках», «Особенности заполнения в справке о доходах сведений об имуществе, полученном           в порядке наследования».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областной газете с информационными материалами Департамента труда             и занятости населения Томской области «Кадры решают всё» разм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ещена информационная памятка о том, что следует знать о коррупции; на стенде Департамента природных ресурсов и охраны окружающей среды Томской области            размещены памятки: «О том, что нужно знать о коррупции», О выполнении иной оплачиваемой работы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ограничения и запреты, связанные с гражданской службой»           и др.; Департаментом лицензирования и регионального государственного контроля Томской области размещены памятки: «Куда сообщать о фактах коррупции»,  памятка «Что нужно знать о коррупции».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bidi="ru-RU"/>
        </w:rPr>
        <w:t xml:space="preserve">Указанная продукция размещена на информационных стендах и официальных сайтах исполнительных органов Томской области, а также направлена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bidi="ru-RU"/>
        </w:rPr>
        <w:br/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bidi="ru-RU"/>
        </w:rPr>
        <w:t xml:space="preserve">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подведомственные учреждения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bidi="ru-RU"/>
        </w:rPr>
        <w:t xml:space="preserve"> для использования при осуществлении комплекса просветительских мероприятий (лекции, семинары, круглые столы и др.).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Организация и проведение мероприятий в областных государственных образовательных организациях Томской области, направленных на формирование антикоррупционных навыков у студентов и школьников (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квесты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, тематические олимпиады, научные и практико-ориентированные семинары, консультации и др.)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областных государственных бюджетных учреждениях (организациях),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отношении которых Департамент образования Томской области осуществляет функции и полномочия учредителя, организованы и проведены следующие мероприятия: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1. В 34 образовательных организациях (учреждениях) Томской области организованы и проведены классные часы, открытые уроки, показы видеороликов, конкурсы, деловые игры, онлайн-викторины и иные мероприятия на темы:                «Можно ли по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бедить коррупцию?», «Коррупция и ответственность за коррупционные деяния», «Скажем коррупции «Нет»!», «Образование против коррупции»,                        «Без коррупции с детства» и др., в том числе с приглашением сотрудников правоохранительных органов.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Мероприятия проводились, в том числе, с применением дистанционных технологий. Всего в указанных мероприятиях приняли участие 19066 обучающихся,           а также 2598 педагогических работников и родителей (законных представителей).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2. Проводится просвещение обучающихся по темам антикоррупционной направленности в рамках учебных дисци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плин «Обществознание», «Основы права», «История», «Правовое обеспечение профессиональной деятельности», «Педагогический менеджмент», «Экономика», «Экономика организации»,            «Правовое и документационное обеспечение в профессиональной деятельности».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3. Образовательными организациями Томской области организована трансляция информационных постов антикоррупционной направленности                       для студентов на платформах в группах «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Вконтакте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» и «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Телеграм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4. Проводится демонстрация видеороликов и презентаций антикоррупционного характера, организовано их размещение на сайтах (информационных стендах)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всех подведомственных организаций (учреждений).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Осуществление работы по формированию у служащих Томской области             и работников государственны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х органов Томской области, органов власти               Томской области, государственных и муниципальных организаций Томской области отрицательного отношения к коррупции с привлечением к данной работе общественности, других институтов гражданского общества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целях формирования у государственных гражданских Томской обл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асти, муниципальных служащих в Томской области и работников государственных органов Томской области, органов местного самоуправления муниципальных образований Томской области, а также государственных и муниципальных организаций               Томской област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 отрицательного отношения к коррупции Департаментом                          по профилактике коррупционных и иных правонарушений Администрации              Томской области в 2025 году проведено 20 мероприятий антикоррупционной направленности, в том числе: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совещания для муниципальных служащих Томской области на базе Совета муниципальных образований Томской области;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совещания для муниципальных служащих и лиц, замещающих муниципальные должности, на базе ОГБУ «Томский региональный ресурсный центр», включая совещания для впервые принятых государственных гражданских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муниципальных служащих;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выездные совещания для муниципальных служащих, глав сельских поселений, руководителей учреждений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Тегульдетского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района области на базе Администрации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Тегульдетского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района Томской области,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Колпашевского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района Томской области на базе Администрации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Колпашевского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района Томской области,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Бакчарского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района Томской области на базе Администрации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Бакчарского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района Томской области, Думы Томского района;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совещания для государственных служащих на базе Администрации Томской области;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совещание для сотрудников Федерального казенного учреждения дополнительного профессионального образования «Томский институт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повышения квалификации работников Федеральной службы исполнения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наказаний» на базе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ФКУ ДПО Томский ИПКР ФСИН;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совещание для студентов ЮИ ТГУ на базе Томского государственного университета.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Указанные мероприятия проходили, в том числе, с участием представителей прокуратуры Томского области.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Также для участия в заседаниях комиссий по соблюдению требований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к служебному поведению государственных гражданских и муниципальных служащих Томской области и урегулированию конфликта интересов в качестве независимых экспертов приглашаются представители некоммерческих (общественных)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организаций.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Осуществление комплекса организационных, разъяснительных и иных мер,               в том числе проведение семинаров по соблюдению служащими Томской области требований к служебному поведению и (или) требований об урегулировании конфликта интересов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рамках осуществления комплекса организационных, разъяснительных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   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в целях противодействия коррупции, в 2025 году проведены профилактические мероприятия: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 604 - органами государственной власти Томской области: к примеру, Департамен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том государственного заказа Томской области проведен семинар                        по вопросам, возникающим при заполнении сведений о доходах, об имуществе                     и обязательствах имущественного характера, совместно с Ассоциацией «Правовой це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нтр «РИМ» разработаны памятки «Уголовная ответственность за злоупотребление в сфере закупок. Обзор судебной практики», «Предоставление сведений                       о размещении информации в информационно-телекоммуникационной сети «Интернет», «Обязанности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требования, ограничения и запреты государственных гражданских служащих», проведен семинар на тему «Антикоррупционная работа                в Департаменте государственного заказа Томской области», проведено тестирование гражданских служащих на знание зако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нодательства о противодействии коррупции; Департаментом инвестиционной и промышленной политики Томской области проведены семинары для государственных гражданских служащих по правовым аспектам уведомления представителя нанимателя о намерении выполнять иную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оплачиваемую работу;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Департаментом лицензирования и регионального государственного контроля Томской области проведено рабочее совещание                         с государственными гражданскими служащими о необходимости сообщать                          в кадровую службу Департ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амента о ставших известными изменениях сведений, содержащихся в анкете для поступления на государственную службу Российской Федерации, Департаментом охотничьего и рыбного хозяйства Томской области проведено совещание с сотрудниками Департамента по вопросу: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Ситуации конфликта интересов, возникающие у сотрудников Департамента при исполнении своих полномочий, и порядок их урегулирования» и др.;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 342 - органами местного самоуправления муниципальных образований Томской области.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Департаментом по профилактике коррупционных и иных правонарушений Администрации Томской области проведено 20 мероприятий по вопросам  соблюдения служащими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Томской области требований к служебному поведению                   и (или) требований об урегулировании конфликта интересов, обновлены                                 5 памяток и актуализированы 3 методических материала антикоррупционной направленности.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eastAsia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Разработка и размещение в средствах массовой информации материалов               и информации по антикоррупционной тематике</w:t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Департаментом информационной политики Администрации Томской области в средствах массовой информации опубликовано более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15 тематических материалов просветительского, профилактического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информационного характера.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Для размещения в новостном разделе официального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интернет-портала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Администрации Томской области в 202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5 году Департамент информационной политики Администрации Томской области подготовил шесть антикоррупционных материалов, в том числе по итогам февральской пресс-конференции заместителя Губернатора Томской области по вопросам безопасности И.В. Толстоносова.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Все материалы отправлены через систему рассылки (в списке рассылки новостей от пресс-службы Администрации Томской области более 150 электронных адресов СМИ).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официальном интернет-портале Администрации 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отчетном периоде размещено 52 материала и информации по антикоррупционной тематике.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 мессенджере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val="en-US" w:eastAsia="en-US"/>
        </w:rPr>
        <w:t xml:space="preserve">MAX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создан канал на коммуникативной площадке «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Антикоррупция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– 70», на котором в отчетном периоде размещено 33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информационных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сообщения.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мероприятий по информированию общественности о результатах работы государственных органов Томской области и органов власти Томской области в сфере противодействия коррупции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Информирование общественности о результатах работы государственных органов Томской области и органов власти Томской области по профилактике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коррупционных и иных правонарушений осуществляется Департаментом информационной политики Администрации Томской области в соответствии                     с рекомендациями Министерства цифрового развития, связи и массовых коммуникаций Российской Федерации.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Информация о пр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оводимых мероприятиях и принимаемых администрацией региона мерах по предупреждению коррупционных и иных правонарушений доводится до общественности, в том числе, через официальный интернет-портал Администрации Томской области и средства массовой информации.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Регулярно на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официальном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интернет-портале Администрации Томской области освещается деятельность Комиссии по координации работы по противодействию коррупции в Томской области под председательством Губернатора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новостном разделе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официального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интернет-портала Администрации  Томской области в отчетном периоде опубликовано 8 тематических пресс-релизов, растиражированных в дальнейшем в томских средствах массовой информации.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Презентационные материалы антикоррупционного характера регулярно размещаются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разделе «Противодействие коррупции» официального интернет-портала Администрац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ии Томской области и дублируются на официальных сайтах иных органов государственной власти Томской области, подведомственных им учреждений, а также на официальных интернет-страницах органов местного самоуправления муниципальных образований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Размещение на официальном интернет-портале «Электронная Администрация Томской области» (</w:t>
      </w:r>
      <w:hyperlink r:id="rId28" w:tooltip="www.tomsk.gov.ru" w:history="1">
        <w:r>
          <w:rPr>
            <w:rFonts w:ascii="PT Astra Serif" w:hAnsi="PT Astra Serif" w:eastAsia="PT Astra Serif" w:cs="PT Astra Serif"/>
            <w:i/>
            <w:sz w:val="26"/>
            <w:szCs w:val="26"/>
            <w:highlight w:val="white"/>
          </w:rPr>
          <w:t xml:space="preserve">www.tomsk.gov.ru</w:t>
        </w:r>
      </w:hyperlink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), официальных сайтах государственных органов Томской области и органов власти Томской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области,                     а также в СМИ информации об антикоррупционной деятельности,                               в том числе обеспечение предания гласности каждого установленного факта коррупции в порядке, установленном действующим законодательством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Размещение информации об антикоррупционной деятельн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ости, в том числе обеспечение предания гласности каждого установленного факта коррупции                         в порядке, установленном действующим законодательством, осуществляется                       на официальном интернет-портале Администрации Томск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ой области, официальных сайтах исполнительных органов Томской области, государственных органов             Томской области, органов местного самоуправления муниципальных                    образований Томской области в разделе «Противодействие коррупции»,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котором публикуются нормативные правовые акты в данной сфере, методические материалы, информационные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видеоролики и памятки. Также размещается информация о деятельности комиссий по соблюдению требований к служебному поведению и урегулированию конфликта интересов. Формой обратной связи в нем служит сервис «Сообщить о коррупции».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официальном информационном ресурсе Администрации 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сайтах исполнительных органов Томской области также размещаются данные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о выполнении мероприятий планов противодействия коррупции, результаты антикоррупционного мониторинга, иная значимая и открытая для общественности информация в этой сфере.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отчетном периоде на официальном интернет-портале Администрации Томской области и в томских средствах массовой информации размещалась информация: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о проводимых мероприятиях и принимаемых администрацией региона мерах по предупреждению коррупционных и иных нарушений;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 деятельности Комиссии по координации работы по противодействию коррупции  в Томской области под председательством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Губернатора 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Комиссии Администрации Томской области по соблюдению требований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и урегулированию конфликта интересов;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о выполнении органами исполнительной власти Томской области Плана противодействия коррупции;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о результатах антикоррупционного мониторинга и др.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для обеспечения государственных             и муниципальных нужд и в рамках з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аконодательства Российской Федерации                    о закупках товаров, работ, услуг отдельными видами юридических лиц, в том числе работы, направленной на выявление личной заинтересованности служащих (работников), которая приводит или может привести к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конфликту интересов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Работа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и в рамках законодательства Российской Федерации о закупках товаров, работ, услуг отдельными видами юридических лиц, в том числе работа, направленная                          на выявление личной заинтересованности служащих (работников), которая приводит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или может привести к конфликту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интересов, органами власти Томской области осуществляется в соответствии с действующим законодательством.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Заку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пки товаров, работ, услуг проводятся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 целью реали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зации мер, способствующих снижению уровня коррупции               при осуществлении закупок товаров, работ, услуг для государственных                               и муниципальных нужд, в ходе осуществления закупок обеспечена их открытость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 доступность. Обеспечение публичности и открытости деятельности органов власти Томской области осуществляется посредством размещения правовых актов                        о нормировании в сфере закупок, плана закупок, плана-графика, информации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  об осуще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ствлении закупки товаров, работ, услуг для обеспечения государственных              и муниципальных нужд, сведений о заключенных государственных контрактах                  на официальном сайте Единой информационной системы в сфере закупок.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договоры в сфере закупок товаров, работ, услуг для обеспечения государственных нужд вводятся стандартные антикоррупционные оговорки.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мероприятий, направленных на повышение престижа государственной гражданской и муниципальной службы, доведение соответствующей информации до сведения государственных органов                    Томской области и органов власти Томской области</w:t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целях повышения открытости и престиж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 государственной гражданской службы Департамент государственной гражданской службы Администрации  Томской области обновляет раздел «Кадровая политика» на официальном сайте Администрации Томской области. В этом разделе представлена информация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об условиях и порядке поступления на государственную гражданскую службу Томской области, о проведении аттестации, а также об организации дополнительного профессионального образования государственных гражданских служащих              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сайте также есть подраздел «Конкурсы на замещение вакантных должностей и включение в кадровый резерв» (Единая база вакансий).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этом разделе публикуются информацион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ные сообщения всех исполнительных органов               Томской области о проведении конкурсов, об итогах конкурсов на вакантные должности и включение в кадровый резерв государственной гражданской службы Томской области, о проведении конкурсов на вакантные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должности руководителей областных государственных учреждений, на включение в отраслевой резерв, аттестации руководителей областных государственных образовательных организаций, о проведении конкурсов на вакантные должности и включение                     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отраслевой резерв руководителей областных государственных унитарных предприятий.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кандидаты на замещение вакантных должностей государственной гражданской службы Томской области (на включение в кадровые резервы государственной гражданской службы Томской области для замещения указанных должностей) могут пройти предварите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льное тестирование вне рамок конкурса. Тестирование включает в себя тестовые задания на знание законодательства Российской Федерации о противодействии коррупции. Это повышает доступность информации о методах оценки и мотивирует кандидатов к самоподготовке.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Ежегодн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 в рамках программ дополнительного профессионального образования рассматриваются темы, направленные на формирование у служащих понимания социальной ценности государственной гражданской и муниципальной службы, ее принципов и приоритетов в области противоде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йствия коррупции: «Формирование антикоррупционной компетентности государственного гражданского/муниципального служащего», «Правовые основы противодействия коррупции», «Профилактика коррупционных правонарушений на государственной гражданской службе» и т.д.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 целью повышения престижа государственной гражданской и муниципальной службы Томской области один раз в два года проводятся конкурсы  (далее – Конкурс) на звание: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1. «Лучший государственный гражданский служащий Томской области», положение о котором утверждено распоряжением Губернатора 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от 02.11.2012 № 347-р «О конкурсе на звание «Лучший государственный гражданский служащий Томской области». Конкурс стартовал в октябре 2025 года, итоги подведены в декабре 2025 года.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2. «Лучший муниципальный служащий в Томской области», положение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о котором утверждено распоряжением Губернатора Томской области от 22.09.2023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№ 268-р «О конкурсе на звание «Лучший муниципальный служащий в Томской области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». Конкурс стартовал в 2025 году, в нем принял участие 141 муниципальный служащий в Томской области, итоги конкурса подведены в декабре 2025 года. Победителями Конкурса стали 11 муниципальных служащих из 9 муниципалитетов Томской области (Александровский,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Асиновский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Бакчарский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Кожевниковский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Колпашевский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Каргасокский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Первомайский муниципальные районы,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г. Томск и ЗАТО Северск). Департаментом информацион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ной политики Администрации Томской области организовано информационное освещение конкурса с целью повышения престижа муниципальной службы, выявления                    и поддержки муниципальных служащих, внесших значительный вклад в местное самоуправление.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на базе Корпоративного университета управления Администрации Томской области каждый год проводятся мероприятия для студентов Юридического института Томского государственного университета для знакомства будущих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юристов с государственной гражданской службой в исполнительных органах региона (порядок поступления, карьерный рост, квалификационные требования). В 2025 году в подобном мероприятии приняли участие 47 студентов.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Оказание консультативной помощи органам местного самоуправления муниципальных образований Томской области по вопросам противодействия коррупции, в том числе проведение тематических совещаний, семинаров и лекций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целях оказания содействия органам местного самоуправления муниципальных образов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аний Томской области в организации работы                                  по противодействию коррупции Департаментом по профилактике коррупционных                   и иных правонарушений Администрации Томской области в 2025 году организованы и проведены: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- 1 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областное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семинар-совещание на базе Совета муниципальных образований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Томской области (совместно с сотрудниками прокуратуры Томской области)                        для муниципальных служащих по теме «Порядок заполнения сведений о доходах              за 2024 отчетный год» (100 участников от органов местного самоуправления);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- 1 совещание для лиц, ответственных за противодействие коррупции в органах местного самоуправления Томской области, по теме «Конфликт интересов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на муниципальной службе, иная оплачиваемая работа, анализ сведений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о родственниках и свойственниках, организация антикоррупционной работы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подведомственных учреждениях» (25 участников);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- 1 совещание на базе Думы Томского района для управляющих делами администраций районов, городских се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льских поселений, муниципальных служащих  и сотрудников муниципальных образований г. Томск, ЗАТО Северск, Томского района по теме «Вопросы конфликта интересов, иной оплачиваемой работы, антикоррупционной работы в муниципальных учреждениях» (15 участников);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- 1 совещание для государственных и муниципальных служащих по теме «Практические вопросы противодействия коррупции и профилактика коррупционных правонарушений» (более 50 участников);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- 2 выездных совещания для муниципальных служащих, глав сельских поселений, руководителей учреждений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Колпашевского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Тегульдетского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Бакчарского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районов Томской области по теме «Вопросы конфликта интересов, иной оплачиваемой работы, антикоррупционной работы в муниципальных учреждениях, работы комиссии по соблюдению требований к служебному поведению, анализа сведений о доходах» (55 участников); 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- 1 со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вещание на базе ОГБУ «Томский региональный ресурсный центр»                для лиц, замещающих муниципальные должности, по теме «Профилактика коррупционных правонарушений среди лиц, замещающих муниципальные должности» (16 глав районов/сельских поселений);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-1 онлайн-совещание для муниципальных служащих Приазовского района Запорожской области по теме «Вопросы конфликта интересов, антикоррупционной работы в муниципальных учреждениях, анализа сведений о доходах (20 участников);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- 1 совеща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ние для муниципальных служащих по теме «Вопросы, связанные                 с возможностью возникновения конфликта интересов на муниципальной службе, осуществления иной оплачиваемой работы, заполнения сведений о доходах»                    (35 участников);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консультации для органов местного самоуправления муниципальных образований Томской области по вопросам проведения анализа сведений о доходах, расходах, об имуществе и обязательствах имущественного характера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за отчетный 2024 год, урегулирования конфликта интересов, соблюдения антикоррупционных стандартов участниками СВО и др.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Консультативная помощь в организации работы с обращениями граждан           и юридических лиц о фактах совершения коррупционных правонарушений в органах местного самоуправления муниципальных образований Томской области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Департаментом по профилактике коррупционных и иных правонарушений Администрации Томской области органам местного самоуправления муниципальных обра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зований Томской области на постоянной основе оказывается консультативная помощь в организации работы с обращениями граждан и организаций, разъясняются нормы законодательства Российской Федерации, применяемые при подготовке ответов на поступившие обращения.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851" w:right="851" w:bottom="851" w:left="1418" w:header="0" w:footer="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Style w:val="949"/>
      </w:pPr>
      <w:r>
        <w:separator/>
      </w:r>
      <w:r/>
    </w:p>
  </w:endnote>
  <w:endnote w:type="continuationSeparator" w:id="0">
    <w:p>
      <w:pPr>
        <w:pStyle w:val="949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Courier New">
    <w:panose1 w:val="020704090202050204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</w:pPr>
    <w:r>
      <w:rPr>
        <w:sz w:val="2"/>
        <w:szCs w:val="2"/>
      </w:rPr>
      <w:t xml:space="preserve">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</w:pPr>
    <w:r>
      <w:rPr>
        <w:sz w:val="2"/>
        <w:szCs w:val="2"/>
      </w:rPr>
      <w:t xml:space="preserve">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49"/>
      </w:pPr>
      <w:r>
        <w:separator/>
      </w:r>
      <w:r/>
    </w:p>
  </w:footnote>
  <w:footnote w:type="continuationSeparator" w:id="0">
    <w:p>
      <w:pPr>
        <w:pStyle w:val="949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/>
    <w:r/>
  </w:p>
  <w:p>
    <w:pPr>
      <w:pStyle w:val="741"/>
      <w:jc w:val="center"/>
    </w:pPr>
    <w:r/>
    <w:r/>
  </w:p>
  <w:p>
    <w:pPr>
      <w:pStyle w:val="741"/>
      <w:jc w:val="center"/>
      <w:rPr>
        <w:rFonts w:ascii="PT Astra Serif" w:hAnsi="PT Astra Serif" w:cs="PT Astra Serif"/>
        <w:sz w:val="24"/>
        <w:szCs w:val="24"/>
      </w:rPr>
    </w:pPr>
    <w:r>
      <w:fldChar w:fldCharType="begin"/>
    </w:r>
    <w:r>
      <w:instrText xml:space="preserve">PAGE \* MERGEFORMAT</w:instrText>
    </w:r>
    <w:r>
      <w:fldChar w:fldCharType="separate"/>
    </w:r>
    <w:r>
      <w:rPr>
        <w:rFonts w:ascii="PT Astra Serif" w:hAnsi="PT Astra Serif" w:eastAsia="PT Astra Serif" w:cs="PT Astra Serif"/>
        <w:sz w:val="24"/>
        <w:szCs w:val="24"/>
      </w:rPr>
      <w:t xml:space="preserve">52</w:t>
    </w:r>
    <w:r>
      <w:rPr>
        <w:rFonts w:ascii="PT Astra Serif" w:hAnsi="PT Astra Serif" w:eastAsia="PT Astra Serif" w:cs="PT Astra Serif"/>
        <w:sz w:val="24"/>
        <w:szCs w:val="24"/>
      </w:rPr>
      <w:fldChar w:fldCharType="end"/>
    </w:r>
    <w:r>
      <w:rPr>
        <w:rFonts w:ascii="PT Astra Serif" w:hAnsi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</w:p>
  <w:p>
    <w:pPr>
      <w:pStyle w:val="74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94" w:hanging="36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54" w:hanging="180"/>
      </w:p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643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3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259" w:hanging="360"/>
        <w:tabs>
          <w:tab w:val="num" w:pos="0" w:leader="none"/>
        </w:tabs>
      </w:pPr>
      <w:rPr>
        <w:rFonts w:hint="default" w:ascii="Arial" w:hAnsi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97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99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19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3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59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79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9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19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6">
    <w:name w:val="Heading 1"/>
    <w:basedOn w:val="728"/>
    <w:next w:val="728"/>
    <w:link w:val="7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7">
    <w:name w:val="Heading 2"/>
    <w:basedOn w:val="728"/>
    <w:next w:val="728"/>
    <w:link w:val="7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8">
    <w:name w:val="Heading 3"/>
    <w:basedOn w:val="728"/>
    <w:next w:val="728"/>
    <w:link w:val="7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9">
    <w:name w:val="Heading 4"/>
    <w:basedOn w:val="728"/>
    <w:next w:val="728"/>
    <w:link w:val="7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0">
    <w:name w:val="Heading 5"/>
    <w:basedOn w:val="728"/>
    <w:next w:val="728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1">
    <w:name w:val="Heading 6"/>
    <w:basedOn w:val="728"/>
    <w:next w:val="728"/>
    <w:link w:val="7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2">
    <w:name w:val="Heading 7"/>
    <w:basedOn w:val="728"/>
    <w:next w:val="728"/>
    <w:link w:val="7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3">
    <w:name w:val="Heading 8"/>
    <w:basedOn w:val="728"/>
    <w:next w:val="728"/>
    <w:link w:val="7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728"/>
    <w:next w:val="728"/>
    <w:link w:val="7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725">
    <w:name w:val="Header"/>
    <w:basedOn w:val="728"/>
    <w:link w:val="8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26">
    <w:name w:val="Footer"/>
    <w:basedOn w:val="728"/>
    <w:link w:val="8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27">
    <w:name w:val="Caption"/>
    <w:basedOn w:val="728"/>
    <w:next w:val="728"/>
    <w:link w:val="8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728" w:default="1">
    <w:name w:val="Normal"/>
    <w:qFormat/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paragraph" w:styleId="732" w:customStyle="1">
    <w:name w:val="Заголовок 11"/>
    <w:basedOn w:val="728"/>
    <w:next w:val="72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3" w:customStyle="1">
    <w:name w:val="Заголовок 21"/>
    <w:basedOn w:val="728"/>
    <w:next w:val="72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34" w:customStyle="1">
    <w:name w:val="Заголовок 31"/>
    <w:basedOn w:val="728"/>
    <w:next w:val="72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5" w:customStyle="1">
    <w:name w:val="Заголовок 41"/>
    <w:basedOn w:val="728"/>
    <w:next w:val="72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6" w:customStyle="1">
    <w:name w:val="Заголовок 51"/>
    <w:basedOn w:val="728"/>
    <w:next w:val="7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7" w:customStyle="1">
    <w:name w:val="Заголовок 61"/>
    <w:basedOn w:val="728"/>
    <w:next w:val="72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8" w:customStyle="1">
    <w:name w:val="Заголовок 71"/>
    <w:basedOn w:val="728"/>
    <w:next w:val="72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9" w:customStyle="1">
    <w:name w:val="Заголовок 81"/>
    <w:basedOn w:val="728"/>
    <w:next w:val="7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0" w:customStyle="1">
    <w:name w:val="Заголовок 91"/>
    <w:basedOn w:val="728"/>
    <w:next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741" w:customStyle="1">
    <w:name w:val="Верхний колонтитул1"/>
    <w:basedOn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paragraph" w:styleId="742" w:customStyle="1">
    <w:name w:val="Нижний колонтитул1"/>
    <w:basedOn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paragraph" w:styleId="743" w:customStyle="1">
    <w:name w:val="Название объекта1"/>
    <w:basedOn w:val="728"/>
    <w:next w:val="7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744" w:customStyle="1">
    <w:name w:val="Plain Table 1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 w:customStyle="1">
    <w:name w:val="Plain Table 2"/>
    <w:basedOn w:val="73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 w:customStyle="1">
    <w:name w:val="Plain Table 3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 w:customStyle="1">
    <w:name w:val="Plain Table 4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Plain Table 5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1 Light"/>
    <w:basedOn w:val="73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2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4"/>
    <w:basedOn w:val="73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 w:customStyle="1">
    <w:name w:val="Grid Table 5 Dark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5" w:customStyle="1">
    <w:name w:val="Grid Table 7 Colorful"/>
    <w:basedOn w:val="73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"/>
    <w:basedOn w:val="73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2"/>
    <w:basedOn w:val="73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8" w:customStyle="1">
    <w:name w:val="List Table 3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List Table 4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List Table 5 Dark"/>
    <w:basedOn w:val="73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1" w:customStyle="1">
    <w:name w:val="List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62" w:customStyle="1">
    <w:name w:val="List Table 7 Colorful"/>
    <w:basedOn w:val="73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paragraph" w:styleId="763" w:customStyle="1">
    <w:name w:val="Заголовок 11"/>
    <w:basedOn w:val="728"/>
    <w:link w:val="979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character" w:styleId="764" w:customStyle="1">
    <w:name w:val="Title Char"/>
    <w:basedOn w:val="729"/>
    <w:uiPriority w:val="10"/>
    <w:rPr>
      <w:sz w:val="48"/>
      <w:szCs w:val="48"/>
    </w:rPr>
  </w:style>
  <w:style w:type="character" w:styleId="765" w:customStyle="1">
    <w:name w:val="Subtitle Char"/>
    <w:basedOn w:val="729"/>
    <w:uiPriority w:val="11"/>
    <w:rPr>
      <w:sz w:val="24"/>
      <w:szCs w:val="24"/>
    </w:rPr>
  </w:style>
  <w:style w:type="character" w:styleId="766" w:customStyle="1">
    <w:name w:val="Quote Char"/>
    <w:uiPriority w:val="29"/>
    <w:rPr>
      <w:i/>
    </w:rPr>
  </w:style>
  <w:style w:type="character" w:styleId="767" w:customStyle="1">
    <w:name w:val="Intense Quote Char"/>
    <w:link w:val="983"/>
    <w:uiPriority w:val="30"/>
    <w:rPr>
      <w:i/>
    </w:rPr>
  </w:style>
  <w:style w:type="character" w:styleId="768" w:customStyle="1">
    <w:name w:val="Footnote Text Char"/>
    <w:uiPriority w:val="99"/>
    <w:rPr>
      <w:sz w:val="18"/>
    </w:rPr>
  </w:style>
  <w:style w:type="character" w:styleId="769" w:customStyle="1">
    <w:name w:val="Endnote Text Char"/>
    <w:uiPriority w:val="99"/>
    <w:rPr>
      <w:sz w:val="20"/>
    </w:rPr>
  </w:style>
  <w:style w:type="paragraph" w:styleId="770" w:customStyle="1">
    <w:name w:val="Заголовок 12"/>
    <w:basedOn w:val="728"/>
    <w:next w:val="728"/>
    <w:link w:val="965"/>
    <w:uiPriority w:val="9"/>
    <w:qFormat/>
    <w:pPr>
      <w:keepLines/>
      <w:keepNext/>
      <w:spacing w:before="480" w:after="200" w:line="276" w:lineRule="auto"/>
      <w:outlineLvl w:val="0"/>
    </w:pPr>
    <w:rPr>
      <w:rFonts w:ascii="Arial" w:hAnsi="Arial" w:eastAsia="Arial" w:cs="Arial"/>
      <w:sz w:val="40"/>
      <w:szCs w:val="40"/>
      <w:lang w:eastAsia="en-US"/>
    </w:rPr>
  </w:style>
  <w:style w:type="paragraph" w:styleId="771" w:customStyle="1">
    <w:name w:val="Заголовок 13"/>
    <w:basedOn w:val="728"/>
    <w:next w:val="728"/>
    <w:link w:val="7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2" w:customStyle="1">
    <w:name w:val="Heading 1 Char"/>
    <w:link w:val="771"/>
    <w:uiPriority w:val="9"/>
    <w:rPr>
      <w:rFonts w:ascii="Arial" w:hAnsi="Arial" w:eastAsia="Arial" w:cs="Arial"/>
      <w:sz w:val="40"/>
      <w:szCs w:val="40"/>
    </w:rPr>
  </w:style>
  <w:style w:type="paragraph" w:styleId="773" w:customStyle="1">
    <w:name w:val="Заголовок 21"/>
    <w:basedOn w:val="728"/>
    <w:next w:val="728"/>
    <w:link w:val="7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4" w:customStyle="1">
    <w:name w:val="Heading 2 Char"/>
    <w:link w:val="773"/>
    <w:uiPriority w:val="9"/>
    <w:rPr>
      <w:rFonts w:ascii="Arial" w:hAnsi="Arial" w:eastAsia="Arial" w:cs="Arial"/>
      <w:sz w:val="34"/>
    </w:rPr>
  </w:style>
  <w:style w:type="paragraph" w:styleId="775" w:customStyle="1">
    <w:name w:val="Заголовок 31"/>
    <w:basedOn w:val="728"/>
    <w:next w:val="728"/>
    <w:link w:val="7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6" w:customStyle="1">
    <w:name w:val="Heading 3 Char"/>
    <w:link w:val="775"/>
    <w:uiPriority w:val="9"/>
    <w:rPr>
      <w:rFonts w:ascii="Arial" w:hAnsi="Arial" w:eastAsia="Arial" w:cs="Arial"/>
      <w:sz w:val="30"/>
      <w:szCs w:val="30"/>
    </w:rPr>
  </w:style>
  <w:style w:type="paragraph" w:styleId="777" w:customStyle="1">
    <w:name w:val="Заголовок 41"/>
    <w:basedOn w:val="728"/>
    <w:next w:val="728"/>
    <w:link w:val="7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8" w:customStyle="1">
    <w:name w:val="Heading 4 Char"/>
    <w:link w:val="777"/>
    <w:uiPriority w:val="9"/>
    <w:rPr>
      <w:rFonts w:ascii="Arial" w:hAnsi="Arial" w:eastAsia="Arial" w:cs="Arial"/>
      <w:b/>
      <w:bCs/>
      <w:sz w:val="26"/>
      <w:szCs w:val="26"/>
    </w:rPr>
  </w:style>
  <w:style w:type="paragraph" w:styleId="779" w:customStyle="1">
    <w:name w:val="Заголовок 51"/>
    <w:basedOn w:val="728"/>
    <w:next w:val="728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0" w:customStyle="1">
    <w:name w:val="Heading 5 Char"/>
    <w:link w:val="779"/>
    <w:uiPriority w:val="9"/>
    <w:rPr>
      <w:rFonts w:ascii="Arial" w:hAnsi="Arial" w:eastAsia="Arial" w:cs="Arial"/>
      <w:b/>
      <w:bCs/>
      <w:sz w:val="24"/>
      <w:szCs w:val="24"/>
    </w:rPr>
  </w:style>
  <w:style w:type="paragraph" w:styleId="781" w:customStyle="1">
    <w:name w:val="Заголовок 61"/>
    <w:basedOn w:val="728"/>
    <w:next w:val="728"/>
    <w:link w:val="7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2" w:customStyle="1">
    <w:name w:val="Heading 6 Char"/>
    <w:link w:val="781"/>
    <w:uiPriority w:val="9"/>
    <w:rPr>
      <w:rFonts w:ascii="Arial" w:hAnsi="Arial" w:eastAsia="Arial" w:cs="Arial"/>
      <w:b/>
      <w:bCs/>
      <w:sz w:val="22"/>
      <w:szCs w:val="22"/>
    </w:rPr>
  </w:style>
  <w:style w:type="paragraph" w:styleId="783" w:customStyle="1">
    <w:name w:val="Заголовок 71"/>
    <w:basedOn w:val="728"/>
    <w:next w:val="728"/>
    <w:link w:val="7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4" w:customStyle="1">
    <w:name w:val="Heading 7 Char"/>
    <w:link w:val="7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5" w:customStyle="1">
    <w:name w:val="Заголовок 81"/>
    <w:basedOn w:val="728"/>
    <w:next w:val="728"/>
    <w:link w:val="7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6" w:customStyle="1">
    <w:name w:val="Heading 8 Char"/>
    <w:link w:val="785"/>
    <w:uiPriority w:val="9"/>
    <w:rPr>
      <w:rFonts w:ascii="Arial" w:hAnsi="Arial" w:eastAsia="Arial" w:cs="Arial"/>
      <w:i/>
      <w:iCs/>
      <w:sz w:val="22"/>
      <w:szCs w:val="22"/>
    </w:rPr>
  </w:style>
  <w:style w:type="paragraph" w:styleId="787" w:customStyle="1">
    <w:name w:val="Заголовок 91"/>
    <w:basedOn w:val="728"/>
    <w:next w:val="728"/>
    <w:link w:val="7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Heading 9 Char"/>
    <w:link w:val="787"/>
    <w:uiPriority w:val="9"/>
    <w:rPr>
      <w:rFonts w:ascii="Arial" w:hAnsi="Arial" w:eastAsia="Arial" w:cs="Arial"/>
      <w:i/>
      <w:iCs/>
      <w:sz w:val="21"/>
      <w:szCs w:val="21"/>
    </w:rPr>
  </w:style>
  <w:style w:type="paragraph" w:styleId="789">
    <w:name w:val="List Paragraph"/>
    <w:basedOn w:val="728"/>
    <w:uiPriority w:val="34"/>
    <w:qFormat/>
    <w:pPr>
      <w:contextualSpacing/>
      <w:ind w:left="720"/>
    </w:pPr>
  </w:style>
  <w:style w:type="paragraph" w:styleId="790">
    <w:name w:val="No Spacing"/>
    <w:link w:val="986"/>
    <w:uiPriority w:val="1"/>
    <w:qFormat/>
  </w:style>
  <w:style w:type="paragraph" w:styleId="791">
    <w:name w:val="Title"/>
    <w:basedOn w:val="728"/>
    <w:next w:val="728"/>
    <w:link w:val="79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2" w:customStyle="1">
    <w:name w:val="Название Знак"/>
    <w:link w:val="791"/>
    <w:uiPriority w:val="10"/>
    <w:rPr>
      <w:sz w:val="48"/>
      <w:szCs w:val="48"/>
    </w:rPr>
  </w:style>
  <w:style w:type="paragraph" w:styleId="793">
    <w:name w:val="Subtitle"/>
    <w:basedOn w:val="728"/>
    <w:next w:val="728"/>
    <w:link w:val="794"/>
    <w:uiPriority w:val="11"/>
    <w:qFormat/>
    <w:pPr>
      <w:spacing w:before="200" w:after="200"/>
    </w:pPr>
    <w:rPr>
      <w:sz w:val="24"/>
      <w:szCs w:val="24"/>
    </w:rPr>
  </w:style>
  <w:style w:type="character" w:styleId="794" w:customStyle="1">
    <w:name w:val="Подзаголовок Знак"/>
    <w:link w:val="793"/>
    <w:uiPriority w:val="11"/>
    <w:rPr>
      <w:sz w:val="24"/>
      <w:szCs w:val="24"/>
    </w:rPr>
  </w:style>
  <w:style w:type="paragraph" w:styleId="795">
    <w:name w:val="Quote"/>
    <w:basedOn w:val="728"/>
    <w:next w:val="728"/>
    <w:link w:val="796"/>
    <w:uiPriority w:val="29"/>
    <w:qFormat/>
    <w:pPr>
      <w:ind w:left="720" w:right="720"/>
    </w:pPr>
    <w:rPr>
      <w:i/>
    </w:rPr>
  </w:style>
  <w:style w:type="character" w:styleId="796" w:customStyle="1">
    <w:name w:val="Цитата 2 Знак"/>
    <w:link w:val="795"/>
    <w:uiPriority w:val="29"/>
    <w:rPr>
      <w:i/>
    </w:rPr>
  </w:style>
  <w:style w:type="paragraph" w:styleId="797">
    <w:name w:val="Intense Quote"/>
    <w:basedOn w:val="728"/>
    <w:next w:val="728"/>
    <w:link w:val="7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8" w:customStyle="1">
    <w:name w:val="Выделенная цитата Знак"/>
    <w:link w:val="797"/>
    <w:uiPriority w:val="30"/>
    <w:rPr>
      <w:i/>
    </w:rPr>
  </w:style>
  <w:style w:type="paragraph" w:styleId="799" w:customStyle="1">
    <w:name w:val="Верхний колонтитул1"/>
    <w:basedOn w:val="728"/>
    <w:link w:val="80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00" w:customStyle="1">
    <w:name w:val="Header Char"/>
    <w:link w:val="799"/>
    <w:uiPriority w:val="99"/>
  </w:style>
  <w:style w:type="paragraph" w:styleId="801" w:customStyle="1">
    <w:name w:val="Нижний колонтитул1"/>
    <w:basedOn w:val="728"/>
    <w:link w:val="80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02" w:customStyle="1">
    <w:name w:val="Footer Char"/>
    <w:link w:val="801"/>
    <w:uiPriority w:val="99"/>
  </w:style>
  <w:style w:type="paragraph" w:styleId="803" w:customStyle="1">
    <w:name w:val="Название объекта1"/>
    <w:basedOn w:val="728"/>
    <w:next w:val="728"/>
    <w:link w:val="8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4" w:customStyle="1">
    <w:name w:val="Caption Char"/>
    <w:link w:val="803"/>
    <w:uiPriority w:val="35"/>
    <w:rPr>
      <w:b/>
      <w:bCs/>
      <w:color w:val="4f81bd" w:themeColor="accent1"/>
      <w:sz w:val="18"/>
      <w:szCs w:val="18"/>
    </w:rPr>
  </w:style>
  <w:style w:type="table" w:styleId="805">
    <w:name w:val="Table Grid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6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7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8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9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0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2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4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5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36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37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8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9" w:customStyle="1">
    <w:name w:val="Grid Table 4 - Accent 6"/>
    <w:link w:val="972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0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1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2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3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4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5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47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8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9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0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1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2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3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4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9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0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1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2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3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4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5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0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1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2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3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4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7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8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9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0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1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2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3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4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5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6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7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8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9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0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1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2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3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4" w:customStyle="1">
    <w:name w:val="Lined - Accent 4"/>
    <w:link w:val="98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5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6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7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8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9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0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1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2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3" w:customStyle="1">
    <w:name w:val="Bordered &amp; Lined - Accent 6"/>
    <w:link w:val="97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4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5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26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27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8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9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0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31">
    <w:name w:val="Hyperlink"/>
    <w:uiPriority w:val="99"/>
    <w:unhideWhenUsed/>
    <w:rPr>
      <w:color w:val="0000ff" w:themeColor="hyperlink"/>
      <w:u w:val="single"/>
    </w:rPr>
  </w:style>
  <w:style w:type="paragraph" w:styleId="932">
    <w:name w:val="footnote text"/>
    <w:basedOn w:val="728"/>
    <w:link w:val="933"/>
    <w:uiPriority w:val="99"/>
    <w:semiHidden/>
    <w:unhideWhenUsed/>
    <w:pPr>
      <w:spacing w:after="40"/>
    </w:pPr>
    <w:rPr>
      <w:sz w:val="18"/>
    </w:rPr>
  </w:style>
  <w:style w:type="character" w:styleId="933" w:customStyle="1">
    <w:name w:val="Текст сноски Знак"/>
    <w:link w:val="932"/>
    <w:uiPriority w:val="99"/>
    <w:rPr>
      <w:sz w:val="18"/>
    </w:rPr>
  </w:style>
  <w:style w:type="character" w:styleId="934">
    <w:name w:val="footnote reference"/>
    <w:uiPriority w:val="99"/>
    <w:unhideWhenUsed/>
    <w:rPr>
      <w:vertAlign w:val="superscript"/>
    </w:rPr>
  </w:style>
  <w:style w:type="paragraph" w:styleId="935">
    <w:name w:val="endnote text"/>
    <w:basedOn w:val="728"/>
    <w:link w:val="936"/>
    <w:uiPriority w:val="99"/>
    <w:semiHidden/>
    <w:unhideWhenUsed/>
  </w:style>
  <w:style w:type="character" w:styleId="936" w:customStyle="1">
    <w:name w:val="Текст концевой сноски Знак"/>
    <w:link w:val="935"/>
    <w:uiPriority w:val="99"/>
    <w:rPr>
      <w:sz w:val="20"/>
    </w:rPr>
  </w:style>
  <w:style w:type="character" w:styleId="937">
    <w:name w:val="endnote reference"/>
    <w:uiPriority w:val="99"/>
    <w:semiHidden/>
    <w:unhideWhenUsed/>
    <w:rPr>
      <w:vertAlign w:val="superscript"/>
    </w:rPr>
  </w:style>
  <w:style w:type="paragraph" w:styleId="938">
    <w:name w:val="toc 1"/>
    <w:basedOn w:val="728"/>
    <w:next w:val="728"/>
    <w:uiPriority w:val="39"/>
    <w:unhideWhenUsed/>
    <w:pPr>
      <w:spacing w:after="57"/>
    </w:pPr>
  </w:style>
  <w:style w:type="paragraph" w:styleId="939">
    <w:name w:val="toc 2"/>
    <w:basedOn w:val="728"/>
    <w:next w:val="728"/>
    <w:uiPriority w:val="39"/>
    <w:unhideWhenUsed/>
    <w:pPr>
      <w:ind w:left="283"/>
      <w:spacing w:after="57"/>
    </w:pPr>
  </w:style>
  <w:style w:type="paragraph" w:styleId="940">
    <w:name w:val="toc 3"/>
    <w:basedOn w:val="728"/>
    <w:next w:val="728"/>
    <w:uiPriority w:val="39"/>
    <w:unhideWhenUsed/>
    <w:pPr>
      <w:ind w:left="567"/>
      <w:spacing w:after="57"/>
    </w:pPr>
  </w:style>
  <w:style w:type="paragraph" w:styleId="941">
    <w:name w:val="toc 4"/>
    <w:basedOn w:val="728"/>
    <w:next w:val="728"/>
    <w:uiPriority w:val="39"/>
    <w:unhideWhenUsed/>
    <w:pPr>
      <w:ind w:left="850"/>
      <w:spacing w:after="57"/>
    </w:pPr>
  </w:style>
  <w:style w:type="paragraph" w:styleId="942">
    <w:name w:val="toc 5"/>
    <w:basedOn w:val="728"/>
    <w:next w:val="728"/>
    <w:uiPriority w:val="39"/>
    <w:unhideWhenUsed/>
    <w:pPr>
      <w:ind w:left="1134"/>
      <w:spacing w:after="57"/>
    </w:pPr>
  </w:style>
  <w:style w:type="paragraph" w:styleId="943">
    <w:name w:val="toc 6"/>
    <w:basedOn w:val="728"/>
    <w:next w:val="728"/>
    <w:uiPriority w:val="39"/>
    <w:unhideWhenUsed/>
    <w:pPr>
      <w:ind w:left="1417"/>
      <w:spacing w:after="57"/>
    </w:pPr>
  </w:style>
  <w:style w:type="paragraph" w:styleId="944">
    <w:name w:val="toc 7"/>
    <w:basedOn w:val="728"/>
    <w:next w:val="728"/>
    <w:uiPriority w:val="39"/>
    <w:unhideWhenUsed/>
    <w:pPr>
      <w:ind w:left="1701"/>
      <w:spacing w:after="57"/>
    </w:pPr>
  </w:style>
  <w:style w:type="paragraph" w:styleId="945">
    <w:name w:val="toc 8"/>
    <w:basedOn w:val="728"/>
    <w:next w:val="728"/>
    <w:uiPriority w:val="39"/>
    <w:unhideWhenUsed/>
    <w:pPr>
      <w:ind w:left="1984"/>
      <w:spacing w:after="57"/>
    </w:pPr>
  </w:style>
  <w:style w:type="paragraph" w:styleId="946">
    <w:name w:val="toc 9"/>
    <w:basedOn w:val="728"/>
    <w:next w:val="728"/>
    <w:uiPriority w:val="39"/>
    <w:unhideWhenUsed/>
    <w:pPr>
      <w:ind w:left="2268"/>
      <w:spacing w:after="57"/>
    </w:pPr>
  </w:style>
  <w:style w:type="paragraph" w:styleId="947">
    <w:name w:val="TOC Heading"/>
    <w:uiPriority w:val="39"/>
    <w:unhideWhenUsed/>
  </w:style>
  <w:style w:type="paragraph" w:styleId="948">
    <w:name w:val="table of figures"/>
    <w:basedOn w:val="728"/>
    <w:next w:val="728"/>
    <w:uiPriority w:val="99"/>
    <w:unhideWhenUsed/>
  </w:style>
  <w:style w:type="paragraph" w:styleId="949" w:customStyle="1">
    <w:name w:val="ConsPlusNormal"/>
    <w:pPr>
      <w:widowControl w:val="off"/>
    </w:pPr>
    <w:rPr>
      <w:sz w:val="24"/>
    </w:rPr>
  </w:style>
  <w:style w:type="paragraph" w:styleId="950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1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952" w:customStyle="1">
    <w:name w:val="ConsPlusCell"/>
    <w:pPr>
      <w:widowControl w:val="off"/>
    </w:pPr>
    <w:rPr>
      <w:rFonts w:ascii="Courier New" w:hAnsi="Courier New" w:cs="Courier New"/>
    </w:rPr>
  </w:style>
  <w:style w:type="paragraph" w:styleId="953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954" w:customStyle="1">
    <w:name w:val="ConsPlusTitlePage"/>
    <w:pPr>
      <w:widowControl w:val="off"/>
    </w:pPr>
    <w:rPr>
      <w:rFonts w:ascii="Tahoma" w:hAnsi="Tahoma" w:cs="Tahoma"/>
    </w:rPr>
  </w:style>
  <w:style w:type="paragraph" w:styleId="955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956" w:customStyle="1">
    <w:name w:val="ConsPlusTextList"/>
    <w:pPr>
      <w:widowControl w:val="off"/>
    </w:pPr>
    <w:rPr>
      <w:sz w:val="24"/>
    </w:rPr>
  </w:style>
  <w:style w:type="paragraph" w:styleId="957" w:customStyle="1">
    <w:name w:val="ConsPlusTextList"/>
    <w:pPr>
      <w:widowControl w:val="off"/>
    </w:pPr>
    <w:rPr>
      <w:sz w:val="24"/>
    </w:rPr>
  </w:style>
  <w:style w:type="paragraph" w:styleId="958" w:customStyle="1">
    <w:name w:val="Верхний колонтитул2"/>
    <w:basedOn w:val="728"/>
    <w:link w:val="959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59" w:customStyle="1">
    <w:name w:val="Верхний колонтитул Знак"/>
    <w:basedOn w:val="729"/>
    <w:link w:val="958"/>
    <w:uiPriority w:val="99"/>
    <w:semiHidden/>
  </w:style>
  <w:style w:type="paragraph" w:styleId="960" w:customStyle="1">
    <w:name w:val="Нижний колонтитул2"/>
    <w:basedOn w:val="728"/>
    <w:link w:val="961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61" w:customStyle="1">
    <w:name w:val="Нижний колонтитул Знак"/>
    <w:basedOn w:val="729"/>
    <w:link w:val="960"/>
    <w:uiPriority w:val="99"/>
    <w:semiHidden/>
  </w:style>
  <w:style w:type="character" w:styleId="962" w:customStyle="1">
    <w:name w:val="Font Style29"/>
    <w:basedOn w:val="729"/>
    <w:qFormat/>
    <w:rPr>
      <w:rFonts w:ascii="Times New Roman" w:hAnsi="Times New Roman" w:cs="Times New Roman"/>
      <w:b/>
      <w:bCs/>
      <w:sz w:val="28"/>
      <w:szCs w:val="28"/>
    </w:rPr>
  </w:style>
  <w:style w:type="character" w:styleId="963" w:customStyle="1">
    <w:name w:val="Основной текст_"/>
    <w:basedOn w:val="729"/>
    <w:link w:val="964"/>
    <w:rPr>
      <w:spacing w:val="2"/>
      <w:sz w:val="21"/>
      <w:szCs w:val="21"/>
      <w:shd w:val="clear" w:color="auto" w:fill="ffffff"/>
    </w:rPr>
  </w:style>
  <w:style w:type="paragraph" w:styleId="964" w:customStyle="1">
    <w:name w:val="Основной текст3"/>
    <w:basedOn w:val="728"/>
    <w:link w:val="963"/>
    <w:pPr>
      <w:jc w:val="center"/>
      <w:spacing w:line="274" w:lineRule="exact"/>
      <w:shd w:val="clear" w:color="auto" w:fill="ffffff"/>
      <w:widowControl w:val="off"/>
    </w:pPr>
    <w:rPr>
      <w:spacing w:val="2"/>
      <w:sz w:val="21"/>
      <w:szCs w:val="21"/>
    </w:rPr>
  </w:style>
  <w:style w:type="character" w:styleId="965" w:customStyle="1">
    <w:name w:val="Заголовок 1 Знак"/>
    <w:basedOn w:val="729"/>
    <w:link w:val="770"/>
    <w:uiPriority w:val="9"/>
    <w:rPr>
      <w:rFonts w:ascii="Arial" w:hAnsi="Arial" w:eastAsia="Arial" w:cs="Arial"/>
      <w:sz w:val="40"/>
      <w:szCs w:val="40"/>
      <w:lang w:eastAsia="en-US"/>
    </w:rPr>
  </w:style>
  <w:style w:type="table" w:styleId="966" w:customStyle="1">
    <w:name w:val="Сетка таблицы3"/>
    <w:basedOn w:val="730"/>
    <w:next w:val="805"/>
    <w:rPr>
      <w:rFonts w:ascii="PT Astra Serif" w:hAnsi="PT Astra Serif" w:eastAsia="Calibri"/>
      <w:sz w:val="26"/>
      <w:szCs w:val="26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7">
    <w:name w:val="Balloon Text"/>
    <w:basedOn w:val="728"/>
    <w:link w:val="968"/>
    <w:uiPriority w:val="99"/>
    <w:semiHidden/>
    <w:unhideWhenUsed/>
    <w:rPr>
      <w:rFonts w:ascii="Tahoma" w:hAnsi="Tahoma" w:cs="Tahoma"/>
      <w:sz w:val="16"/>
      <w:szCs w:val="16"/>
    </w:rPr>
  </w:style>
  <w:style w:type="character" w:styleId="968" w:customStyle="1">
    <w:name w:val="Текст выноски Знак"/>
    <w:basedOn w:val="729"/>
    <w:link w:val="967"/>
    <w:uiPriority w:val="99"/>
    <w:semiHidden/>
    <w:rPr>
      <w:rFonts w:ascii="Tahoma" w:hAnsi="Tahoma" w:cs="Tahoma"/>
      <w:sz w:val="16"/>
      <w:szCs w:val="16"/>
    </w:rPr>
  </w:style>
  <w:style w:type="table" w:styleId="969" w:customStyle="1">
    <w:name w:val="Сетка таблицы4"/>
    <w:basedOn w:val="730"/>
    <w:next w:val="805"/>
    <w:rPr>
      <w:rFonts w:ascii="PT Astra Serif" w:hAnsi="PT Astra Serif" w:eastAsia="Calibri"/>
      <w:sz w:val="26"/>
      <w:szCs w:val="26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0" w:customStyle="1">
    <w:name w:val="Сетка таблицы5"/>
    <w:basedOn w:val="730"/>
    <w:next w:val="805"/>
    <w:rPr>
      <w:rFonts w:ascii="PT Astra Serif" w:hAnsi="PT Astra Serif" w:eastAsia="Calibri"/>
      <w:sz w:val="26"/>
      <w:szCs w:val="26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71" w:customStyle="1">
    <w:name w:val="Font Style18"/>
    <w:rPr>
      <w:rFonts w:ascii="Times New Roman" w:hAnsi="Times New Roman" w:cs="Times New Roman"/>
      <w:sz w:val="22"/>
      <w:szCs w:val="22"/>
    </w:rPr>
  </w:style>
  <w:style w:type="character" w:styleId="972" w:customStyle="1">
    <w:name w:val="Гиперссылка1"/>
    <w:link w:val="839"/>
    <w:uiPriority w:val="99"/>
    <w:unhideWhenUsed/>
    <w:rPr>
      <w:color w:val="0563c1"/>
      <w:u w:val="single"/>
    </w:rPr>
  </w:style>
  <w:style w:type="paragraph" w:styleId="973" w:customStyle="1">
    <w:name w:val="Основной текст1"/>
    <w:link w:val="923"/>
    <w:uiPriority w:val="99"/>
    <w:pPr>
      <w:spacing w:line="240" w:lineRule="atLeast"/>
      <w:shd w:val="clear" w:color="auto" w:fill="ffff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eastAsiaTheme="minorEastAsia"/>
      <w:sz w:val="22"/>
      <w:szCs w:val="22"/>
    </w:rPr>
  </w:style>
  <w:style w:type="paragraph" w:styleId="974" w:customStyle="1">
    <w:name w:val="Основной текст с отступом 21"/>
    <w:pPr>
      <w:ind w:firstLine="1080"/>
      <w:jc w:val="both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8"/>
      <w:szCs w:val="24"/>
      <w:lang w:eastAsia="ar-SA"/>
    </w:rPr>
  </w:style>
  <w:style w:type="paragraph" w:styleId="975" w:customStyle="1">
    <w:name w:val="Верхний колонтитул3"/>
    <w:basedOn w:val="728"/>
    <w:link w:val="976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76" w:customStyle="1">
    <w:name w:val="Верхний колонтитул Знак1"/>
    <w:basedOn w:val="729"/>
    <w:link w:val="975"/>
    <w:uiPriority w:val="99"/>
    <w:semiHidden/>
  </w:style>
  <w:style w:type="paragraph" w:styleId="977" w:customStyle="1">
    <w:name w:val="Нижний колонтитул3"/>
    <w:basedOn w:val="728"/>
    <w:link w:val="978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78" w:customStyle="1">
    <w:name w:val="Нижний колонтитул Знак1"/>
    <w:basedOn w:val="729"/>
    <w:link w:val="977"/>
    <w:uiPriority w:val="99"/>
    <w:semiHidden/>
  </w:style>
  <w:style w:type="character" w:styleId="979" w:customStyle="1">
    <w:name w:val="Заголовок 1 Знак1"/>
    <w:basedOn w:val="729"/>
    <w:link w:val="763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980">
    <w:name w:val="Normal (Web)"/>
    <w:basedOn w:val="728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981" w:customStyle="1">
    <w:name w:val="Font Style17"/>
    <w:rPr>
      <w:rFonts w:ascii="Times New Roman" w:hAnsi="Times New Roman" w:cs="Times New Roman"/>
      <w:sz w:val="24"/>
      <w:szCs w:val="24"/>
    </w:rPr>
  </w:style>
  <w:style w:type="paragraph" w:styleId="982" w:customStyle="1">
    <w:name w:val="Основной текст2"/>
    <w:link w:val="914"/>
    <w:uiPriority w:val="99"/>
    <w:pPr>
      <w:spacing w:line="240" w:lineRule="atLeast"/>
      <w:shd w:val="clear" w:color="auto" w:fill="ffff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eastAsiaTheme="minorEastAsia"/>
      <w:sz w:val="22"/>
      <w:szCs w:val="22"/>
    </w:rPr>
  </w:style>
  <w:style w:type="character" w:styleId="983" w:customStyle="1">
    <w:name w:val="Гиперссылка2"/>
    <w:link w:val="767"/>
    <w:uiPriority w:val="99"/>
    <w:unhideWhenUsed/>
    <w:rPr>
      <w:color w:val="0563c1"/>
      <w:u w:val="single"/>
    </w:rPr>
  </w:style>
  <w:style w:type="paragraph" w:styleId="984">
    <w:name w:val="Body Text"/>
    <w:basedOn w:val="728"/>
    <w:next w:val="728"/>
    <w:link w:val="985"/>
    <w:pPr>
      <w:ind w:firstLine="709"/>
      <w:jc w:val="both"/>
    </w:pPr>
    <w:rPr>
      <w:sz w:val="22"/>
      <w:szCs w:val="24"/>
    </w:rPr>
  </w:style>
  <w:style w:type="character" w:styleId="985" w:customStyle="1">
    <w:name w:val="Основной текст Знак"/>
    <w:basedOn w:val="729"/>
    <w:link w:val="984"/>
    <w:rPr>
      <w:sz w:val="22"/>
      <w:szCs w:val="24"/>
    </w:rPr>
  </w:style>
  <w:style w:type="character" w:styleId="986" w:customStyle="1">
    <w:name w:val="Без интервала Знак"/>
    <w:basedOn w:val="729"/>
    <w:link w:val="790"/>
    <w:uiPriority w:val="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hart" Target="charts/chart1.xml" /><Relationship Id="rId13" Type="http://schemas.openxmlformats.org/officeDocument/2006/relationships/chart" Target="charts/chart2.xml" /><Relationship Id="rId14" Type="http://schemas.openxmlformats.org/officeDocument/2006/relationships/chart" Target="charts/chart3.xml" /><Relationship Id="rId15" Type="http://schemas.openxmlformats.org/officeDocument/2006/relationships/chart" Target="charts/chart4.xml" /><Relationship Id="rId16" Type="http://schemas.openxmlformats.org/officeDocument/2006/relationships/chart" Target="charts/chart5.xml" /><Relationship Id="rId17" Type="http://schemas.openxmlformats.org/officeDocument/2006/relationships/hyperlink" Target="http://depzhkh.tomsk.gov.ru/" TargetMode="External"/><Relationship Id="rId18" Type="http://schemas.openxmlformats.org/officeDocument/2006/relationships/hyperlink" Target="http://depzdrav.tomsk.gov.ru/" TargetMode="External"/><Relationship Id="rId19" Type="http://schemas.openxmlformats.org/officeDocument/2006/relationships/hyperlink" Target="http://dor.tomsk.gov.ru/" TargetMode="External"/><Relationship Id="rId20" Type="http://schemas.openxmlformats.org/officeDocument/2006/relationships/chart" Target="charts/chart6.xml" /><Relationship Id="rId21" Type="http://schemas.openxmlformats.org/officeDocument/2006/relationships/chart" Target="charts/chart7.xml" /><Relationship Id="rId22" Type="http://schemas.openxmlformats.org/officeDocument/2006/relationships/chart" Target="charts/chart8.xml" /><Relationship Id="rId23" Type="http://schemas.openxmlformats.org/officeDocument/2006/relationships/chart" Target="charts/chart9.xml" /><Relationship Id="rId24" Type="http://schemas.openxmlformats.org/officeDocument/2006/relationships/chart" Target="charts/chart10.xml" /><Relationship Id="rId25" Type="http://schemas.openxmlformats.org/officeDocument/2006/relationships/chart" Target="charts/chart11.xml" /><Relationship Id="rId26" Type="http://schemas.openxmlformats.org/officeDocument/2006/relationships/hyperlink" Target="file:///C:\Users\&#1071;\AppData\Local\Temp\b096b44b-07bd-44a2-9c07-76f3d1f73548_Attachments_stepanovayus@tomsk.gov.ru_2026-02-15_21-23-07.zip.548\www.tomsk.gov.ru" TargetMode="External"/><Relationship Id="rId27" Type="http://schemas.openxmlformats.org/officeDocument/2006/relationships/chart" Target="charts/chart12.xml" /><Relationship Id="rId28" Type="http://schemas.openxmlformats.org/officeDocument/2006/relationships/hyperlink" Target="file:///C:\Users\&#1071;\AppData\Local\Temp\b096b44b-07bd-44a2-9c07-76f3d1f73548_Attachments_stepanovayus@tomsk.gov.ru_2026-02-15_21-23-07.zip.548\www.tomsk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charts/_rels/chart1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1.xlsx" /></Relationships>
</file>

<file path=word/charts/_rels/chart2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2.xlsx" /></Relationships>
</file>

<file path=word/charts/_rels/chart3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3.xlsx" /></Relationships>
</file>

<file path=word/charts/_rels/chart4.xml.rels><?xml version="1.0" encoding="UTF-8" standalone="yes"?><Relationships xmlns="http://schemas.openxmlformats.org/package/2006/relationships"><Relationship Id="rId1" Type="http://schemas.openxmlformats.org/officeDocument/2006/relationships/themeOverride" Target="../theme/themeOverride1.xml" /><Relationship Id="rId2" Type="http://schemas.openxmlformats.org/officeDocument/2006/relationships/package" Target="../embeddings/Microsoft_Excel_Worksheet4.xlsx" /></Relationships>
</file>

<file path=word/charts/_rels/chart5.xml.rels><?xml version="1.0" encoding="UTF-8" standalone="yes"?><Relationships xmlns="http://schemas.openxmlformats.org/package/2006/relationships"><Relationship Id="rId1" Type="http://schemas.openxmlformats.org/officeDocument/2006/relationships/themeOverride" Target="../theme/themeOverride1.xml" /><Relationship Id="rId2" Type="http://schemas.openxmlformats.org/officeDocument/2006/relationships/package" Target="../embeddings/Microsoft_Excel_Worksheet5.xlsx" /></Relationships>
</file>

<file path=word/charts/_rels/chart6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6.xlsx" /></Relationships>
</file>

<file path=word/charts/_rels/chart7.xml.rels><?xml version="1.0" encoding="UTF-8" standalone="yes"?><Relationships xmlns="http://schemas.openxmlformats.org/package/2006/relationships"><Relationship Id="rId1" Type="http://schemas.openxmlformats.org/officeDocument/2006/relationships/themeOverride" Target="../theme/themeOverride1.xml" /><Relationship Id="rId2" Type="http://schemas.openxmlformats.org/officeDocument/2006/relationships/package" Target="../embeddings/Microsoft_Excel_Worksheet7.xlsx" /></Relationships>
</file>

<file path=word/charts/_rels/chart8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8.xlsx" /></Relationships>
</file>

<file path=word/charts/_rels/chart9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9.xlsx" /></Relationships>
</file>

<file path=word/charts/_rels/chart10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10.xlsx" /></Relationships>
</file>

<file path=word/charts/_rels/chart11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11.xlsx" /></Relationships>
</file>

<file path=word/charts/_rels/chart12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12.xlsx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PT Astra Serif"/>
                <a:ea typeface="PT Astra Serif"/>
              </a:defRPr>
            </a:pPr>
            <a:r>
              <a:rPr lang="ru-RU" sz="1200">
                <a:latin typeface="PT Astra Serif"/>
                <a:ea typeface="PT Astra Serif"/>
              </a:rPr>
              <a:t>Проверки достоверности и полноты сведений </a:t>
            </a:r>
            <a:br>
              <a:rPr lang="ru-RU" sz="1200">
                <a:latin typeface="PT Astra Serif"/>
                <a:ea typeface="PT Astra Serif"/>
              </a:rPr>
            </a:br>
            <a:r>
              <a:rPr lang="ru-RU" sz="1200">
                <a:latin typeface="PT Astra Serif"/>
                <a:ea typeface="PT Astra Serif"/>
              </a:rPr>
              <a:t>о доходах в органах государственной власти </a:t>
            </a:r>
            <a:br>
              <a:rPr lang="ru-RU" sz="1200">
                <a:latin typeface="PT Astra Serif"/>
                <a:ea typeface="PT Astra Serif"/>
              </a:rPr>
            </a:br>
            <a:r>
              <a:rPr lang="ru-RU" sz="1200">
                <a:latin typeface="PT Astra Serif"/>
                <a:ea typeface="PT Astra Serif"/>
              </a:rPr>
              <a:t>Томской области</a:t>
            </a:r>
            <a:endParaRPr lang="ru-RU" sz="1600"/>
          </a:p>
        </c:rich>
      </c:tx>
      <c:layout>
        <c:manualLayout>
          <c:xMode val="edge"/>
          <c:yMode val="edge"/>
          <c:x val="0.199572"/>
          <c:y val="0.001636"/>
        </c:manualLayout>
      </c:layout>
      <c:overlay val="0"/>
    </c:title>
    <c:autoTitleDeleted val="0"/>
    <c:view3D>
      <c:rotX val="30"/>
      <c:rotY val="8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25620"/>
          <c:y val="0.312270"/>
          <c:w val="0.452430"/>
          <c:h val="0.45308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государственной власти Томской области</c:v>
                </c:pt>
              </c:strCache>
            </c:strRef>
          </c:tx>
          <c:explosion val="7"/>
          <c:dLbls>
            <c:dLbl>
              <c:idx val="0"/>
              <c:layout>
                <c:manualLayout>
                  <c:x val="0.015270"/>
                  <c:y val="-0.00380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0.035630"/>
                  <c:y val="0.05506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-0.002390"/>
                  <c:y val="0.05584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-0.006330"/>
                  <c:y val="0.0590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-0.000200"/>
                  <c:y val="0.0593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-0.000740"/>
                  <c:y val="0.066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-0.000340"/>
                  <c:y val="-0.00760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03202"/>
                  <c:y val="-0.029671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6840"/>
                  <c:y val="-0.021447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1"/>
              <c:layout>
                <c:manualLayout>
                  <c:x val="-0.001810"/>
                  <c:y val="0.00038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2"/>
              <c:layout>
                <c:manualLayout>
                  <c:x val="0.000580"/>
                  <c:y val="-0.01576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3"/>
              <c:layout>
                <c:manualLayout>
                  <c:x val="-0.003780"/>
                  <c:y val="-0.02164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4"/>
              <c:layout>
                <c:manualLayout>
                  <c:x val="0.000360"/>
                  <c:y val="-0.01875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5"/>
              <c:layout>
                <c:manualLayout>
                  <c:x val="-0.004560"/>
                  <c:y val="-0.0179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6"/>
              <c:layout>
                <c:manualLayout>
                  <c:x val="-0.002310"/>
                  <c:y val="0.0003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</c:dLbls>
          <c:cat>
            <c:strRef>
              <c:f>Лист1!$A$2:$A$10</c:f>
              <c:strCache>
                <c:ptCount val="9"/>
                <c:pt idx="0">
                  <c:v xml:space="preserve">Департамент по профилактике коррупционных и иных правонарушений Администрации Томской области</c:v>
                </c:pt>
                <c:pt idx="1">
                  <c:v xml:space="preserve">Департамент градостроительного развития Томской области</c:v>
                </c:pt>
                <c:pt idx="2">
                  <c:v xml:space="preserve">Департамент инвестиционной и промышленной политики Томской области</c:v>
                </c:pt>
                <c:pt idx="3">
                  <c:v xml:space="preserve">Департамент образования Томской области</c:v>
                </c:pt>
                <c:pt idx="4">
                  <c:v xml:space="preserve">Департамент лесного хозяйства Томской области</c:v>
                </c:pt>
                <c:pt idx="5">
                  <c:v xml:space="preserve">Департамент природных ресурсов и охраны окружающей среды Томской области</c:v>
                </c:pt>
                <c:pt idx="6">
                  <c:v xml:space="preserve">Департамент транспорта, дорожной деятельности и связи Томской области</c:v>
                </c:pt>
                <c:pt idx="7">
                  <c:v xml:space="preserve">Инспекция государственного технического надзора Томской области</c:v>
                </c:pt>
                <c:pt idx="8">
                  <c:v xml:space="preserve">Законодательная Дума Томской области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11</c:v>
                </c:pt>
                <c:pt idx="1">
                  <c:v>6</c:v>
                </c:pt>
                <c:pt idx="2">
                  <c:v>2</c:v>
                </c:pt>
                <c:pt idx="3">
                  <c:v>2</c:v>
                </c:pt>
                <c:pt idx="4">
                  <c:v>2</c:v>
                </c:pt>
                <c:pt idx="5">
                  <c:v>1</c:v>
                </c:pt>
                <c:pt idx="6">
                  <c:v>6</c:v>
                </c:pt>
                <c:pt idx="7">
                  <c:v>2</c:v>
                </c:pt>
                <c:pt idx="8">
                  <c:v>3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egendEntry>
        <c:idx val="1"/>
        <c:txPr>
          <a:bodyPr/>
          <a:lstStyle/>
          <a:p>
            <a:pPr>
              <a:defRPr/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defRPr/>
            </a:pPr>
            <a:endParaRPr lang="ru-RU"/>
          </a:p>
        </c:txPr>
      </c:legendEntry>
      <c:legendEntry>
        <c:idx val="4"/>
        <c:txPr>
          <a:bodyPr/>
          <a:lstStyle/>
          <a:p>
            <a:pPr>
              <a:defRPr/>
            </a:pPr>
            <a:endParaRPr lang="ru-RU"/>
          </a:p>
        </c:txPr>
      </c:legendEntry>
      <c:layout>
        <c:manualLayout>
          <c:xMode val="edge"/>
          <c:yMode val="edge"/>
          <c:x val="0.491530"/>
          <c:y val="0.150945"/>
          <c:w val="0.506490"/>
          <c:h val="0.837620"/>
        </c:manualLayout>
      </c:layout>
      <c:overlay val="0"/>
      <c:txPr>
        <a:bodyPr/>
        <a:lstStyle/>
        <a:p>
          <a:pPr>
            <a:defRPr/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Проверки достоверности и полноты сведений о доходах</a:t>
            </a:r>
            <a:endParaRPr lang="ru-RU"/>
          </a:p>
          <a:p>
            <a:pPr>
              <a:defRPr sz="1200"/>
            </a:pPr>
            <a:r>
              <a:rPr lang="ru-RU"/>
              <a:t>в органах</a:t>
            </a:r>
            <a:r>
              <a:rPr lang="ru-RU" sz="1200"/>
              <a:t> местного самоуправления Томской области</a:t>
            </a:r>
            <a:br>
              <a:rPr lang="ru-RU" sz="1200"/>
            </a:br>
            <a:endParaRPr lang="ru-RU"/>
          </a:p>
        </c:rich>
      </c:tx>
      <c:layout/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09890"/>
          <c:y val="0.247520"/>
          <c:w val="0.545530"/>
          <c:h val="0.70223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 в органах местного самоуправления Томской области
</c:v>
                </c:pt>
              </c:strCache>
            </c:strRef>
          </c:tx>
          <c:explosion val="25"/>
          <c:dPt>
            <c:idx val="5"/>
            <c:bubble3D val="0"/>
            <c:spPr bwMode="auto">
              <a:prstGeom prst="rect">
                <a:avLst/>
              </a:prstGeom>
              <a:solidFill>
                <a:schemeClr val="accent6"/>
              </a:solidFill>
            </c:spPr>
          </c:dPt>
          <c:dLbls>
            <c:dLbl>
              <c:idx val="0"/>
              <c:layout>
                <c:manualLayout>
                  <c:x val="-0.003772"/>
                  <c:y val="-0.04285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0.016155"/>
                  <c:y val="-0.057155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17630"/>
                  <c:y val="-0.062525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16845"/>
                  <c:y val="0.02521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81550"/>
                  <c:y val="0.09325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41788"/>
                  <c:y val="-0.164053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</c:dLbls>
          <c:cat>
            <c:strRef>
              <c:f>Лист1!$A$2:$A$7</c:f>
              <c:strCache>
                <c:ptCount val="6"/>
                <c:pt idx="0">
                  <c:v xml:space="preserve">Парабельский муниципальный район Томской области</c:v>
                </c:pt>
                <c:pt idx="1">
                  <c:v xml:space="preserve">Городской округ Стрежевой Томской области</c:v>
                </c:pt>
                <c:pt idx="2">
                  <c:v xml:space="preserve">Колпашевский муниципальный район Томской области</c:v>
                </c:pt>
                <c:pt idx="3">
                  <c:v xml:space="preserve">Шегарский муниципальный район Томской области</c:v>
                </c:pt>
                <c:pt idx="4">
                  <c:v xml:space="preserve">Городской округ ЗАТО Северск Томской области</c:v>
                </c:pt>
                <c:pt idx="5">
                  <c:v xml:space="preserve">Город Томск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5</c:v>
                </c:pt>
                <c:pt idx="1">
                  <c:v>6</c:v>
                </c:pt>
                <c:pt idx="2">
                  <c:v>7</c:v>
                </c:pt>
                <c:pt idx="3">
                  <c:v>13</c:v>
                </c:pt>
                <c:pt idx="4">
                  <c:v>34</c:v>
                </c:pt>
                <c:pt idx="5">
                  <c:v>51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676500"/>
          <c:y val="0.188030"/>
          <c:w val="0.381940"/>
          <c:h val="0.797260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/>
                <a:ea typeface="PT Astra Serif"/>
              </a:defRPr>
            </a:pPr>
            <a:r>
              <a:rPr lang="ru-RU" sz="1050">
                <a:latin typeface="PT Astra Serif"/>
                <a:ea typeface="PT Astra Serif"/>
              </a:rPr>
              <a:t>Лица, к которым применены меры ответственности </a:t>
            </a:r>
            <a:br>
              <a:rPr lang="ru-RU" sz="1050">
                <a:latin typeface="PT Astra Serif"/>
                <a:ea typeface="PT Astra Serif"/>
              </a:rPr>
            </a:br>
            <a:r>
              <a:rPr lang="ru-RU" sz="1050">
                <a:latin typeface="PT Astra Serif"/>
                <a:ea typeface="PT Astra Serif"/>
              </a:rPr>
              <a:t>за коррупционные правонарушения</a:t>
            </a:r>
            <a:endParaRPr lang="ru-RU"/>
          </a:p>
        </c:rich>
      </c:tx>
      <c:layout/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88450"/>
          <c:y val="0.374170"/>
          <c:w val="0.355720"/>
          <c:h val="0.48830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0.008986"/>
                  <c:y val="-0.059655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-0.018100"/>
                  <c:y val="0.1098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-0.018954"/>
                  <c:y val="-0.031923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3851"/>
                  <c:y val="-0.07250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07210"/>
                  <c:y val="-0.00787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0"/>
                  <c:y val="-0.0023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0"/>
                  <c:y val="0.0127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Лист1!$A$2:$A$5</c:f>
              <c:strCache>
                <c:ptCount val="4"/>
                <c:pt idx="0">
                  <c:v xml:space="preserve">Государственные гражданские служащие Томской области</c:v>
                </c:pt>
                <c:pt idx="1">
                  <c:v xml:space="preserve">Муниципальные служащие Томской области</c:v>
                </c:pt>
                <c:pt idx="2">
                  <c:v xml:space="preserve">Лица, замещающие муниципальные должности</c:v>
                </c:pt>
                <c:pt idx="3">
                  <c:v xml:space="preserve">Лица, замещающие государственные должности Томской области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16</c:v>
                </c:pt>
                <c:pt idx="1">
                  <c:v>50</c:v>
                </c:pt>
                <c:pt idx="2">
                  <c:v>2</c:v>
                </c:pt>
                <c:pt idx="3">
                  <c:v>1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426970"/>
          <c:y val="0.300008"/>
          <c:w val="0.572260"/>
          <c:h val="0.50761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/>
                <a:ea typeface="PT Astra Serif"/>
              </a:defRPr>
            </a:pPr>
            <a:r>
              <a:rPr lang="ru-RU" sz="1050">
                <a:latin typeface="PT Astra Serif"/>
                <a:ea typeface="PT Astra Serif"/>
              </a:rPr>
              <a:t>Проверки соблюдения ограничений и запретов, требований </a:t>
            </a:r>
            <a:br>
              <a:rPr lang="ru-RU" sz="1050">
                <a:latin typeface="PT Astra Serif"/>
                <a:ea typeface="PT Astra Serif"/>
              </a:rPr>
            </a:br>
            <a:r>
              <a:rPr lang="ru-RU" sz="1050">
                <a:latin typeface="PT Astra Serif"/>
                <a:ea typeface="PT Astra Serif"/>
              </a:rPr>
              <a:t>о предотвращении или урегулировании конфликта интересов</a:t>
            </a:r>
            <a:endParaRPr lang="ru-RU"/>
          </a:p>
        </c:rich>
      </c:tx>
      <c:layout/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49890"/>
          <c:y val="0.340040"/>
          <c:w val="0.355720"/>
          <c:h val="0.48830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dPt>
            <c:idx val="0"/>
            <c:bubble3D val="0"/>
            <c:explosion val="18"/>
          </c:dPt>
          <c:dLbls>
            <c:dLbl>
              <c:idx val="0"/>
              <c:layout>
                <c:manualLayout>
                  <c:x val="0.011150"/>
                  <c:y val="-0.00033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-0.020560"/>
                  <c:y val="0.08926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2360"/>
                  <c:y val="0.00275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9440"/>
                  <c:y val="-0.00583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07210"/>
                  <c:y val="-0.00787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0"/>
                  <c:y val="-0.00240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0"/>
                  <c:y val="0.0127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Лист1!$A$2:$A$3</c:f>
              <c:strCache>
                <c:ptCount val="2"/>
                <c:pt idx="0">
                  <c:v xml:space="preserve">Органы государственной власти Томской области</c:v>
                </c:pt>
                <c:pt idx="1">
                  <c:v xml:space="preserve">Органы местного самоуправления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</c:v>
                </c:pt>
                <c:pt idx="1">
                  <c:v>23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609840"/>
          <c:y val="0.371590"/>
          <c:w val="0.291130"/>
          <c:h val="0.30770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/>
                <a:ea typeface="PT Astra Serif"/>
              </a:defRPr>
            </a:pPr>
            <a:r>
              <a:rPr lang="ru-RU" sz="1050">
                <a:latin typeface="PT Astra Serif"/>
                <a:ea typeface="PT Astra Serif"/>
              </a:rPr>
              <a:t>Количество служащих, к которым применены меры ответственности по результатам проверок </a:t>
            </a:r>
            <a:endParaRPr lang="ru-RU"/>
          </a:p>
        </c:rich>
      </c:tx>
      <c:layout/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88450"/>
          <c:y val="0.374170"/>
          <c:w val="0.355720"/>
          <c:h val="0.48830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dPt>
            <c:idx val="0"/>
            <c:bubble3D val="0"/>
            <c:explosion val="33"/>
          </c:dPt>
          <c:dLbls>
            <c:dLbl>
              <c:idx val="0"/>
              <c:layout>
                <c:manualLayout>
                  <c:x val="0.003486"/>
                  <c:y val="-0.05610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-0.008740"/>
                  <c:y val="0.0874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2360"/>
                  <c:y val="0.00275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9440"/>
                  <c:y val="-0.00583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07210"/>
                  <c:y val="-0.00787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0"/>
                  <c:y val="-0.00240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0"/>
                  <c:y val="0.0127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Лист1!$A$2:$A$3</c:f>
              <c:strCache>
                <c:ptCount val="2"/>
                <c:pt idx="0">
                  <c:v xml:space="preserve">Органы государственной власти Томской области</c:v>
                </c:pt>
                <c:pt idx="1">
                  <c:v xml:space="preserve">Органы местного самоуправления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</c:v>
                </c:pt>
                <c:pt idx="1">
                  <c:v>4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423640"/>
          <c:y val="0.330390"/>
          <c:w val="0.572260"/>
          <c:h val="0.50761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/>
                <a:ea typeface="PT Astra Serif"/>
              </a:defRPr>
            </a:pPr>
            <a:r>
              <a:rPr lang="ru-RU" sz="1000">
                <a:latin typeface="PT Astra Serif"/>
                <a:ea typeface="PT Astra Serif"/>
              </a:rPr>
              <a:t>Заседания комиссий по соблюдению требований к служебному поведению </a:t>
            </a:r>
            <a:br>
              <a:rPr lang="ru-RU" sz="1000">
                <a:latin typeface="PT Astra Serif"/>
                <a:ea typeface="PT Astra Serif"/>
              </a:rPr>
            </a:br>
            <a:r>
              <a:rPr lang="ru-RU" sz="1000">
                <a:latin typeface="PT Astra Serif"/>
                <a:ea typeface="PT Astra Serif"/>
              </a:rPr>
              <a:t>и урегулированию конфликта интересов </a:t>
            </a:r>
            <a:br>
              <a:rPr lang="ru-RU" sz="1000">
                <a:latin typeface="PT Astra Serif"/>
                <a:ea typeface="PT Astra Serif"/>
              </a:rPr>
            </a:br>
            <a:r>
              <a:rPr lang="ru-RU" sz="1000">
                <a:latin typeface="PT Astra Serif"/>
                <a:ea typeface="PT Astra Serif"/>
              </a:rPr>
              <a:t>в органах государственной власти Томской области</a:t>
            </a:r>
            <a:endParaRPr lang="ru-RU"/>
          </a:p>
          <a:p>
            <a:pPr algn="ctr">
              <a:defRPr sz="1000">
                <a:latin typeface="PT Astra Serif"/>
                <a:ea typeface="PT Astra Serif"/>
              </a:defRPr>
            </a:pPr>
            <a:r>
              <a:rPr lang="ru-RU" sz="900" b="0">
                <a:latin typeface="PT Astra Serif"/>
                <a:ea typeface="PT Astra Serif"/>
              </a:rPr>
              <a:t>Всего в 2025 году - 124 заседания </a:t>
            </a:r>
            <a:endParaRPr lang="ru-RU"/>
          </a:p>
        </c:rich>
      </c:tx>
      <c:layout>
        <c:manualLayout>
          <c:xMode val="edge"/>
          <c:yMode val="edge"/>
          <c:x val="0.172180"/>
          <c:y val="0.005760"/>
        </c:manualLayout>
      </c:layout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01030"/>
          <c:y val="0.397770"/>
          <c:w val="0.417290"/>
          <c:h val="0.47542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0"/>
          <c:dLbls>
            <c:dLbl>
              <c:idx val="0"/>
              <c:layout>
                <c:manualLayout>
                  <c:x val="-0.028146"/>
                  <c:y val="-0.05311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-0.014594"/>
                  <c:y val="-0.066316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2621"/>
                  <c:y val="-0.05878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24142"/>
                  <c:y val="-0.04085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-0.033850"/>
                  <c:y val="0.08017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-0.017455"/>
                  <c:y val="-0.058825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-0.014344"/>
                  <c:y val="-0.042797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Лист1!$A$2:$A$8</c:f>
              <c:strCache>
                <c:ptCount val="7"/>
                <c:pt idx="0">
                  <c:v xml:space="preserve">Представление недостоверных или неполных сведений о доходах</c:v>
                </c:pt>
                <c:pt idx="1">
                  <c:v xml:space="preserve">Заявления служащих о невозможности по объективным причинам представить сведения о доходах</c:v>
                </c:pt>
                <c:pt idx="2">
                  <c:v xml:space="preserve">Заявления о невозможности выполнить требования 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 в соответствующих случаях</c:v>
                </c:pt>
                <c:pt idx="3">
                  <c:v xml:space="preserve">Несоблюдение ограничений и запретов, требований об урегулировании конфликта интересов</c:v>
                </c:pt>
                <c:pt idx="4">
                  <c:v xml:space="preserve">Вопросы профилактики коррупционных правонарушений</c:v>
                </c:pt>
                <c:pt idx="5">
                  <c:v xml:space="preserve">Уведомления служащих о возникновении (возможном возникновении) у них конфликта интересов
</c:v>
                </c:pt>
                <c:pt idx="6">
                  <c:v xml:space="preserve">Заявления служащих или бывших служащих о даче согласия на замещение должностей в коммерческих или некоммерческих организациях
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3</c:v>
                </c:pt>
                <c:pt idx="1">
                  <c:v>2</c:v>
                </c:pt>
                <c:pt idx="2">
                  <c:v>1</c:v>
                </c:pt>
                <c:pt idx="3">
                  <c:v>2</c:v>
                </c:pt>
                <c:pt idx="4">
                  <c:v>102</c:v>
                </c:pt>
                <c:pt idx="5">
                  <c:v>8</c:v>
                </c:pt>
                <c:pt idx="6">
                  <c:v>6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426750"/>
          <c:y val="0.128240"/>
          <c:w val="0.572260"/>
          <c:h val="0.87176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900"/>
            </a:pPr>
            <a:r>
              <a:rPr lang="ru-RU" sz="900"/>
              <a:t>Заседания комиссий по соблюдению требований к служебному поведению и урегулированию конфликта интересов в органах местного самоуправления Томской области</a:t>
            </a:r>
            <a:br>
              <a:rPr lang="ru-RU" sz="900"/>
            </a:br>
            <a:endParaRPr lang="ru-RU" sz="900"/>
          </a:p>
          <a:p>
            <a:pPr>
              <a:defRPr sz="900"/>
            </a:pPr>
            <a:r>
              <a:rPr lang="ru-RU" sz="900"/>
              <a:t>                                           Всего в 2025 году - 481 заседание </a:t>
            </a:r>
            <a:endParaRPr lang="ru-RU"/>
          </a:p>
        </c:rich>
      </c:tx>
      <c:layout/>
      <c:overlay val="0"/>
    </c:title>
    <c:autoTitleDeleted val="0"/>
    <c:view3D>
      <c:rotX val="30"/>
      <c:rotY val="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00000"/>
          <c:y val="0.334640"/>
          <c:w val="0.419110"/>
          <c:h val="0.57020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Заседания комиссий по соблюдению требований к служебному поведению и урегулированию конфликта интересов в органах местного самоуправления Томской области 
                                           Всего в 2025 году - 481 заседание 
</c:v>
                </c:pt>
              </c:strCache>
            </c:strRef>
          </c:tx>
          <c:explosion val="25"/>
          <c:dPt>
            <c:idx val="4"/>
            <c:bubble3D val="0"/>
            <c:explosion val="19"/>
          </c:dPt>
          <c:dLbls>
            <c:dLbl>
              <c:idx val="0"/>
              <c:dLblPos val="bestFit"/>
              <c:layout>
                <c:manualLayout>
                  <c:x val="-0.004630"/>
                  <c:y val="-0.05680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dLblPos val="bestFit"/>
              <c:layout>
                <c:manualLayout>
                  <c:x val="-0.001546"/>
                  <c:y val="-0.10946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dLblPos val="bestFit"/>
              <c:layout>
                <c:manualLayout>
                  <c:x val="0.006180"/>
                  <c:y val="-0.00483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dLblPos val="bestFit"/>
              <c:layout>
                <c:manualLayout>
                  <c:x val="0.002060"/>
                  <c:y val="0.04376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dLblPos val="bestFit"/>
              <c:layout>
                <c:manualLayout>
                  <c:x val="-0.001020"/>
                  <c:y val="0.1164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Pos val="outEnd"/>
            <c:showBubbleSize val="0"/>
            <c:showCatName val="0"/>
            <c:showLeaderLines val="1"/>
            <c:showLegendKey val="0"/>
            <c:showPercent val="0"/>
            <c:showSerName val="0"/>
            <c:showVal val="1"/>
          </c:dLbls>
          <c:cat>
            <c:strRef>
              <c:f>Лист1!$A$2:$A$6</c:f>
              <c:strCache>
                <c:ptCount val="5"/>
                <c:pt idx="0">
                  <c:v xml:space="preserve">Представление недостоверных или неполных сведений о доходах</c:v>
                </c:pt>
                <c:pt idx="1">
                  <c:v xml:space="preserve">Заявления бывших служащих о даче согласия на замещение должности 
в коммерческой или некоммерческой организации 
</c:v>
                </c:pt>
                <c:pt idx="2">
                  <c:v xml:space="preserve">Заявления служащих о невозможности по объективным причинам представить сведения о доходах</c:v>
                </c:pt>
                <c:pt idx="3">
                  <c:v xml:space="preserve">Несоблюдение требований к служебному поведению и (или) требований об урегулировании конфликта интересов</c:v>
                </c:pt>
                <c:pt idx="4">
                  <c:v xml:space="preserve">Вопросы профилактики коррупционных правонарушений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75</c:v>
                </c:pt>
                <c:pt idx="1">
                  <c:v>33</c:v>
                </c:pt>
                <c:pt idx="2">
                  <c:v>2</c:v>
                </c:pt>
                <c:pt idx="3">
                  <c:v>57</c:v>
                </c:pt>
                <c:pt idx="4">
                  <c:v>314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454940"/>
          <c:y val="0.282290"/>
          <c:w val="0.543660"/>
          <c:h val="0.663040"/>
        </c:manualLayout>
      </c:layout>
      <c:overlay val="0"/>
      <c:txPr>
        <a:bodyPr/>
        <a:lstStyle/>
        <a:p>
          <a:pPr>
            <a:defRPr sz="800"/>
          </a:pPr>
          <a:endParaRPr lang="ru-RU"/>
        </a:p>
      </c:txPr>
    </c:legend>
    <c:plotVisOnly val="1"/>
    <c:dispBlanksAs val="zero"/>
    <c:showDLblsOverMax val="0"/>
  </c:chart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/>
                <a:ea typeface="PT Astra Serif"/>
              </a:defRPr>
            </a:pPr>
            <a:r>
              <a:rPr lang="ru-RU" sz="1000">
                <a:latin typeface="PT Astra Serif"/>
                <a:ea typeface="PT Astra Serif"/>
              </a:rPr>
              <a:t>Проверочные мероприятия в организациях, подведомственых органам государственной власти Томской области                              </a:t>
            </a:r>
            <a:endParaRPr lang="ru-RU" sz="900" b="0">
              <a:latin typeface="PT Astra Serif"/>
              <a:ea typeface="PT Astra Serif"/>
            </a:endParaRPr>
          </a:p>
        </c:rich>
      </c:tx>
      <c:layout>
        <c:manualLayout>
          <c:xMode val="edge"/>
          <c:yMode val="edge"/>
          <c:x val="0.110500"/>
          <c:y val="0.026709"/>
        </c:manualLayout>
      </c:layout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53046"/>
          <c:y val="0.298776"/>
          <c:w val="0.384111"/>
          <c:h val="0.52569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explosion val="2"/>
          </c:dPt>
          <c:dPt>
            <c:idx val="1"/>
            <c:bubble3D val="0"/>
            <c:explosion val="28"/>
          </c:dPt>
          <c:dPt>
            <c:idx val="2"/>
            <c:bubble3D val="0"/>
            <c:explosion val="3"/>
          </c:dPt>
          <c:dLbls>
            <c:dLbl>
              <c:idx val="0"/>
              <c:layout>
                <c:manualLayout>
                  <c:x val="-0.003139"/>
                  <c:y val="-0.0614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-0.004070"/>
                  <c:y val="0.09343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9457"/>
                  <c:y val="-0.015052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2357"/>
                  <c:y val="-0.080619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45016"/>
                  <c:y val="-0.034584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1"/>
                  <c:y val="-0.002406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9"/>
                  <c:y val="0.012792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6"/>
                  <c:y val="0.010123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1"/>
                  <c:y val="0.01221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Лист1!$A$2:$A$3</c:f>
              <c:strCache>
                <c:ptCount val="2"/>
                <c:pt idx="0">
                  <c:v xml:space="preserve">Количество проверенных организаций</c:v>
                </c:pt>
                <c:pt idx="1">
                  <c:v xml:space="preserve">Меры реагирования по результатам проверок:
- привлечено лиц к дисциплинарной ответственности 
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11</c:v>
                </c:pt>
                <c:pt idx="1">
                  <c:v>40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460388"/>
          <c:y val="0.257262"/>
          <c:w val="0.479005"/>
          <c:h val="0.482217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/>
                <a:ea typeface="PT Astra Serif"/>
              </a:defRPr>
            </a:pPr>
            <a:r>
              <a:rPr lang="ru-RU" sz="1000">
                <a:latin typeface="PT Astra Serif"/>
                <a:ea typeface="PT Astra Serif"/>
              </a:rPr>
              <a:t>Плановая антикоррупционная </a:t>
            </a:r>
            <a:br>
              <a:rPr lang="ru-RU" sz="1000">
                <a:latin typeface="PT Astra Serif"/>
                <a:ea typeface="PT Astra Serif"/>
              </a:rPr>
            </a:br>
            <a:r>
              <a:rPr lang="ru-RU" sz="1000">
                <a:latin typeface="PT Astra Serif"/>
                <a:ea typeface="PT Astra Serif"/>
              </a:rPr>
              <a:t>и правовая экспертиза </a:t>
            </a:r>
            <a:br>
              <a:rPr lang="ru-RU" sz="1000">
                <a:latin typeface="PT Astra Serif"/>
                <a:ea typeface="PT Astra Serif"/>
              </a:rPr>
            </a:br>
            <a:r>
              <a:rPr lang="ru-RU" sz="1000">
                <a:latin typeface="PT Astra Serif"/>
                <a:ea typeface="PT Astra Serif"/>
              </a:rPr>
              <a:t>нормативных правовых актов Томской области                             </a:t>
            </a:r>
            <a:endParaRPr lang="ru-RU" sz="900" b="0">
              <a:latin typeface="PT Astra Serif"/>
              <a:ea typeface="PT Astra Serif"/>
            </a:endParaRPr>
          </a:p>
        </c:rich>
      </c:tx>
      <c:layout>
        <c:manualLayout>
          <c:xMode val="edge"/>
          <c:yMode val="edge"/>
          <c:x val="0.110500"/>
          <c:y val="0.026700"/>
        </c:manualLayout>
      </c:layout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8080"/>
          <c:y val="0.307210"/>
          <c:w val="0.384110"/>
          <c:h val="0.52569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001890"/>
                  <c:y val="-0.05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0.006390"/>
                  <c:y val="-0.071872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4730"/>
                  <c:y val="-0.08805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2350"/>
                  <c:y val="-0.0806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45010"/>
                  <c:y val="-0.03458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0"/>
                  <c:y val="-0.0023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0"/>
                  <c:y val="0.0127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0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Лист1!$A$2:$A$3</c:f>
              <c:strCache>
                <c:ptCount val="2"/>
                <c:pt idx="0">
                  <c:v xml:space="preserve">Количество актов, прошедших экспертизу</c:v>
                </c:pt>
                <c:pt idx="1">
                  <c:v xml:space="preserve">Количество актов, в которых выявлены коррупциогенные факторы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60</c:v>
                </c:pt>
                <c:pt idx="1">
                  <c:v>60</c:v>
                </c:pt>
              </c:numCache>
            </c:numRef>
          </c:val>
        </c:ser>
        <c:dLbls>
          <c:showBubbleSize val="0"/>
          <c:showCatName val="0"/>
          <c:showLeaderLines val="0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566790"/>
          <c:y val="0.359190"/>
          <c:w val="0.406870"/>
          <c:h val="0.47080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/>
                <a:ea typeface="PT Astra Serif"/>
              </a:defRPr>
            </a:pPr>
            <a:r>
              <a:rPr lang="ru-RU" sz="1000">
                <a:latin typeface="PT Astra Serif"/>
                <a:ea typeface="PT Astra Serif"/>
              </a:rPr>
              <a:t>Оценка эффективности деятельности в сфере противодействия коррупции исполнительных органов Томской области, не имеющих подведомственных предприятий, учреждений                             </a:t>
            </a:r>
            <a:endParaRPr lang="ru-RU" sz="900" b="0">
              <a:latin typeface="PT Astra Serif"/>
              <a:ea typeface="PT Astra Serif"/>
            </a:endParaRPr>
          </a:p>
        </c:rich>
      </c:tx>
      <c:layout>
        <c:manualLayout>
          <c:xMode val="edge"/>
          <c:yMode val="edge"/>
          <c:x val="0.110500"/>
          <c:y val="0.026700"/>
        </c:manualLayout>
      </c:layout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8160"/>
          <c:y val="0.368800"/>
          <c:w val="0.384110"/>
          <c:h val="0.52569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13"/>
          <c:dPt>
            <c:idx val="0"/>
            <c:bubble3D val="0"/>
            <c:spPr bwMode="auto">
              <a:prstGeom prst="rect">
                <a:avLst/>
              </a:prstGeom>
              <a:solidFill>
                <a:schemeClr val="accent3"/>
              </a:solidFill>
            </c:spPr>
          </c:dPt>
          <c:dPt>
            <c:idx val="1"/>
            <c:bubble3D val="0"/>
            <c:spPr bwMode="auto">
              <a:prstGeom prst="rect">
                <a:avLst/>
              </a:prstGeom>
              <a:solidFill>
                <a:schemeClr val="accent1"/>
              </a:solidFill>
            </c:spPr>
          </c:dPt>
          <c:dPt>
            <c:idx val="2"/>
            <c:bubble3D val="0"/>
            <c:spPr bwMode="auto">
              <a:prstGeom prst="rect">
                <a:avLst/>
              </a:prstGeom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0.002750"/>
                  <c:y val="0.08344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-0.016360"/>
                  <c:y val="-0.030554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6960"/>
                  <c:y val="0.01177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2350"/>
                  <c:y val="-0.0806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45010"/>
                  <c:y val="-0.03458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0"/>
                  <c:y val="-0.00240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0"/>
                  <c:y val="0.0127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  <a:miter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Лист1!$A$2:$A$3</c:f>
              <c:strCache>
                <c:ptCount val="2"/>
                <c:pt idx="0">
                  <c:v xml:space="preserve">Высокий рейтинг</c:v>
                </c:pt>
                <c:pt idx="1">
                  <c:v xml:space="preserve">Средний рейтинг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</c:v>
                </c:pt>
                <c:pt idx="1">
                  <c:v>5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592960"/>
          <c:y val="0.382300"/>
          <c:w val="0.237330"/>
          <c:h val="0.50929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/>
                <a:ea typeface="PT Astra Serif"/>
              </a:defRPr>
            </a:pPr>
            <a:r>
              <a:rPr lang="ru-RU" sz="1000">
                <a:latin typeface="PT Astra Serif"/>
                <a:ea typeface="PT Astra Serif"/>
              </a:rPr>
              <a:t>Оценка эффективности деятельности в сфере противодействия коррупции исполнительных органов Томской области, имеющих подведомственные предприятия, учреждения                             </a:t>
            </a:r>
            <a:endParaRPr lang="ru-RU" sz="900" b="0">
              <a:latin typeface="PT Astra Serif"/>
              <a:ea typeface="PT Astra Serif"/>
            </a:endParaRPr>
          </a:p>
        </c:rich>
      </c:tx>
      <c:layout>
        <c:manualLayout>
          <c:xMode val="edge"/>
          <c:yMode val="edge"/>
          <c:x val="0.110500"/>
          <c:y val="0.026700"/>
        </c:manualLayout>
      </c:layout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9300"/>
          <c:y val="0.325560"/>
          <c:w val="0.384110"/>
          <c:h val="0.52569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dPt>
            <c:idx val="0"/>
            <c:bubble3D val="0"/>
            <c:spPr bwMode="auto">
              <a:prstGeom prst="rect">
                <a:avLst/>
              </a:prstGeom>
              <a:solidFill>
                <a:schemeClr val="accent3"/>
              </a:solidFill>
            </c:spPr>
          </c:dPt>
          <c:dPt>
            <c:idx val="1"/>
            <c:bubble3D val="0"/>
            <c:explosion val="32"/>
            <c:spPr bwMode="auto">
              <a:prstGeom prst="rect">
                <a:avLst/>
              </a:prstGeom>
              <a:solidFill>
                <a:schemeClr val="accent1"/>
              </a:solidFill>
            </c:spPr>
          </c:dPt>
          <c:dPt>
            <c:idx val="2"/>
            <c:bubble3D val="0"/>
            <c:spPr bwMode="auto">
              <a:prstGeom prst="rect">
                <a:avLst/>
              </a:prstGeom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0.006944"/>
                  <c:y val="-0.032415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-0.019800"/>
                  <c:y val="0.08597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6960"/>
                  <c:y val="0.0040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2350"/>
                  <c:y val="-0.0806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45010"/>
                  <c:y val="-0.03458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0"/>
                  <c:y val="-0.0023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0"/>
                  <c:y val="0.0127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Лист1!$A$2:$A$3</c:f>
              <c:strCache>
                <c:ptCount val="2"/>
                <c:pt idx="0">
                  <c:v xml:space="preserve">Высокий рейтинг</c:v>
                </c:pt>
                <c:pt idx="1">
                  <c:v xml:space="preserve">Средний рейтинг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</c:v>
                </c:pt>
                <c:pt idx="1">
                  <c:v>17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608610"/>
          <c:y val="0.398950"/>
          <c:w val="0.237330"/>
          <c:h val="0.37202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/>
                <a:ea typeface="PT Astra Serif"/>
              </a:defRPr>
            </a:pPr>
            <a:r>
              <a:rPr lang="ru-RU" sz="1000">
                <a:latin typeface="PT Astra Serif"/>
                <a:ea typeface="PT Astra Serif"/>
              </a:rPr>
              <a:t>Обращения граждан, содержащие информацию </a:t>
            </a:r>
            <a:br>
              <a:rPr lang="ru-RU" sz="1000">
                <a:latin typeface="PT Astra Serif"/>
                <a:ea typeface="PT Astra Serif"/>
              </a:rPr>
            </a:br>
            <a:r>
              <a:rPr lang="ru-RU" sz="1000">
                <a:latin typeface="PT Astra Serif"/>
                <a:ea typeface="PT Astra Serif"/>
              </a:rPr>
              <a:t>о возможных фактах проявления коррупции </a:t>
            </a:r>
            <a:endParaRPr lang="ru-RU" sz="900" b="0">
              <a:latin typeface="PT Astra Serif"/>
              <a:ea typeface="PT Astra Serif"/>
            </a:endParaRPr>
          </a:p>
        </c:rich>
      </c:tx>
      <c:layout>
        <c:manualLayout>
          <c:xMode val="edge"/>
          <c:yMode val="edge"/>
          <c:x val="0.110500"/>
          <c:y val="0.026700"/>
        </c:manualLayout>
      </c:layout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59330"/>
          <c:y val="0.300160"/>
          <c:w val="0.384110"/>
          <c:h val="0.52569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 bwMode="auto">
              <a:prstGeom prst="rect">
                <a:avLst/>
              </a:prstGeom>
              <a:solidFill>
                <a:schemeClr val="accent3"/>
              </a:solidFill>
            </c:spPr>
          </c:dPt>
          <c:dPt>
            <c:idx val="1"/>
            <c:bubble3D val="0"/>
            <c:spPr bwMode="auto">
              <a:prstGeom prst="rect">
                <a:avLst/>
              </a:prstGeom>
              <a:solidFill>
                <a:schemeClr val="accent1"/>
              </a:solidFill>
            </c:spPr>
          </c:dPt>
          <c:dPt>
            <c:idx val="2"/>
            <c:bubble3D val="0"/>
            <c:spPr bwMode="auto">
              <a:prstGeom prst="rect">
                <a:avLst/>
              </a:prstGeom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-0.005810"/>
                  <c:y val="0.1145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ru-RU"/>
                      <a:t>58</a:t>
                    </a:r>
                    <a:endParaRPr/>
                  </a:p>
                </c:rich>
              </c:tx>
            </c:dLbl>
            <c:dLbl>
              <c:idx val="1"/>
              <c:layout>
                <c:manualLayout>
                  <c:x val="-0.039629"/>
                  <c:y val="-0.035322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6960"/>
                  <c:y val="0.0040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2350"/>
                  <c:y val="-0.0806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45010"/>
                  <c:y val="-0.03458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0"/>
                  <c:y val="-0.00240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0"/>
                  <c:y val="0.0127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Лист1!$A$2:$A$3</c:f>
              <c:strCache>
                <c:ptCount val="2"/>
                <c:pt idx="0">
                  <c:v xml:space="preserve">В органах государственной власти Томской области</c:v>
                </c:pt>
                <c:pt idx="1">
                  <c:v xml:space="preserve">В органах местного самоуправления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55</c:v>
                </c:pt>
                <c:pt idx="1">
                  <c:v>12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521570"/>
          <c:y val="0.394000"/>
          <c:w val="0.393710"/>
          <c:h val="0.29965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 xmlns:r="http://schemas.openxmlformats.org/officeDocument/2006/relationships" xmlns:p="http://schemas.openxmlformats.org/presentationml/2006/main">
  <a:clrScheme name="Отчет год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A7EA52"/>
    </a:accent1>
    <a:accent2>
      <a:srgbClr val="5ECCF3"/>
    </a:accent2>
    <a:accent3>
      <a:srgbClr val="4E67C8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Arial"/>
      <a:cs typeface="Arial"/>
    </a:majorFont>
    <a:minorFont>
      <a:latin typeface="Trebuchet MS"/>
      <a:ea typeface="Arial"/>
      <a:cs typeface="Arial"/>
    </a:minorFont>
  </a:fontScheme>
  <a:fmtScheme name="Воздушный поток">
    <a:fillStyleLst>
      <a:solidFill>
        <a:schemeClr val="phClr"/>
      </a:solidFill>
      <a:gradFill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</a:effectStyleLst>
    <a:bgFillStyleLst>
      <a:solidFill>
        <a:schemeClr val="phClr"/>
      </a:solidFill>
      <a:gradFill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/>
      </a:gradFill>
      <a:gradFill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Р7-Офис/2025.2.1.812</Application>
  <Company>КонсультантПлюс Версия 4024.00.50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Томской области от 10.02.2025 N 90-ра
"Об утверждении региональной программы противодействия коррупции в Томской области на 2025 - 2028 годы"</dc:title>
  <dc:creator>Я</dc:creator>
  <cp:lastModifiedBy>stepanovayus@ato.gov70.ru</cp:lastModifiedBy>
  <cp:revision>147</cp:revision>
  <dcterms:created xsi:type="dcterms:W3CDTF">2026-02-15T16:34:00Z</dcterms:created>
  <dcterms:modified xsi:type="dcterms:W3CDTF">2026-02-25T08:22:01Z</dcterms:modified>
</cp:coreProperties>
</file>