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charts/chart12.xml" ContentType="application/vnd.openxmlformats-officedocument.drawingml.chart+xml"/>
  <Override PartName="/word/charts/chart11.xml" ContentType="application/vnd.openxmlformats-officedocument.drawingml.chart+xml"/>
  <Override PartName="/word/charts/chart9.xml" ContentType="application/vnd.openxmlformats-officedocument.drawingml.chart+xml"/>
  <Override PartName="/word/drawings/drawing3.xml" ContentType="application/vnd.openxmlformats-officedocument.drawingml.chartshapes+xml"/>
  <Override PartName="/word/charts/chart7.xml" ContentType="application/vnd.openxmlformats-officedocument.drawingml.chart+xml"/>
  <Override PartName="/word/charts/chart5.xml" ContentType="application/vnd.openxmlformats-officedocument.drawingml.chart+xml"/>
  <Override PartName="/word/charts/chart3.xml" ContentType="application/vnd.openxmlformats-officedocument.drawingml.chart+xml"/>
  <Override PartName="/docProps/core.xml" ContentType="application/vnd.openxmlformats-package.core-properties+xml"/>
  <Override PartName="/word/charts/chart13.xml" ContentType="application/vnd.openxmlformats-officedocument.drawingml.chart+xml"/>
  <Override PartName="/word/charts/chart4.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drawings/drawing4.xml" ContentType="application/vnd.openxmlformats-officedocument.drawingml.chartshapes+xml"/>
  <Override PartName="/word/theme/theme1.xml" ContentType="application/vnd.openxmlformats-officedocument.theme+xml"/>
  <Override PartName="/word/fontTable.xml" ContentType="application/vnd.openxmlformats-officedocument.wordprocessingml.fontTable+xml"/>
  <Override PartName="/word/charts/chart6.xml" ContentType="application/vnd.openxmlformats-officedocument.drawingml.chart+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charts/chart10.xml" ContentType="application/vnd.openxmlformats-officedocument.drawingml.chart+xml"/>
  <Override PartName="/word/settings.xml" ContentType="application/vnd.openxmlformats-officedocument.wordprocessingml.settings+xml"/>
  <Override PartName="/word/footnotes.xml" ContentType="application/vnd.openxmlformats-officedocument.wordprocessingml.footnotes+xml"/>
  <Override PartName="/word/styles.xml" ContentType="application/vnd.openxmlformats-officedocument.wordprocessingml.styles+xml"/>
  <Override PartName="/word/charts/chart8.xml" ContentType="application/vnd.openxmlformats-officedocument.drawingml.chart+xml"/>
  <Override PartName="/word/drawings/drawing2.xml" ContentType="application/vnd.openxmlformats-officedocument.drawingml.chartshap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4962" w:firstLine="992"/>
        <w:jc w:val="both"/>
        <w:spacing w:after="0" w:line="240" w:lineRule="auto"/>
        <w:tabs>
          <w:tab w:val="left" w:pos="4962" w:leader="none"/>
        </w:tabs>
        <w:rPr>
          <w:rFonts w:ascii="PT Astra Serif" w:hAnsi="PT Astra Serif"/>
          <w:sz w:val="24"/>
          <w:szCs w:val="24"/>
        </w:rPr>
      </w:pPr>
      <w:r/>
      <w:bookmarkStart w:id="0" w:name="_GoBack"/>
      <w:r/>
      <w:bookmarkEnd w:id="0"/>
      <w:r>
        <w:rPr>
          <w:rFonts w:ascii="PT Astra Serif" w:hAnsi="PT Astra Serif"/>
          <w:sz w:val="24"/>
          <w:szCs w:val="24"/>
        </w:rPr>
        <w:t xml:space="preserve">УТВЕРЖДАЮ</w:t>
      </w:r>
      <w:r>
        <w:rPr>
          <w:rFonts w:ascii="PT Astra Serif" w:hAnsi="PT Astra Serif"/>
          <w:sz w:val="24"/>
          <w:szCs w:val="24"/>
        </w:rPr>
      </w:r>
      <w:r>
        <w:rPr>
          <w:rFonts w:ascii="PT Astra Serif" w:hAnsi="PT Astra Serif"/>
          <w:sz w:val="24"/>
          <w:szCs w:val="24"/>
        </w:rPr>
      </w:r>
    </w:p>
    <w:p>
      <w:pPr>
        <w:ind w:left="4962"/>
        <w:jc w:val="both"/>
        <w:spacing w:after="0" w:line="240" w:lineRule="auto"/>
        <w:tabs>
          <w:tab w:val="left" w:pos="4962"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left="4962" w:firstLine="992"/>
        <w:jc w:val="both"/>
        <w:spacing w:after="0" w:line="240" w:lineRule="auto"/>
        <w:tabs>
          <w:tab w:val="left" w:pos="4962" w:leader="none"/>
        </w:tabs>
        <w:rPr>
          <w:rFonts w:ascii="PT Astra Serif" w:hAnsi="PT Astra Serif"/>
          <w:sz w:val="24"/>
          <w:szCs w:val="24"/>
        </w:rPr>
      </w:pPr>
      <w:r>
        <w:rPr>
          <w:rFonts w:ascii="PT Astra Serif" w:hAnsi="PT Astra Serif"/>
          <w:sz w:val="24"/>
          <w:szCs w:val="24"/>
        </w:rPr>
        <w:t xml:space="preserve">Губернатор Томской области</w:t>
      </w:r>
      <w:r>
        <w:rPr>
          <w:rFonts w:ascii="PT Astra Serif" w:hAnsi="PT Astra Serif"/>
          <w:sz w:val="24"/>
          <w:szCs w:val="24"/>
        </w:rPr>
      </w:r>
      <w:r>
        <w:rPr>
          <w:rFonts w:ascii="PT Astra Serif" w:hAnsi="PT Astra Serif"/>
          <w:sz w:val="24"/>
          <w:szCs w:val="24"/>
        </w:rPr>
      </w:r>
    </w:p>
    <w:p>
      <w:pPr>
        <w:ind w:left="4962" w:firstLine="992"/>
        <w:jc w:val="both"/>
        <w:spacing w:after="0" w:line="240" w:lineRule="auto"/>
        <w:tabs>
          <w:tab w:val="left" w:pos="4962" w:leader="none"/>
        </w:tabs>
        <w:rPr>
          <w:rFonts w:ascii="PT Astra Serif" w:hAnsi="PT Astra Serif"/>
          <w:sz w:val="24"/>
          <w:szCs w:val="24"/>
        </w:rPr>
      </w:pPr>
      <w:r>
        <w:rPr>
          <w:rFonts w:ascii="PT Astra Serif" w:hAnsi="PT Astra Serif"/>
          <w:sz w:val="24"/>
          <w:szCs w:val="24"/>
        </w:rPr>
        <w:t xml:space="preserve">_______________ В.В. Мазур</w:t>
      </w:r>
      <w:r>
        <w:rPr>
          <w:rFonts w:ascii="PT Astra Serif" w:hAnsi="PT Astra Serif"/>
          <w:sz w:val="24"/>
          <w:szCs w:val="24"/>
        </w:rPr>
      </w:r>
      <w:r>
        <w:rPr>
          <w:rFonts w:ascii="PT Astra Serif" w:hAnsi="PT Astra Serif"/>
          <w:sz w:val="24"/>
          <w:szCs w:val="24"/>
        </w:rPr>
      </w:r>
    </w:p>
    <w:p>
      <w:pPr>
        <w:ind w:left="4962" w:firstLine="992"/>
        <w:jc w:val="both"/>
        <w:spacing w:after="0" w:line="240" w:lineRule="auto"/>
        <w:tabs>
          <w:tab w:val="left" w:pos="4962" w:leader="none"/>
        </w:tabs>
        <w:rPr>
          <w:rFonts w:ascii="PT Astra Serif" w:hAnsi="PT Astra Serif"/>
          <w:sz w:val="24"/>
          <w:szCs w:val="24"/>
        </w:rPr>
      </w:pPr>
      <w:r>
        <w:rPr>
          <w:rFonts w:ascii="PT Astra Serif" w:hAnsi="PT Astra Serif"/>
          <w:sz w:val="24"/>
          <w:szCs w:val="24"/>
        </w:rPr>
        <w:t xml:space="preserve">____ мая 2024 г.</w:t>
      </w:r>
      <w:r>
        <w:rPr>
          <w:rFonts w:ascii="PT Astra Serif" w:hAnsi="PT Astra Serif"/>
          <w:sz w:val="24"/>
          <w:szCs w:val="24"/>
        </w:rPr>
      </w:r>
      <w:r>
        <w:rPr>
          <w:rFonts w:ascii="PT Astra Serif" w:hAnsi="PT Astra Serif"/>
          <w:sz w:val="24"/>
          <w:szCs w:val="24"/>
        </w:rPr>
      </w:r>
    </w:p>
    <w:p>
      <w:pPr>
        <w:ind w:left="4962"/>
        <w:jc w:val="both"/>
        <w:spacing w:after="0" w:line="240" w:lineRule="auto"/>
        <w:tabs>
          <w:tab w:val="left" w:pos="4962"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left="4962"/>
        <w:jc w:val="both"/>
        <w:spacing w:after="0" w:line="240" w:lineRule="auto"/>
        <w:tabs>
          <w:tab w:val="left" w:pos="4962"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center"/>
        <w:spacing w:after="0" w:line="240" w:lineRule="auto"/>
        <w:tabs>
          <w:tab w:val="left" w:pos="4962" w:leader="none"/>
        </w:tabs>
        <w:rPr>
          <w:rFonts w:ascii="PT Astra Serif" w:hAnsi="PT Astra Serif"/>
          <w:b/>
          <w:sz w:val="24"/>
          <w:szCs w:val="24"/>
        </w:rPr>
      </w:pPr>
      <w:r>
        <w:rPr>
          <w:rFonts w:ascii="PT Astra Serif" w:hAnsi="PT Astra Serif"/>
          <w:b/>
          <w:sz w:val="24"/>
          <w:szCs w:val="24"/>
        </w:rPr>
        <w:t xml:space="preserve">ОТЧЕТ</w:t>
      </w:r>
      <w:r>
        <w:rPr>
          <w:rFonts w:ascii="PT Astra Serif" w:hAnsi="PT Astra Serif"/>
          <w:b/>
          <w:sz w:val="24"/>
          <w:szCs w:val="24"/>
        </w:rPr>
      </w:r>
      <w:r>
        <w:rPr>
          <w:rFonts w:ascii="PT Astra Serif" w:hAnsi="PT Astra Serif"/>
          <w:b/>
          <w:sz w:val="24"/>
          <w:szCs w:val="24"/>
        </w:rPr>
      </w:r>
    </w:p>
    <w:p>
      <w:pPr>
        <w:jc w:val="center"/>
        <w:spacing w:after="0" w:line="240" w:lineRule="auto"/>
        <w:tabs>
          <w:tab w:val="left" w:pos="4962" w:leader="none"/>
        </w:tabs>
        <w:rPr>
          <w:rFonts w:ascii="PT Astra Serif" w:hAnsi="PT Astra Serif"/>
          <w:b/>
          <w:sz w:val="24"/>
          <w:szCs w:val="24"/>
        </w:rPr>
      </w:pPr>
      <w:r>
        <w:rPr>
          <w:rFonts w:ascii="PT Astra Serif" w:hAnsi="PT Astra Serif"/>
          <w:b/>
          <w:sz w:val="24"/>
          <w:szCs w:val="24"/>
        </w:rPr>
        <w:t xml:space="preserve">о результатах деятельности исполнительных органов Томской области за 2023 год</w:t>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center"/>
        <w:spacing w:after="0" w:line="240" w:lineRule="auto"/>
        <w:tabs>
          <w:tab w:val="left" w:pos="4962"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center"/>
        <w:spacing w:after="0" w:line="240" w:lineRule="auto"/>
        <w:tabs>
          <w:tab w:val="left" w:pos="4962"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center"/>
        <w:spacing w:after="0" w:line="240" w:lineRule="auto"/>
        <w:tabs>
          <w:tab w:val="left" w:pos="4962"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center"/>
        <w:spacing w:after="0" w:line="240" w:lineRule="auto"/>
        <w:tabs>
          <w:tab w:val="left" w:pos="4962"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center"/>
        <w:spacing w:after="0" w:line="240" w:lineRule="auto"/>
        <w:tabs>
          <w:tab w:val="left" w:pos="4962"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center"/>
        <w:spacing w:after="0" w:line="240" w:lineRule="auto"/>
        <w:tabs>
          <w:tab w:val="left" w:pos="4962"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center"/>
        <w:spacing w:after="0" w:line="240" w:lineRule="auto"/>
        <w:tabs>
          <w:tab w:val="left" w:pos="4962"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center"/>
        <w:spacing w:after="0" w:line="240" w:lineRule="auto"/>
        <w:tabs>
          <w:tab w:val="left" w:pos="4962"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p>
    <w:p>
      <w:pPr>
        <w:jc w:val="center"/>
        <w:spacing w:after="0" w:line="240" w:lineRule="auto"/>
        <w:tabs>
          <w:tab w:val="left" w:pos="4962"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p>
    <w:p>
      <w:pPr>
        <w:jc w:val="center"/>
        <w:spacing w:after="0" w:line="240" w:lineRule="auto"/>
        <w:tabs>
          <w:tab w:val="left" w:pos="4962"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p>
    <w:p>
      <w:pPr>
        <w:jc w:val="center"/>
        <w:spacing w:after="0" w:line="240" w:lineRule="auto"/>
        <w:tabs>
          <w:tab w:val="left" w:pos="4962"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p>
    <w:p>
      <w:pPr>
        <w:jc w:val="center"/>
        <w:spacing w:after="0" w:line="240" w:lineRule="auto"/>
        <w:tabs>
          <w:tab w:val="left" w:pos="4962"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p>
    <w:p>
      <w:pPr>
        <w:jc w:val="center"/>
        <w:spacing w:after="0" w:line="240" w:lineRule="auto"/>
        <w:tabs>
          <w:tab w:val="left" w:pos="4962"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center"/>
        <w:spacing w:after="0" w:line="240" w:lineRule="auto"/>
        <w:tabs>
          <w:tab w:val="left" w:pos="4962"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center"/>
        <w:spacing w:after="0" w:line="240" w:lineRule="auto"/>
        <w:tabs>
          <w:tab w:val="left" w:pos="4962" w:leader="none"/>
        </w:tabs>
        <w:rPr>
          <w:rFonts w:ascii="PT Astra Serif" w:hAnsi="PT Astra Serif"/>
          <w:sz w:val="24"/>
          <w:szCs w:val="24"/>
        </w:rPr>
      </w:pPr>
      <w:r>
        <w:rPr>
          <w:rFonts w:ascii="PT Astra Serif" w:hAnsi="PT Astra Serif"/>
          <w:sz w:val="24"/>
          <w:szCs w:val="24"/>
        </w:rPr>
        <w:t xml:space="preserve">Томск</w:t>
      </w:r>
      <w:r>
        <w:rPr>
          <w:rFonts w:ascii="PT Astra Serif" w:hAnsi="PT Astra Serif"/>
          <w:sz w:val="24"/>
          <w:szCs w:val="24"/>
        </w:rPr>
        <w:br w:type="page" w:clear="all"/>
      </w:r>
      <w:r>
        <w:rPr>
          <w:rFonts w:ascii="PT Astra Serif" w:hAnsi="PT Astra Serif"/>
          <w:sz w:val="24"/>
          <w:szCs w:val="24"/>
        </w:rPr>
      </w:r>
      <w:r>
        <w:rPr>
          <w:rFonts w:ascii="PT Astra Serif" w:hAnsi="PT Astra Serif"/>
          <w:sz w:val="24"/>
          <w:szCs w:val="24"/>
        </w:rPr>
      </w:r>
    </w:p>
    <w:p>
      <w:pPr>
        <w:jc w:val="center"/>
        <w:spacing w:after="0" w:line="240" w:lineRule="auto"/>
        <w:tabs>
          <w:tab w:val="left" w:pos="4962"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sdt>
      <w:sdtPr>
        <w15:appearance w15:val="boundingBox"/>
        <w:id w:val="-1417010608"/>
        <w:docPartObj>
          <w:docPartGallery w:val="Table of Contents"/>
          <w:docPartUnique w:val="true"/>
        </w:docPartObj>
        <w:rPr>
          <w:rFonts w:ascii="PT Astra Serif" w:hAnsi="PT Astra Serif" w:cs="Times New Roman" w:eastAsiaTheme="minorHAnsi"/>
          <w:b w:val="0"/>
          <w:bCs w:val="0"/>
          <w:color w:val="auto"/>
          <w:sz w:val="24"/>
          <w:szCs w:val="24"/>
          <w:lang w:eastAsia="en-US"/>
        </w:rPr>
      </w:sdtPr>
      <w:sdtContent>
        <w:p>
          <w:pPr>
            <w:pStyle w:val="1129"/>
            <w:spacing w:before="0" w:after="120" w:line="240" w:lineRule="auto"/>
            <w:rPr>
              <w:rStyle w:val="1133"/>
              <w:b/>
              <w:color w:val="auto"/>
            </w:rPr>
          </w:pPr>
          <w:r/>
          <w:bookmarkStart w:id="1" w:name="_Toc132357135"/>
          <w:r/>
          <w:bookmarkStart w:id="2" w:name="_Toc132734530"/>
          <w:r/>
          <w:bookmarkEnd w:id="2"/>
          <w:r/>
          <w:bookmarkEnd w:id="1"/>
          <w:r>
            <w:rPr>
              <w:rStyle w:val="1133"/>
              <w:b/>
              <w:color w:val="auto"/>
            </w:rPr>
            <w:t xml:space="preserve">СОДЕРЖАНИЕ</w:t>
          </w:r>
          <w:r>
            <w:rPr>
              <w:rStyle w:val="1133"/>
              <w:b/>
              <w:color w:val="auto"/>
            </w:rPr>
          </w:r>
          <w:r>
            <w:rPr>
              <w:rStyle w:val="1133"/>
              <w:b/>
              <w:color w:val="auto"/>
            </w:rPr>
          </w:r>
        </w:p>
        <w:p>
          <w:pPr>
            <w:spacing w:after="120" w:line="240" w:lineRule="auto"/>
            <w:rPr>
              <w:rFonts w:ascii="PT Astra Serif" w:hAnsi="PT Astra Serif"/>
              <w:sz w:val="24"/>
              <w:szCs w:val="24"/>
              <w:lang w:eastAsia="ru-RU"/>
            </w:rPr>
          </w:pPr>
          <w:r>
            <w:rPr>
              <w:rFonts w:ascii="PT Astra Serif" w:hAnsi="PT Astra Serif"/>
              <w:sz w:val="24"/>
              <w:szCs w:val="24"/>
              <w:lang w:eastAsia="ru-RU"/>
            </w:rPr>
          </w:r>
          <w:r>
            <w:rPr>
              <w:rFonts w:ascii="PT Astra Serif" w:hAnsi="PT Astra Serif"/>
              <w:sz w:val="24"/>
              <w:szCs w:val="24"/>
              <w:lang w:eastAsia="ru-RU"/>
            </w:rPr>
          </w:r>
          <w:r>
            <w:rPr>
              <w:rFonts w:ascii="PT Astra Serif" w:hAnsi="PT Astra Serif"/>
              <w:sz w:val="24"/>
              <w:szCs w:val="24"/>
              <w:lang w:eastAsia="ru-RU"/>
            </w:rPr>
          </w:r>
        </w:p>
        <w:p>
          <w:pPr>
            <w:pStyle w:val="1131"/>
            <w:jc w:val="left"/>
            <w:spacing w:after="120"/>
            <w:rPr>
              <w:rFonts w:ascii="PT Astra Serif" w:hAnsi="PT Astra Serif" w:eastAsiaTheme="minorEastAsia" w:cstheme="minorBidi"/>
              <w:sz w:val="24"/>
              <w:szCs w:val="24"/>
              <w:lang w:eastAsia="ru-RU"/>
            </w:rPr>
          </w:pPr>
          <w:r>
            <w:rPr>
              <w:rFonts w:ascii="PT Astra Serif" w:hAnsi="PT Astra Serif"/>
              <w:sz w:val="24"/>
              <w:szCs w:val="24"/>
            </w:rPr>
            <w:fldChar w:fldCharType="begin"/>
          </w:r>
          <w:r>
            <w:rPr>
              <w:rFonts w:ascii="PT Astra Serif" w:hAnsi="PT Astra Serif"/>
              <w:sz w:val="24"/>
              <w:szCs w:val="24"/>
            </w:rPr>
            <w:instrText xml:space="preserve"> TOC \o "1-3" \h \z \u </w:instrText>
          </w:r>
          <w:r>
            <w:rPr>
              <w:rFonts w:ascii="PT Astra Serif" w:hAnsi="PT Astra Serif"/>
              <w:sz w:val="24"/>
              <w:szCs w:val="24"/>
            </w:rPr>
            <w:fldChar w:fldCharType="separate"/>
          </w:r>
          <w:hyperlink w:tooltip="#_Toc134630393" w:anchor="_Toc134630393" w:history="1">
            <w:r>
              <w:rPr>
                <w:rStyle w:val="1127"/>
                <w:rFonts w:ascii="PT Astra Serif" w:hAnsi="PT Astra Serif"/>
                <w:color w:val="auto"/>
                <w:sz w:val="24"/>
                <w:szCs w:val="24"/>
                <w:u w:val="none"/>
              </w:rPr>
              <w:t xml:space="preserve">ВВЕДЕНИЕ</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_Toc134630393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5</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1"/>
            <w:jc w:val="left"/>
            <w:spacing w:after="120"/>
            <w:rPr>
              <w:rFonts w:ascii="PT Astra Serif" w:hAnsi="PT Astra Serif" w:eastAsiaTheme="minorEastAsia" w:cstheme="minorBidi"/>
              <w:sz w:val="24"/>
              <w:szCs w:val="24"/>
              <w:lang w:eastAsia="ru-RU"/>
            </w:rPr>
          </w:pPr>
          <w:r/>
          <w:hyperlink w:tooltip="#_Toc134630394" w:anchor="_Toc134630394" w:history="1">
            <w:r>
              <w:rPr>
                <w:rStyle w:val="1127"/>
                <w:rFonts w:ascii="PT Astra Serif" w:hAnsi="PT Astra Serif"/>
                <w:color w:val="auto"/>
                <w:sz w:val="24"/>
                <w:szCs w:val="24"/>
                <w:u w:val="none"/>
              </w:rPr>
              <w:t xml:space="preserve">РАЗДЕЛ </w:t>
            </w:r>
            <w:r>
              <w:rPr>
                <w:rStyle w:val="1127"/>
                <w:rFonts w:ascii="PT Astra Serif" w:hAnsi="PT Astra Serif" w:eastAsia="Times New Roman"/>
                <w:caps/>
                <w:color w:val="auto"/>
                <w:sz w:val="24"/>
                <w:szCs w:val="24"/>
                <w:u w:val="none"/>
              </w:rPr>
              <w:t xml:space="preserve">I Реализация модели интенсивного развития, создание условий для инвестиций, развитие предпринимательства</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_Toc134630394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16</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395" w:anchor="_Toc134630395" w:history="1">
            <w:r>
              <w:rPr>
                <w:rStyle w:val="1127"/>
                <w:rFonts w:ascii="PT Astra Serif" w:hAnsi="PT Astra Serif"/>
                <w:color w:val="auto"/>
                <w:sz w:val="24"/>
                <w:szCs w:val="24"/>
                <w:u w:val="none"/>
              </w:rPr>
              <w:t xml:space="preserve">1.1. Обеспечение развития промышленности</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_Toc134630395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16</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396" w:anchor="_Toc134630396" w:history="1">
            <w:r>
              <w:rPr>
                <w:rStyle w:val="1127"/>
                <w:rFonts w:ascii="PT Astra Serif" w:hAnsi="PT Astra Serif"/>
                <w:color w:val="auto"/>
                <w:sz w:val="24"/>
                <w:szCs w:val="24"/>
                <w:u w:val="none"/>
              </w:rPr>
              <w:t xml:space="preserve">1.2. Обеспечение развития предпринимательства и рост непроизводственных индустрий</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_Toc134630396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16</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397" w:anchor="_Toc134630397" w:history="1">
            <w:r>
              <w:rPr>
                <w:rStyle w:val="1127"/>
                <w:rFonts w:ascii="PT Astra Serif" w:hAnsi="PT Astra Serif"/>
                <w:color w:val="auto"/>
                <w:sz w:val="24"/>
                <w:szCs w:val="24"/>
                <w:u w:val="none"/>
              </w:rPr>
              <w:t xml:space="preserve">1.3. Формирование технологического ядра новой отраслевой специализации, обеспечение развития инновационной инфраструктуры</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_Toc134630397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25</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398" w:anchor="_Toc134630398" w:history="1">
            <w:r>
              <w:rPr>
                <w:rStyle w:val="1127"/>
                <w:rFonts w:ascii="PT Astra Serif" w:hAnsi="PT Astra Serif"/>
                <w:color w:val="auto"/>
                <w:sz w:val="24"/>
                <w:szCs w:val="24"/>
                <w:u w:val="none"/>
              </w:rPr>
              <w:t xml:space="preserve">1.4. Обеспечение улучшения инвестиционного климата и повышения качества государственного регулиро</w:t>
            </w:r>
            <w:r>
              <w:rPr>
                <w:rStyle w:val="1127"/>
                <w:rFonts w:ascii="PT Astra Serif" w:hAnsi="PT Astra Serif"/>
                <w:color w:val="auto"/>
                <w:sz w:val="24"/>
                <w:szCs w:val="24"/>
                <w:u w:val="none"/>
              </w:rPr>
              <w:t xml:space="preserve">в</w:t>
            </w:r>
            <w:r>
              <w:rPr>
                <w:rStyle w:val="1127"/>
                <w:rFonts w:ascii="PT Astra Serif" w:hAnsi="PT Astra Serif"/>
                <w:color w:val="auto"/>
                <w:sz w:val="24"/>
                <w:szCs w:val="24"/>
                <w:u w:val="none"/>
              </w:rPr>
              <w:t xml:space="preserve">ания, содействие укреплению международных и межрегиональных связей</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_Toc134630398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38</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1"/>
            <w:jc w:val="left"/>
            <w:spacing w:after="120"/>
            <w:rPr>
              <w:rFonts w:ascii="PT Astra Serif" w:hAnsi="PT Astra Serif" w:eastAsiaTheme="minorEastAsia" w:cstheme="minorBidi"/>
              <w:sz w:val="24"/>
              <w:szCs w:val="24"/>
              <w:lang w:eastAsia="ru-RU"/>
            </w:rPr>
          </w:pPr>
          <w:r/>
          <w:hyperlink w:tooltip="#_Toc134630399" w:anchor="_Toc134630399" w:history="1">
            <w:r>
              <w:rPr>
                <w:rStyle w:val="1127"/>
                <w:rFonts w:ascii="PT Astra Serif" w:hAnsi="PT Astra Serif"/>
                <w:color w:val="auto"/>
                <w:sz w:val="24"/>
                <w:szCs w:val="24"/>
                <w:u w:val="none"/>
              </w:rPr>
              <w:t xml:space="preserve">РАЗДЕЛ II </w:t>
            </w:r>
            <w:r>
              <w:rPr>
                <w:rStyle w:val="1127"/>
                <w:rFonts w:ascii="PT Astra Serif" w:hAnsi="PT Astra Serif"/>
                <w:caps/>
                <w:color w:val="auto"/>
                <w:sz w:val="24"/>
                <w:szCs w:val="24"/>
                <w:u w:val="none"/>
              </w:rPr>
              <w:t xml:space="preserve">Рациональное использование природного капитала, устойчивое развитие агропромышленного комплекса</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_Toc134630399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50</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00" w:anchor="_Toc134630400" w:history="1">
            <w:r>
              <w:rPr>
                <w:rStyle w:val="1127"/>
                <w:rFonts w:ascii="PT Astra Serif" w:hAnsi="PT Astra Serif"/>
                <w:color w:val="auto"/>
                <w:sz w:val="24"/>
                <w:szCs w:val="24"/>
                <w:u w:val="none"/>
              </w:rPr>
              <w:t xml:space="preserve">2.1. Обеспечение рационального использования природных ресурсов и повышение качества окружающей среды</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_Toc134630400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50</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01" w:anchor="_Toc134630401" w:history="1">
            <w:r>
              <w:rPr>
                <w:rStyle w:val="1127"/>
                <w:rFonts w:ascii="PT Astra Serif" w:hAnsi="PT Astra Serif"/>
                <w:color w:val="auto"/>
                <w:sz w:val="24"/>
                <w:szCs w:val="24"/>
                <w:u w:val="none"/>
              </w:rPr>
              <w:t xml:space="preserve">2.2. </w:t>
            </w:r>
            <w:r>
              <w:rPr>
                <w:rStyle w:val="1127"/>
                <w:rFonts w:ascii="PT Astra Serif" w:hAnsi="PT Astra Serif"/>
                <w:color w:val="auto"/>
                <w:sz w:val="24"/>
                <w:szCs w:val="24"/>
                <w:u w:val="none"/>
              </w:rPr>
              <w:t xml:space="preserve">Повышение</w:t>
            </w:r>
            <w:r>
              <w:rPr>
                <w:rStyle w:val="1127"/>
                <w:rFonts w:ascii="PT Astra Serif" w:hAnsi="PT Astra Serif"/>
                <w:color w:val="auto"/>
                <w:sz w:val="24"/>
                <w:szCs w:val="24"/>
                <w:u w:val="none"/>
              </w:rPr>
              <w:t xml:space="preserve"> конкурентоспособности агропромышленного комплекса</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_Toc134630401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55</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1"/>
            <w:jc w:val="left"/>
            <w:spacing w:after="120"/>
            <w:rPr>
              <w:rFonts w:ascii="PT Astra Serif" w:hAnsi="PT Astra Serif" w:eastAsiaTheme="minorEastAsia" w:cstheme="minorBidi"/>
              <w:sz w:val="24"/>
              <w:szCs w:val="24"/>
              <w:lang w:eastAsia="ru-RU"/>
            </w:rPr>
          </w:pPr>
          <w:r/>
          <w:hyperlink w:tooltip="#_Toc134630402" w:anchor="_Toc134630402" w:history="1">
            <w:r>
              <w:rPr>
                <w:rStyle w:val="1127"/>
                <w:rFonts w:ascii="PT Astra Serif" w:hAnsi="PT Astra Serif"/>
                <w:color w:val="auto"/>
                <w:sz w:val="24"/>
                <w:szCs w:val="24"/>
                <w:u w:val="none"/>
              </w:rPr>
              <w:t xml:space="preserve">РАЗДЕЛ III </w:t>
            </w:r>
            <w:r>
              <w:rPr>
                <w:rStyle w:val="1127"/>
                <w:rFonts w:ascii="PT Astra Serif" w:hAnsi="PT Astra Serif" w:eastAsia="Times New Roman"/>
                <w:color w:val="auto"/>
                <w:sz w:val="24"/>
                <w:szCs w:val="24"/>
                <w:u w:val="none"/>
              </w:rPr>
              <w:t xml:space="preserve">ПОВЫШЕНИЕ УРОВНЯ И КАЧЕСТВА ЖИЗНИ НАСЕЛЕНИЯ, НАКОПЛЕНИЕ ЧЕЛОВЕЧЕСКОГО КАПИТАЛА</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_Toc134630402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59</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03" w:anchor="_Toc134630403" w:history="1">
            <w:r>
              <w:rPr>
                <w:rStyle w:val="1127"/>
                <w:rFonts w:ascii="PT Astra Serif" w:hAnsi="PT Astra Serif"/>
                <w:color w:val="auto"/>
                <w:sz w:val="24"/>
                <w:szCs w:val="24"/>
                <w:u w:val="none"/>
              </w:rPr>
              <w:t xml:space="preserve">3.1. Повышение доступности медицинской помощи и эффективности предоставления медицинских услуг</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_Toc134630403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59</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04" w:anchor="_Toc134630404" w:history="1">
            <w:r>
              <w:rPr>
                <w:rStyle w:val="1127"/>
                <w:rFonts w:ascii="PT Astra Serif" w:hAnsi="PT Astra Serif"/>
                <w:color w:val="auto"/>
                <w:sz w:val="24"/>
                <w:szCs w:val="24"/>
                <w:u w:val="none"/>
              </w:rPr>
              <w:t xml:space="preserve">3.2. Содействие повышению качества образования</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_Toc134630404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63</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05" w:anchor="_Toc134630405" w:history="1">
            <w:r>
              <w:rPr>
                <w:rStyle w:val="1127"/>
                <w:rFonts w:ascii="PT Astra Serif" w:hAnsi="PT Astra Serif"/>
                <w:color w:val="auto"/>
                <w:sz w:val="24"/>
                <w:szCs w:val="24"/>
                <w:u w:val="none"/>
              </w:rPr>
              <w:t xml:space="preserve">3.3. Содействие развитию строительного комплекса, повышению качества жилищных условий, доступности жилья и качества городской среды</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_Toc134630405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78</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06" w:anchor="_Toc134630406" w:history="1">
            <w:r>
              <w:rPr>
                <w:rStyle w:val="1127"/>
                <w:rFonts w:ascii="PT Astra Serif" w:hAnsi="PT Astra Serif"/>
                <w:color w:val="auto"/>
                <w:sz w:val="24"/>
                <w:szCs w:val="24"/>
                <w:u w:val="none"/>
              </w:rPr>
              <w:t xml:space="preserve">3.4. Обеспечение повышения безопасности жизнедеятельности</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_Toc134630406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84</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07" w:anchor="_Toc134630407" w:history="1">
            <w:r>
              <w:rPr>
                <w:rStyle w:val="1127"/>
                <w:rFonts w:ascii="PT Astra Serif" w:hAnsi="PT Astra Serif"/>
                <w:color w:val="auto"/>
                <w:sz w:val="24"/>
                <w:szCs w:val="24"/>
                <w:u w:val="none"/>
              </w:rPr>
              <w:t xml:space="preserve">3.5. Обеспечение развития физической культуры и спорта, проведение эффективной молодежной политики</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_Toc134630407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87</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08" w:anchor="_Toc134630408" w:history="1">
            <w:r>
              <w:rPr>
                <w:rStyle w:val="1127"/>
                <w:rFonts w:ascii="PT Astra Serif" w:hAnsi="PT Astra Serif"/>
                <w:color w:val="auto"/>
                <w:sz w:val="24"/>
                <w:szCs w:val="24"/>
                <w:u w:val="none"/>
              </w:rPr>
              <w:t xml:space="preserve">3.6. Содействие развитию эффективного рынка труда и кадровому обеспечению экономики</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_Toc134630408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90</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09" w:anchor="_Toc134630409" w:history="1">
            <w:r>
              <w:rPr>
                <w:rStyle w:val="1127"/>
                <w:rFonts w:ascii="PT Astra Serif" w:hAnsi="PT Astra Serif"/>
                <w:color w:val="auto"/>
                <w:sz w:val="24"/>
                <w:szCs w:val="24"/>
                <w:u w:val="none"/>
              </w:rPr>
              <w:t xml:space="preserve">3.7. Повышение качества, актуальности и доступности услуг в сфере культуры</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_Toc134630409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92</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10" w:anchor="_Toc134630410" w:history="1">
            <w:r>
              <w:rPr>
                <w:rStyle w:val="1127"/>
                <w:rFonts w:ascii="PT Astra Serif" w:hAnsi="PT Astra Serif"/>
                <w:color w:val="auto"/>
                <w:sz w:val="24"/>
                <w:szCs w:val="24"/>
                <w:u w:val="none"/>
              </w:rPr>
              <w:t xml:space="preserve">3.8. Повышение качества и доступности социальной поддержки и социального обслуживания населения, в том числе детей</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_Toc134630410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96</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1"/>
            <w:jc w:val="left"/>
            <w:spacing w:after="120"/>
            <w:rPr>
              <w:rFonts w:ascii="PT Astra Serif" w:hAnsi="PT Astra Serif" w:eastAsiaTheme="minorEastAsia" w:cstheme="minorBidi"/>
              <w:sz w:val="24"/>
              <w:szCs w:val="24"/>
              <w:lang w:eastAsia="ru-RU"/>
            </w:rPr>
          </w:pPr>
          <w:r/>
          <w:hyperlink w:tooltip="#_Toc134630411" w:anchor="_Toc134630411" w:history="1">
            <w:r>
              <w:rPr>
                <w:rStyle w:val="1127"/>
                <w:rFonts w:ascii="PT Astra Serif" w:hAnsi="PT Astra Serif" w:eastAsia="Times New Roman"/>
                <w:caps/>
                <w:color w:val="auto"/>
                <w:sz w:val="24"/>
                <w:szCs w:val="24"/>
                <w:u w:val="none"/>
              </w:rPr>
              <w:t xml:space="preserve">РАЗДЕЛ I</w:t>
            </w:r>
            <w:r>
              <w:rPr>
                <w:rStyle w:val="1127"/>
                <w:rFonts w:ascii="PT Astra Serif" w:hAnsi="PT Astra Serif" w:eastAsia="Times New Roman"/>
                <w:caps/>
                <w:color w:val="auto"/>
                <w:sz w:val="24"/>
                <w:szCs w:val="24"/>
                <w:u w:val="none"/>
                <w:lang w:val="en-US"/>
              </w:rPr>
              <w:t xml:space="preserve">V</w:t>
            </w:r>
            <w:r>
              <w:rPr>
                <w:rStyle w:val="1127"/>
                <w:rFonts w:ascii="PT Astra Serif" w:hAnsi="PT Astra Serif" w:eastAsia="Times New Roman"/>
                <w:caps/>
                <w:color w:val="auto"/>
                <w:sz w:val="24"/>
                <w:szCs w:val="24"/>
                <w:u w:val="none"/>
              </w:rPr>
              <w:t xml:space="preserve"> Сбалансированное территориальное развитие, в том числе за счет развития инфраструктуры</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_Toc134630411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104</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12" w:anchor="_Toc134630412" w:history="1">
            <w:r>
              <w:rPr>
                <w:rStyle w:val="1127"/>
                <w:rFonts w:ascii="PT Astra Serif" w:hAnsi="PT Astra Serif"/>
                <w:color w:val="auto"/>
                <w:sz w:val="24"/>
                <w:szCs w:val="24"/>
                <w:u w:val="none"/>
              </w:rPr>
              <w:t xml:space="preserve">4.1. Обеспечение устойчивого развития муниципальных образований Томской области</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_Toc134630412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104</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13" w:anchor="_Toc134630413" w:history="1">
            <w:r>
              <w:rPr>
                <w:rStyle w:val="1127"/>
                <w:rFonts w:ascii="PT Astra Serif" w:hAnsi="PT Astra Serif"/>
                <w:color w:val="auto"/>
                <w:sz w:val="24"/>
                <w:szCs w:val="24"/>
                <w:u w:val="none"/>
              </w:rPr>
              <w:t xml:space="preserve">4.2. Содействие повышению эффективности транспортной системы и информационно-коммуникационной инфраструктуры</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_Toc134630413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106</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14" w:anchor="_Toc134630414" w:history="1">
            <w:r>
              <w:rPr>
                <w:rStyle w:val="1127"/>
                <w:rFonts w:ascii="PT Astra Serif" w:hAnsi="PT Astra Serif"/>
                <w:color w:val="auto"/>
                <w:sz w:val="24"/>
                <w:szCs w:val="24"/>
                <w:u w:val="none"/>
              </w:rPr>
              <w:t xml:space="preserve">4.3. Обеспечение модернизации и развития коммунальной инфраструктуры</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_Toc134630414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111</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1"/>
            <w:jc w:val="left"/>
            <w:spacing w:after="120"/>
            <w:rPr>
              <w:rFonts w:ascii="PT Astra Serif" w:hAnsi="PT Astra Serif" w:eastAsiaTheme="minorEastAsia" w:cstheme="minorBidi"/>
              <w:sz w:val="24"/>
              <w:szCs w:val="24"/>
              <w:lang w:eastAsia="ru-RU"/>
            </w:rPr>
          </w:pPr>
          <w:r/>
          <w:hyperlink w:tooltip="#_Toc134630415" w:anchor="_Toc134630415" w:history="1">
            <w:r>
              <w:rPr>
                <w:rStyle w:val="1127"/>
                <w:rFonts w:ascii="PT Astra Serif" w:hAnsi="PT Astra Serif" w:eastAsia="Times New Roman"/>
                <w:caps/>
                <w:color w:val="auto"/>
                <w:sz w:val="24"/>
                <w:szCs w:val="24"/>
                <w:u w:val="none"/>
              </w:rPr>
              <w:t xml:space="preserve">РАЗДЕЛ </w:t>
            </w:r>
            <w:r>
              <w:rPr>
                <w:rStyle w:val="1127"/>
                <w:rFonts w:ascii="PT Astra Serif" w:hAnsi="PT Astra Serif" w:eastAsia="Times New Roman"/>
                <w:caps/>
                <w:color w:val="auto"/>
                <w:sz w:val="24"/>
                <w:szCs w:val="24"/>
                <w:u w:val="none"/>
                <w:lang w:val="en-US"/>
              </w:rPr>
              <w:t xml:space="preserve">V</w:t>
            </w:r>
            <w:r>
              <w:rPr>
                <w:rStyle w:val="1127"/>
                <w:rFonts w:ascii="PT Astra Serif" w:hAnsi="PT Astra Serif" w:eastAsia="Times New Roman"/>
                <w:caps/>
                <w:color w:val="auto"/>
                <w:sz w:val="24"/>
                <w:szCs w:val="24"/>
                <w:u w:val="none"/>
              </w:rPr>
              <w:t xml:space="preserve"> Эффективное управление регионом и цифровая трансформация</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_Toc134630415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118</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16" w:anchor="_Toc134630416" w:history="1">
            <w:r>
              <w:rPr>
                <w:rStyle w:val="1127"/>
                <w:rFonts w:ascii="PT Astra Serif" w:hAnsi="PT Astra Serif"/>
                <w:color w:val="auto"/>
                <w:sz w:val="24"/>
                <w:szCs w:val="24"/>
                <w:u w:val="none"/>
              </w:rPr>
              <w:t xml:space="preserve">5.1. Создание системы управления на базе цифровых платформ, в том числе в государственном секторе</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_Toc134630416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118</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17" w:anchor="_Toc134630417" w:history="1">
            <w:r>
              <w:rPr>
                <w:rStyle w:val="1127"/>
                <w:rFonts w:ascii="PT Astra Serif" w:hAnsi="PT Astra Serif"/>
                <w:color w:val="auto"/>
                <w:sz w:val="24"/>
                <w:szCs w:val="24"/>
                <w:u w:val="none"/>
              </w:rPr>
              <w:t xml:space="preserve">5.2. Обеспечение эффективного управления региональными финансами и совершенствование межбюджетных отношений, в том числе повышение эффективности управления государственными закупками</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_Toc134630417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120</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18" w:anchor="_Toc134630418" w:history="1">
            <w:r>
              <w:rPr>
                <w:rStyle w:val="1127"/>
                <w:rFonts w:ascii="PT Astra Serif" w:hAnsi="PT Astra Serif"/>
                <w:color w:val="auto"/>
                <w:sz w:val="24"/>
                <w:szCs w:val="24"/>
                <w:u w:val="none"/>
              </w:rPr>
              <w:t xml:space="preserve">5.3. Повышение эффективности управления государственным имуществом</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_Toc134630418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126</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19" w:anchor="_Toc134630419" w:history="1">
            <w:r>
              <w:rPr>
                <w:rStyle w:val="1127"/>
                <w:rFonts w:ascii="PT Astra Serif" w:hAnsi="PT Astra Serif"/>
                <w:color w:val="auto"/>
                <w:sz w:val="24"/>
                <w:szCs w:val="24"/>
                <w:u w:val="none"/>
              </w:rPr>
              <w:t xml:space="preserve">5.4. Обеспечение повышения эффективности регионального и муниципального управления</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_Toc134630419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127</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1"/>
            <w:jc w:val="left"/>
            <w:spacing w:after="120"/>
            <w:rPr>
              <w:rFonts w:ascii="PT Astra Serif" w:hAnsi="PT Astra Serif" w:eastAsiaTheme="minorEastAsia" w:cstheme="minorBidi"/>
              <w:sz w:val="24"/>
              <w:szCs w:val="24"/>
              <w:lang w:eastAsia="ru-RU"/>
            </w:rPr>
          </w:pPr>
          <w:r/>
          <w:hyperlink w:tooltip="#_Toc134630420" w:anchor="_Toc134630420" w:history="1">
            <w:r>
              <w:rPr>
                <w:rStyle w:val="1127"/>
                <w:rFonts w:ascii="PT Astra Serif" w:hAnsi="PT Astra Serif"/>
                <w:color w:val="auto"/>
                <w:sz w:val="24"/>
                <w:szCs w:val="24"/>
                <w:u w:val="none"/>
              </w:rPr>
              <w:t xml:space="preserve">ПРИЛОЖЕНИЯ</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_Toc134630420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141</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21" w:anchor="_Toc134630421" w:history="1">
            <w:r>
              <w:rPr>
                <w:rStyle w:val="1127"/>
                <w:rFonts w:ascii="PT Astra Serif" w:hAnsi="PT Astra Serif"/>
                <w:color w:val="auto"/>
                <w:sz w:val="24"/>
                <w:szCs w:val="24"/>
                <w:u w:val="none"/>
              </w:rPr>
              <w:t xml:space="preserve">Приложение № 1</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_Toc134630421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141</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22" w:anchor="_Toc134630422" w:history="1">
            <w:r>
              <w:rPr>
                <w:rStyle w:val="1127"/>
                <w:rFonts w:ascii="PT Astra Serif" w:hAnsi="PT Astra Serif"/>
                <w:color w:val="auto"/>
                <w:sz w:val="24"/>
                <w:szCs w:val="24"/>
                <w:u w:val="none"/>
              </w:rPr>
              <w:t xml:space="preserve">Приложение № 2</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_Toc134630422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143</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23" w:anchor="_Toc134630423" w:history="1">
            <w:r>
              <w:rPr>
                <w:rStyle w:val="1127"/>
                <w:rFonts w:ascii="PT Astra Serif" w:hAnsi="PT Astra Serif"/>
                <w:color w:val="auto"/>
                <w:sz w:val="24"/>
                <w:szCs w:val="24"/>
                <w:u w:val="none"/>
              </w:rPr>
              <w:t xml:space="preserve">Приложение № 3</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_Toc134630423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157</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24" w:anchor="_Toc134630424" w:history="1">
            <w:r>
              <w:rPr>
                <w:rStyle w:val="1127"/>
                <w:rFonts w:ascii="PT Astra Serif" w:hAnsi="PT Astra Serif"/>
                <w:color w:val="auto"/>
                <w:sz w:val="24"/>
                <w:szCs w:val="24"/>
                <w:u w:val="none"/>
              </w:rPr>
              <w:t xml:space="preserve">Приложение № 4</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_Toc134630424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160</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25" w:anchor="_Toc134630425" w:history="1">
            <w:r>
              <w:rPr>
                <w:rStyle w:val="1127"/>
                <w:rFonts w:ascii="PT Astra Serif" w:hAnsi="PT Astra Serif"/>
                <w:color w:val="auto"/>
                <w:sz w:val="24"/>
                <w:szCs w:val="24"/>
                <w:u w:val="none"/>
              </w:rPr>
              <w:t xml:space="preserve">Приложение № 5</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_Toc134630425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161</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26" w:anchor="_Toc134630426" w:history="1">
            <w:r>
              <w:rPr>
                <w:rStyle w:val="1127"/>
                <w:rFonts w:ascii="PT Astra Serif" w:hAnsi="PT Astra Serif"/>
                <w:color w:val="auto"/>
                <w:sz w:val="24"/>
                <w:szCs w:val="24"/>
                <w:u w:val="none"/>
              </w:rPr>
              <w:t xml:space="preserve">Приложение № 6</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_Toc134630426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181</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27" w:anchor="_Toc134630427" w:history="1">
            <w:r>
              <w:rPr>
                <w:rStyle w:val="1127"/>
                <w:rFonts w:ascii="PT Astra Serif" w:hAnsi="PT Astra Serif"/>
                <w:color w:val="auto"/>
                <w:sz w:val="24"/>
                <w:szCs w:val="24"/>
                <w:u w:val="none"/>
              </w:rPr>
              <w:t xml:space="preserve">Приложение № 7</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_Toc134630427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182</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28" w:anchor="_Toc134630428" w:history="1">
            <w:r>
              <w:rPr>
                <w:rStyle w:val="1127"/>
                <w:rFonts w:ascii="PT Astra Serif" w:hAnsi="PT Astra Serif"/>
                <w:color w:val="auto"/>
                <w:sz w:val="24"/>
                <w:szCs w:val="24"/>
                <w:u w:val="none"/>
              </w:rPr>
              <w:t xml:space="preserve">Приложение № 8</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_Toc134630428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183</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29" w:anchor="_Toc134630429" w:history="1">
            <w:r>
              <w:rPr>
                <w:rStyle w:val="1127"/>
                <w:rFonts w:ascii="PT Astra Serif" w:hAnsi="PT Astra Serif"/>
                <w:color w:val="auto"/>
                <w:sz w:val="24"/>
                <w:szCs w:val="24"/>
                <w:u w:val="none"/>
              </w:rPr>
              <w:t xml:space="preserve">Приложение № 9</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_Toc134630429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187</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pStyle w:val="1130"/>
            <w:jc w:val="left"/>
            <w:spacing w:after="120"/>
            <w:rPr>
              <w:rFonts w:ascii="PT Astra Serif" w:hAnsi="PT Astra Serif" w:eastAsiaTheme="minorEastAsia" w:cstheme="minorBidi"/>
              <w:sz w:val="24"/>
              <w:szCs w:val="24"/>
              <w:lang w:eastAsia="ru-RU"/>
            </w:rPr>
          </w:pPr>
          <w:r/>
          <w:hyperlink w:tooltip="#_Toc134630430" w:anchor="_Toc134630430" w:history="1">
            <w:r>
              <w:rPr>
                <w:rStyle w:val="1127"/>
                <w:rFonts w:ascii="PT Astra Serif" w:hAnsi="PT Astra Serif"/>
                <w:color w:val="auto"/>
                <w:sz w:val="24"/>
                <w:szCs w:val="24"/>
                <w:u w:val="none"/>
              </w:rPr>
              <w:t xml:space="preserve">Приложение № 10</w:t>
            </w:r>
            <w:r>
              <w:rPr>
                <w:rFonts w:ascii="PT Astra Serif" w:hAnsi="PT Astra Serif"/>
                <w:sz w:val="24"/>
                <w:szCs w:val="24"/>
              </w:rPr>
              <w:tab/>
            </w:r>
            <w:r>
              <w:rPr>
                <w:rFonts w:ascii="PT Astra Serif" w:hAnsi="PT Astra Serif"/>
                <w:sz w:val="24"/>
                <w:szCs w:val="24"/>
              </w:rPr>
              <w:fldChar w:fldCharType="begin"/>
            </w:r>
            <w:r>
              <w:rPr>
                <w:rFonts w:ascii="PT Astra Serif" w:hAnsi="PT Astra Serif"/>
                <w:sz w:val="24"/>
                <w:szCs w:val="24"/>
              </w:rPr>
              <w:instrText xml:space="preserve"> PAGEREF _Toc134630430 \h </w:instrText>
            </w:r>
            <w:r>
              <w:rPr>
                <w:rFonts w:ascii="PT Astra Serif" w:hAnsi="PT Astra Serif"/>
                <w:sz w:val="24"/>
                <w:szCs w:val="24"/>
              </w:rPr>
            </w:r>
            <w:r>
              <w:rPr>
                <w:rFonts w:ascii="PT Astra Serif" w:hAnsi="PT Astra Serif"/>
                <w:sz w:val="24"/>
                <w:szCs w:val="24"/>
              </w:rPr>
              <w:fldChar w:fldCharType="separate"/>
            </w:r>
            <w:r>
              <w:rPr>
                <w:rFonts w:ascii="PT Astra Serif" w:hAnsi="PT Astra Serif"/>
                <w:sz w:val="24"/>
                <w:szCs w:val="24"/>
              </w:rPr>
              <w:t xml:space="preserve">192</w:t>
            </w:r>
            <w:r>
              <w:rPr>
                <w:rFonts w:ascii="PT Astra Serif" w:hAnsi="PT Astra Serif"/>
                <w:sz w:val="24"/>
                <w:szCs w:val="24"/>
              </w:rPr>
              <w:fldChar w:fldCharType="end"/>
            </w:r>
          </w:hyperlink>
          <w:r>
            <w:rPr>
              <w:rFonts w:ascii="PT Astra Serif" w:hAnsi="PT Astra Serif" w:eastAsiaTheme="minorEastAsia" w:cstheme="minorBidi"/>
              <w:sz w:val="24"/>
              <w:szCs w:val="24"/>
              <w:lang w:eastAsia="ru-RU"/>
            </w:rPr>
          </w:r>
          <w:r>
            <w:rPr>
              <w:rFonts w:ascii="PT Astra Serif" w:hAnsi="PT Astra Serif" w:eastAsiaTheme="minorEastAsia" w:cstheme="minorBidi"/>
              <w:sz w:val="24"/>
              <w:szCs w:val="24"/>
              <w:lang w:eastAsia="ru-RU"/>
            </w:rPr>
          </w:r>
        </w:p>
        <w:p>
          <w:pPr>
            <w:spacing w:after="120" w:line="240" w:lineRule="auto"/>
            <w:rPr>
              <w:rFonts w:ascii="PT Astra Serif" w:hAnsi="PT Astra Serif"/>
              <w:sz w:val="24"/>
              <w:szCs w:val="24"/>
            </w:rPr>
          </w:pPr>
          <w:r>
            <w:rPr>
              <w:rFonts w:ascii="PT Astra Serif" w:hAnsi="PT Astra Serif"/>
              <w:b/>
              <w:bCs/>
              <w:sz w:val="24"/>
              <w:szCs w:val="24"/>
            </w:rPr>
            <w:fldChar w:fldCharType="end"/>
          </w:r>
          <w:r>
            <w:rPr>
              <w:rFonts w:ascii="PT Astra Serif" w:hAnsi="PT Astra Serif"/>
              <w:sz w:val="24"/>
              <w:szCs w:val="24"/>
            </w:rPr>
          </w:r>
          <w:r>
            <w:rPr>
              <w:rFonts w:ascii="PT Astra Serif" w:hAnsi="PT Astra Serif"/>
              <w:sz w:val="24"/>
              <w:szCs w:val="24"/>
            </w:rPr>
          </w:r>
        </w:p>
      </w:sdtContent>
    </w:sdt>
    <w:p>
      <w:pPr>
        <w:spacing w:after="0" w:line="240" w:lineRule="auto"/>
        <w:rPr>
          <w:rFonts w:ascii="PT Astra Serif" w:hAnsi="PT Astra Serif"/>
          <w:sz w:val="24"/>
          <w:szCs w:val="24"/>
        </w:rPr>
      </w:pPr>
      <w:r>
        <w:rPr>
          <w:rFonts w:ascii="PT Astra Serif" w:hAnsi="PT Astra Serif"/>
          <w:sz w:val="24"/>
          <w:szCs w:val="24"/>
        </w:rPr>
        <w:br w:type="page" w:clear="all"/>
      </w:r>
      <w:r>
        <w:rPr>
          <w:rFonts w:ascii="PT Astra Serif" w:hAnsi="PT Astra Serif"/>
          <w:sz w:val="24"/>
          <w:szCs w:val="24"/>
        </w:rPr>
      </w:r>
      <w:r>
        <w:rPr>
          <w:rFonts w:ascii="PT Astra Serif" w:hAnsi="PT Astra Serif"/>
          <w:sz w:val="24"/>
          <w:szCs w:val="24"/>
        </w:rPr>
      </w:r>
    </w:p>
    <w:p>
      <w:pPr>
        <w:pStyle w:val="1132"/>
      </w:pPr>
      <w:r>
        <w:t xml:space="preserve">Список сокращений</w:t>
      </w:r>
      <w:r/>
    </w:p>
    <w:p>
      <w:pPr>
        <w:jc w:val="both"/>
        <w:spacing w:after="0" w:line="240" w:lineRule="auto"/>
        <w:tabs>
          <w:tab w:val="left" w:pos="4962"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АПК</w:t>
      </w:r>
      <w:r>
        <w:rPr>
          <w:rFonts w:ascii="PT Astra Serif" w:hAnsi="PT Astra Serif"/>
          <w:sz w:val="24"/>
          <w:szCs w:val="24"/>
        </w:rPr>
        <w:t xml:space="preserve"> – агропромышленный комплекс</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ВВП</w:t>
      </w:r>
      <w:r>
        <w:rPr>
          <w:rFonts w:ascii="PT Astra Serif" w:hAnsi="PT Astra Serif"/>
          <w:sz w:val="24"/>
          <w:szCs w:val="24"/>
        </w:rPr>
        <w:t xml:space="preserve"> – валовой внутренний продукт</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ВРП</w:t>
      </w:r>
      <w:r>
        <w:rPr>
          <w:rFonts w:ascii="PT Astra Serif" w:hAnsi="PT Astra Serif"/>
          <w:sz w:val="24"/>
          <w:szCs w:val="24"/>
        </w:rPr>
        <w:t xml:space="preserve"> – валовой региональный продукт</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ЕГРН</w:t>
      </w:r>
      <w:r>
        <w:rPr>
          <w:rFonts w:ascii="PT Astra Serif" w:hAnsi="PT Astra Serif"/>
          <w:sz w:val="24"/>
          <w:szCs w:val="24"/>
        </w:rPr>
        <w:t xml:space="preserve"> – единый государственный реестр недвижимости</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ЕПГУ</w:t>
      </w:r>
      <w:r>
        <w:rPr>
          <w:rFonts w:ascii="PT Astra Serif" w:hAnsi="PT Astra Serif"/>
          <w:sz w:val="24"/>
          <w:szCs w:val="24"/>
        </w:rPr>
        <w:t xml:space="preserve"> – единый портал государственных услуг</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ИОА СО РАН</w:t>
      </w:r>
      <w:r>
        <w:rPr>
          <w:rFonts w:ascii="PT Astra Serif" w:hAnsi="PT Astra Serif"/>
          <w:sz w:val="24"/>
          <w:szCs w:val="24"/>
        </w:rPr>
        <w:t xml:space="preserve"> – </w:t>
      </w:r>
      <w:r>
        <w:rPr>
          <w:rFonts w:ascii="PT Astra Serif" w:hAnsi="PT Astra Serif"/>
          <w:sz w:val="24"/>
          <w:szCs w:val="24"/>
        </w:rPr>
        <w:t xml:space="preserve">институт оптики атмосферы Сибирского отделения Российской академии наук</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ИП</w:t>
      </w:r>
      <w:r>
        <w:rPr>
          <w:rFonts w:ascii="PT Astra Serif" w:hAnsi="PT Astra Serif"/>
          <w:sz w:val="24"/>
          <w:szCs w:val="24"/>
        </w:rPr>
        <w:t xml:space="preserve"> –</w:t>
      </w:r>
      <w:r>
        <w:rPr>
          <w:rFonts w:ascii="PT Astra Serif" w:hAnsi="PT Astra Serif"/>
          <w:b/>
          <w:sz w:val="24"/>
          <w:szCs w:val="24"/>
        </w:rPr>
        <w:t xml:space="preserve"> </w:t>
      </w:r>
      <w:r>
        <w:rPr>
          <w:rFonts w:ascii="PT Astra Serif" w:hAnsi="PT Astra Serif"/>
          <w:sz w:val="24"/>
          <w:szCs w:val="24"/>
        </w:rPr>
        <w:t xml:space="preserve">индивидуальный предприниматель</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ИПП</w:t>
      </w:r>
      <w:r>
        <w:rPr>
          <w:rFonts w:ascii="PT Astra Serif" w:hAnsi="PT Astra Serif"/>
          <w:sz w:val="24"/>
          <w:szCs w:val="24"/>
        </w:rPr>
        <w:t xml:space="preserve"> – индекс промышленного производства</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ИПЦ</w:t>
      </w:r>
      <w:r>
        <w:rPr>
          <w:rFonts w:ascii="PT Astra Serif" w:hAnsi="PT Astra Serif"/>
          <w:sz w:val="24"/>
          <w:szCs w:val="24"/>
        </w:rPr>
        <w:t xml:space="preserve"> – индекс потребительских цен</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ИСЭ СО РАН</w:t>
      </w:r>
      <w:r>
        <w:rPr>
          <w:rFonts w:ascii="PT Astra Serif" w:hAnsi="PT Astra Serif"/>
          <w:sz w:val="24"/>
          <w:szCs w:val="24"/>
        </w:rPr>
        <w:t xml:space="preserve"> – институт </w:t>
      </w:r>
      <w:r>
        <w:rPr>
          <w:rFonts w:ascii="PT Astra Serif" w:hAnsi="PT Astra Serif"/>
          <w:sz w:val="24"/>
          <w:szCs w:val="24"/>
        </w:rPr>
        <w:t xml:space="preserve">сильноточной электроники </w:t>
      </w:r>
      <w:r>
        <w:rPr>
          <w:rFonts w:ascii="PT Astra Serif" w:hAnsi="PT Astra Serif"/>
          <w:sz w:val="24"/>
          <w:szCs w:val="24"/>
        </w:rPr>
        <w:t xml:space="preserve">Сибирского отделения Российской академии наук</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ИФО</w:t>
      </w:r>
      <w:r>
        <w:rPr>
          <w:rFonts w:ascii="PT Astra Serif" w:hAnsi="PT Astra Serif"/>
          <w:sz w:val="24"/>
          <w:szCs w:val="24"/>
        </w:rPr>
        <w:t xml:space="preserve"> – индекс физического объема</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ИФПМ СО РАН</w:t>
      </w:r>
      <w:r>
        <w:rPr>
          <w:rFonts w:ascii="PT Astra Serif" w:hAnsi="PT Astra Serif"/>
          <w:sz w:val="24"/>
          <w:szCs w:val="24"/>
        </w:rPr>
        <w:t xml:space="preserve"> – </w:t>
      </w:r>
      <w:r>
        <w:rPr>
          <w:rFonts w:ascii="PT Astra Serif" w:hAnsi="PT Astra Serif"/>
          <w:sz w:val="24"/>
          <w:szCs w:val="24"/>
        </w:rPr>
        <w:t xml:space="preserve">Институт </w:t>
      </w:r>
      <w:r>
        <w:rPr>
          <w:rFonts w:ascii="PT Astra Serif" w:hAnsi="PT Astra Serif"/>
          <w:sz w:val="24"/>
          <w:szCs w:val="24"/>
        </w:rPr>
        <w:t xml:space="preserve">физики прочности </w:t>
      </w:r>
      <w:r>
        <w:rPr>
          <w:rFonts w:ascii="PT Astra Serif" w:hAnsi="PT Astra Serif"/>
          <w:sz w:val="24"/>
          <w:szCs w:val="24"/>
        </w:rPr>
        <w:t xml:space="preserve">и материаловедения Сибирского отделения Российской академии наук</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ИХН СО РАН</w:t>
      </w:r>
      <w:r>
        <w:rPr>
          <w:rFonts w:ascii="PT Astra Serif" w:hAnsi="PT Astra Serif"/>
          <w:sz w:val="24"/>
          <w:szCs w:val="24"/>
        </w:rPr>
        <w:t xml:space="preserve"> – </w:t>
      </w:r>
      <w:r>
        <w:rPr>
          <w:rFonts w:ascii="PT Astra Serif" w:hAnsi="PT Astra Serif"/>
          <w:sz w:val="24"/>
          <w:szCs w:val="24"/>
        </w:rPr>
        <w:t xml:space="preserve">институт химии нефти </w:t>
      </w:r>
      <w:r>
        <w:rPr>
          <w:rFonts w:ascii="PT Astra Serif" w:hAnsi="PT Astra Serif"/>
          <w:sz w:val="24"/>
          <w:szCs w:val="24"/>
        </w:rPr>
        <w:t xml:space="preserve">Сибирского отделения Российской академии наук</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МСП</w:t>
      </w:r>
      <w:r>
        <w:rPr>
          <w:rFonts w:ascii="PT Astra Serif" w:hAnsi="PT Astra Serif"/>
          <w:sz w:val="24"/>
          <w:szCs w:val="24"/>
        </w:rPr>
        <w:t xml:space="preserve"> – малое и среднее предпринимательство</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МФЦ</w:t>
      </w:r>
      <w:r>
        <w:rPr>
          <w:rFonts w:ascii="PT Astra Serif" w:hAnsi="PT Astra Serif"/>
          <w:sz w:val="24"/>
          <w:szCs w:val="24"/>
        </w:rPr>
        <w:t xml:space="preserve"> – </w:t>
      </w:r>
      <w:r>
        <w:rPr>
          <w:rFonts w:ascii="PT Astra Serif" w:hAnsi="PT Astra Serif" w:eastAsia="Times New Roman"/>
          <w:sz w:val="24"/>
          <w:szCs w:val="24"/>
        </w:rPr>
        <w:t xml:space="preserve">областное государственное казенное учреждение «Томский областной многофункциональный центр по предоставлению государственных и муниципальных услуг»</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НДПИ </w:t>
      </w:r>
      <w:r>
        <w:rPr>
          <w:rFonts w:ascii="PT Astra Serif" w:hAnsi="PT Astra Serif"/>
          <w:sz w:val="24"/>
          <w:szCs w:val="24"/>
        </w:rPr>
        <w:t xml:space="preserve">–</w:t>
      </w:r>
      <w:r>
        <w:rPr>
          <w:rFonts w:ascii="PT Astra Serif" w:hAnsi="PT Astra Serif"/>
          <w:b/>
          <w:sz w:val="24"/>
          <w:szCs w:val="24"/>
        </w:rPr>
        <w:t xml:space="preserve"> </w:t>
      </w:r>
      <w:r>
        <w:rPr>
          <w:rFonts w:ascii="PT Astra Serif" w:hAnsi="PT Astra Serif"/>
          <w:sz w:val="24"/>
          <w:szCs w:val="24"/>
        </w:rPr>
        <w:t xml:space="preserve">налог на добычу полезных ископаемых</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НТИ</w:t>
      </w:r>
      <w:r>
        <w:rPr>
          <w:rFonts w:ascii="PT Astra Serif" w:hAnsi="PT Astra Serif"/>
          <w:sz w:val="24"/>
          <w:szCs w:val="24"/>
        </w:rPr>
        <w:t xml:space="preserve"> – национальная технологическая инициатива</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ОВЗ </w:t>
      </w:r>
      <w:r>
        <w:rPr>
          <w:rFonts w:ascii="PT Astra Serif" w:hAnsi="PT Astra Serif"/>
          <w:sz w:val="24"/>
          <w:szCs w:val="24"/>
        </w:rPr>
        <w:t xml:space="preserve">– ограниченные возможности здоровья</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ОПК</w:t>
      </w:r>
      <w:r>
        <w:rPr>
          <w:rFonts w:ascii="PT Astra Serif" w:hAnsi="PT Astra Serif"/>
          <w:sz w:val="24"/>
          <w:szCs w:val="24"/>
        </w:rPr>
        <w:t xml:space="preserve"> – оборонно-промышленный комплекс</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ОЭЗ ТВТ </w:t>
      </w:r>
      <w:r>
        <w:rPr>
          <w:rFonts w:ascii="PT Astra Serif" w:hAnsi="PT Astra Serif"/>
          <w:sz w:val="24"/>
          <w:szCs w:val="24"/>
        </w:rPr>
        <w:t xml:space="preserve">– особая экономическая зона технико-внедренческого типа в г. Томске</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РАН</w:t>
      </w:r>
      <w:r>
        <w:rPr>
          <w:rFonts w:ascii="PT Astra Serif" w:hAnsi="PT Astra Serif"/>
          <w:sz w:val="24"/>
          <w:szCs w:val="24"/>
        </w:rPr>
        <w:t xml:space="preserve"> – Российская академия наук</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РФ</w:t>
      </w:r>
      <w:r>
        <w:rPr>
          <w:rFonts w:ascii="PT Astra Serif" w:hAnsi="PT Astra Serif"/>
          <w:sz w:val="24"/>
          <w:szCs w:val="24"/>
        </w:rPr>
        <w:t xml:space="preserve"> – Российская Федерация</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t xml:space="preserve">СВО – </w:t>
      </w:r>
      <w:r>
        <w:rPr>
          <w:rFonts w:ascii="PT Astra Serif" w:hAnsi="PT Astra Serif"/>
          <w:sz w:val="24"/>
          <w:szCs w:val="24"/>
        </w:rPr>
        <w:t xml:space="preserve">специальная военная операция</w:t>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СОШ</w:t>
      </w:r>
      <w:r>
        <w:rPr>
          <w:rFonts w:ascii="PT Astra Serif" w:hAnsi="PT Astra Serif"/>
          <w:sz w:val="24"/>
          <w:szCs w:val="24"/>
        </w:rPr>
        <w:t xml:space="preserve"> – средняя образовательная школа</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Стратегия Томской области</w:t>
      </w:r>
      <w:r>
        <w:rPr>
          <w:rFonts w:ascii="PT Astra Serif" w:hAnsi="PT Astra Serif"/>
          <w:sz w:val="24"/>
          <w:szCs w:val="24"/>
        </w:rPr>
        <w:t xml:space="preserve"> – Стратегия социально-экономического развития Томской области до 2030 года</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СПО</w:t>
      </w:r>
      <w:r>
        <w:rPr>
          <w:rFonts w:ascii="PT Astra Serif" w:hAnsi="PT Astra Serif"/>
          <w:sz w:val="24"/>
          <w:szCs w:val="24"/>
        </w:rPr>
        <w:t xml:space="preserve"> – среднее профессиональное образование</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СФО</w:t>
      </w:r>
      <w:r>
        <w:rPr>
          <w:rFonts w:ascii="PT Astra Serif" w:hAnsi="PT Astra Serif"/>
          <w:sz w:val="24"/>
          <w:szCs w:val="24"/>
        </w:rPr>
        <w:t xml:space="preserve"> – Сибирский федеральный округ</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ТКО – </w:t>
      </w:r>
      <w:r>
        <w:rPr>
          <w:rFonts w:ascii="PT Astra Serif" w:hAnsi="PT Astra Serif"/>
          <w:sz w:val="24"/>
          <w:szCs w:val="24"/>
        </w:rPr>
        <w:t xml:space="preserve">твердые коммунальные отходы</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ТНИМЦ РАН – </w:t>
      </w:r>
      <w:r>
        <w:rPr>
          <w:rFonts w:ascii="PT Astra Serif" w:hAnsi="PT Astra Serif"/>
          <w:sz w:val="24"/>
          <w:szCs w:val="24"/>
        </w:rPr>
        <w:t xml:space="preserve">Томский национальный исследовательский медицинский центр Российской академии наук</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ТНОК</w:t>
      </w:r>
      <w:r>
        <w:rPr>
          <w:rFonts w:ascii="PT Astra Serif" w:hAnsi="PT Astra Serif"/>
          <w:sz w:val="24"/>
          <w:szCs w:val="24"/>
        </w:rPr>
        <w:t xml:space="preserve"> – Томский научно-образовательный комплекс</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t xml:space="preserve">ТНЦ СО РАН - </w:t>
      </w:r>
      <w:r>
        <w:rPr>
          <w:rFonts w:ascii="PT Astra Serif" w:hAnsi="PT Astra Serif"/>
          <w:sz w:val="24"/>
          <w:szCs w:val="24"/>
        </w:rPr>
        <w:t xml:space="preserve">Томский научный центр Сибирского отделения Российской академии наук</w:t>
      </w:r>
      <w:r>
        <w:rPr>
          <w:rFonts w:ascii="PT Astra Serif" w:hAnsi="PT Astra Serif"/>
          <w:b/>
          <w:sz w:val="24"/>
          <w:szCs w:val="24"/>
        </w:rPr>
      </w:r>
      <w:r>
        <w:rPr>
          <w:rFonts w:ascii="PT Astra Serif" w:hAnsi="PT Astra Serif"/>
          <w:b/>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ТОР</w:t>
      </w:r>
      <w:r>
        <w:rPr>
          <w:rFonts w:ascii="PT Astra Serif" w:hAnsi="PT Astra Serif"/>
          <w:sz w:val="24"/>
          <w:szCs w:val="24"/>
        </w:rPr>
        <w:t xml:space="preserve"> – территория опережающего развития</w:t>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sz w:val="24"/>
          <w:szCs w:val="24"/>
        </w:rPr>
      </w:pPr>
      <w:r>
        <w:rPr>
          <w:rFonts w:ascii="PT Astra Serif" w:hAnsi="PT Astra Serif"/>
          <w:b/>
          <w:sz w:val="24"/>
          <w:szCs w:val="24"/>
        </w:rPr>
        <w:t xml:space="preserve">ФАП</w:t>
      </w:r>
      <w:r>
        <w:rPr>
          <w:rFonts w:ascii="PT Astra Serif" w:hAnsi="PT Astra Serif"/>
          <w:sz w:val="24"/>
          <w:szCs w:val="24"/>
        </w:rPr>
        <w:t xml:space="preserve"> – фельдшерско-акушерский пункт</w:t>
      </w:r>
      <w:r>
        <w:rPr>
          <w:rFonts w:ascii="PT Astra Serif" w:hAnsi="PT Astra Serif"/>
          <w:sz w:val="24"/>
          <w:szCs w:val="24"/>
        </w:rPr>
      </w:r>
      <w:r>
        <w:rPr>
          <w:rFonts w:ascii="PT Astra Serif" w:hAnsi="PT Astra Serif"/>
          <w:sz w:val="24"/>
          <w:szCs w:val="24"/>
        </w:rPr>
      </w:r>
    </w:p>
    <w:p>
      <w:pPr>
        <w:spacing w:after="0" w:line="240" w:lineRule="auto"/>
        <w:rPr>
          <w:rFonts w:ascii="PT Astra Serif" w:hAnsi="PT Astra Serif"/>
          <w:sz w:val="24"/>
          <w:szCs w:val="24"/>
        </w:rPr>
      </w:pPr>
      <w:r>
        <w:rPr>
          <w:rFonts w:ascii="PT Astra Serif" w:hAnsi="PT Astra Serif"/>
          <w:sz w:val="24"/>
          <w:szCs w:val="24"/>
        </w:rPr>
        <w:br w:type="page" w:clear="all"/>
      </w:r>
      <w:r>
        <w:rPr>
          <w:rFonts w:ascii="PT Astra Serif" w:hAnsi="PT Astra Serif"/>
          <w:sz w:val="24"/>
          <w:szCs w:val="24"/>
        </w:rPr>
      </w:r>
      <w:r>
        <w:rPr>
          <w:rFonts w:ascii="PT Astra Serif" w:hAnsi="PT Astra Serif"/>
          <w:sz w:val="24"/>
          <w:szCs w:val="24"/>
        </w:rPr>
      </w:r>
    </w:p>
    <w:p>
      <w:pPr>
        <w:pStyle w:val="1132"/>
        <w:outlineLvl w:val="0"/>
      </w:pPr>
      <w:r/>
      <w:bookmarkStart w:id="3" w:name="_Toc134630393"/>
      <w:r>
        <w:t xml:space="preserve">ВВЕДЕНИЕ</w:t>
      </w:r>
      <w:bookmarkEnd w:id="3"/>
      <w:r/>
      <w:r/>
    </w:p>
    <w:p>
      <w:pPr>
        <w:jc w:val="both"/>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Весь 2023 год Томская область продолжала жить в условиях санкционного давления, но в целом прошедший год можно охарактеризовать как период восстановительного умеренного роста.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ВРП Томской области оценивается с ростом</w:t>
      </w:r>
      <w:r>
        <w:rPr>
          <w:rFonts w:ascii="PT Astra Serif" w:hAnsi="PT Astra Serif"/>
          <w:sz w:val="24"/>
          <w:szCs w:val="24"/>
        </w:rPr>
        <w:t xml:space="preserve"> – </w:t>
      </w:r>
      <w:r>
        <w:rPr>
          <w:rFonts w:ascii="PT Astra Serif" w:hAnsi="PT Astra Serif"/>
          <w:sz w:val="24"/>
          <w:szCs w:val="24"/>
        </w:rPr>
        <w:t xml:space="preserve">100,5%, индекс </w:t>
      </w:r>
      <w:r>
        <w:rPr>
          <w:rFonts w:ascii="PT Astra Serif" w:hAnsi="PT Astra Serif"/>
          <w:bCs/>
          <w:sz w:val="24"/>
          <w:szCs w:val="24"/>
        </w:rPr>
        <w:t xml:space="preserve">промышленного производства</w:t>
      </w:r>
      <w:r>
        <w:rPr>
          <w:rFonts w:ascii="PT Astra Serif" w:hAnsi="PT Astra Serif"/>
          <w:sz w:val="24"/>
          <w:szCs w:val="24"/>
        </w:rPr>
        <w:t xml:space="preserve"> зафиксирован на уровне 102%. Основной положительный вклад по итогам 2023 года дал прирост выпуска обрабатывающей промышленности (106,7%) за счет высокотехнологичных и наукоемких отраслей</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Положительная динамика отмечалась в строительстве (101,6%), по темпам ввода жилья (147%) Томская область заняла первое место в СФО. С</w:t>
      </w:r>
      <w:r>
        <w:rPr>
          <w:rFonts w:ascii="PT Astra Serif" w:hAnsi="PT Astra Serif"/>
          <w:bCs/>
          <w:sz w:val="24"/>
          <w:szCs w:val="24"/>
        </w:rPr>
        <w:t xml:space="preserve">ущественный </w:t>
      </w:r>
      <w:r>
        <w:rPr>
          <w:rFonts w:ascii="PT Astra Serif" w:hAnsi="PT Astra Serif"/>
          <w:sz w:val="24"/>
          <w:szCs w:val="24"/>
        </w:rPr>
        <w:t xml:space="preserve">рост</w:t>
      </w:r>
      <w:r>
        <w:rPr>
          <w:rFonts w:ascii="PT Astra Serif" w:hAnsi="PT Astra Serif"/>
          <w:sz w:val="24"/>
          <w:szCs w:val="24"/>
        </w:rPr>
        <w:t xml:space="preserve"> зафиксирован в инвестициях (111%).</w:t>
      </w:r>
      <w:r>
        <w:rPr>
          <w:rFonts w:ascii="PT Astra Serif" w:hAnsi="PT Astra Serif"/>
          <w:bCs/>
          <w:sz w:val="24"/>
          <w:szCs w:val="24"/>
        </w:rPr>
        <w:t xml:space="preserve"> Высокий потребительский спрос отразился на объемах</w:t>
      </w:r>
      <w:r>
        <w:rPr>
          <w:rFonts w:ascii="PT Astra Serif" w:hAnsi="PT Astra Serif"/>
          <w:sz w:val="24"/>
          <w:szCs w:val="24"/>
        </w:rPr>
        <w:t xml:space="preserve"> розничной торговли (107,5%), обороте общественного питания (119,6%) и платных услуг</w:t>
      </w:r>
      <w:r>
        <w:rPr>
          <w:rFonts w:ascii="PT Astra Serif" w:hAnsi="PT Astra Serif"/>
          <w:sz w:val="24"/>
          <w:szCs w:val="24"/>
        </w:rPr>
        <w:t xml:space="preserve">ах</w:t>
      </w:r>
      <w:r>
        <w:rPr>
          <w:rFonts w:ascii="PT Astra Serif" w:hAnsi="PT Astra Serif"/>
          <w:sz w:val="24"/>
          <w:szCs w:val="24"/>
        </w:rPr>
        <w:t xml:space="preserve"> (100,7%).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i/>
          <w:sz w:val="24"/>
          <w:szCs w:val="24"/>
        </w:rPr>
      </w:pPr>
      <w:r>
        <w:rPr>
          <w:rFonts w:ascii="PT Astra Serif" w:hAnsi="PT Astra Serif"/>
          <w:sz w:val="24"/>
          <w:szCs w:val="24"/>
        </w:rPr>
        <w:t xml:space="preserve">В 2023 году Томская область</w:t>
      </w:r>
      <w:r>
        <w:rPr>
          <w:rFonts w:ascii="PT Astra Serif" w:hAnsi="PT Astra Serif"/>
        </w:rPr>
        <w:t xml:space="preserve"> </w:t>
      </w:r>
      <w:r>
        <w:rPr>
          <w:rFonts w:ascii="PT Astra Serif" w:hAnsi="PT Astra Serif"/>
          <w:sz w:val="24"/>
          <w:szCs w:val="24"/>
        </w:rPr>
        <w:t xml:space="preserve">продолжила работу над выполнением ключевых задач, обозначенных Президентом РФ</w:t>
      </w:r>
      <w:r>
        <w:rPr>
          <w:rFonts w:ascii="PT Astra Serif" w:hAnsi="PT Astra Serif"/>
          <w:sz w:val="24"/>
          <w:szCs w:val="24"/>
        </w:rPr>
        <w:t xml:space="preserve"> (перечень поручений от 26.01.2023 № Пр-144)</w:t>
      </w:r>
      <w:r>
        <w:rPr>
          <w:rFonts w:ascii="PT Astra Serif" w:hAnsi="PT Astra Serif"/>
          <w:sz w:val="24"/>
          <w:szCs w:val="24"/>
        </w:rPr>
        <w:t xml:space="preserve">: </w:t>
      </w:r>
      <w:r>
        <w:rPr>
          <w:rFonts w:ascii="PT Astra Serif" w:hAnsi="PT Astra Serif"/>
          <w:sz w:val="24"/>
          <w:szCs w:val="24"/>
        </w:rPr>
        <w:t xml:space="preserve">по </w:t>
      </w:r>
      <w:r>
        <w:rPr>
          <w:rFonts w:ascii="PT Astra Serif" w:hAnsi="PT Astra Serif"/>
          <w:sz w:val="24"/>
          <w:szCs w:val="24"/>
        </w:rPr>
        <w:t xml:space="preserve">повышению благосостояния граждан, защите материнства и детства, поддержке семей, имеющих детей, развитию транспортной, коммунальной и социальной инфраструктур, достижению технологического суверенитета, </w:t>
      </w:r>
      <w:r>
        <w:rPr>
          <w:rFonts w:ascii="PT Astra Serif" w:hAnsi="PT Astra Serif"/>
          <w:sz w:val="24"/>
          <w:szCs w:val="24"/>
        </w:rPr>
        <w:t xml:space="preserve">расширению внешнеэкономического взаимодействия с перспективными партнерами из дружественных государств</w:t>
      </w:r>
      <w:r>
        <w:rPr>
          <w:rFonts w:ascii="PT Astra Serif" w:hAnsi="PT Astra Serif"/>
          <w:sz w:val="24"/>
          <w:szCs w:val="24"/>
        </w:rPr>
        <w:t xml:space="preserve">.</w:t>
      </w:r>
      <w:r>
        <w:rPr>
          <w:rFonts w:ascii="PT Astra Serif" w:hAnsi="PT Astra Serif"/>
          <w:i/>
          <w:sz w:val="24"/>
          <w:szCs w:val="24"/>
        </w:rPr>
      </w:r>
      <w:r>
        <w:rPr>
          <w:rFonts w:ascii="PT Astra Serif" w:hAnsi="PT Astra Serif"/>
          <w:i/>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lang w:eastAsia="ru-RU"/>
        </w:rPr>
        <w:t xml:space="preserve">В отчетном году во многом </w:t>
      </w:r>
      <w:r>
        <w:rPr>
          <w:rFonts w:ascii="PT Astra Serif" w:hAnsi="PT Astra Serif" w:eastAsia="Calibri"/>
          <w:sz w:val="24"/>
          <w:szCs w:val="24"/>
          <w:lang w:eastAsia="ru-RU"/>
        </w:rPr>
        <w:t xml:space="preserve">завершена переориентация внешних связей региона, основным географическим фокусом активности Томской области стали страны СНГ, Юго-Восточной Азии и Китай. Внешнеторговый оборот Томской области в 2023 году увеличился на 24,4% по сравнению с предыдущим годом.</w:t>
      </w:r>
      <w:r>
        <w:rPr>
          <w:rFonts w:ascii="PT Astra Serif" w:hAnsi="PT Astra Serif"/>
          <w:sz w:val="24"/>
          <w:szCs w:val="24"/>
        </w:rPr>
      </w:r>
      <w:r>
        <w:rPr>
          <w:rFonts w:ascii="PT Astra Serif" w:hAnsi="PT Astra Serif"/>
          <w:sz w:val="24"/>
          <w:szCs w:val="24"/>
        </w:rPr>
      </w:r>
    </w:p>
    <w:p>
      <w:pPr>
        <w:pStyle w:val="1154"/>
        <w:ind w:firstLine="709"/>
        <w:jc w:val="both"/>
        <w:rPr>
          <w:rFonts w:ascii="PT Astra Serif" w:hAnsi="PT Astra Serif"/>
        </w:rPr>
      </w:pPr>
      <w:r>
        <w:rPr>
          <w:rFonts w:ascii="PT Astra Serif" w:hAnsi="PT Astra Serif"/>
        </w:rPr>
        <w:t xml:space="preserve">Научно-образовательный комплекс региона работал над выполнением задач по достижению технологического суверенитета отечественной экономики. </w:t>
      </w:r>
      <w:r>
        <w:rPr>
          <w:rFonts w:ascii="PT Astra Serif" w:hAnsi="PT Astra Serif"/>
        </w:rPr>
        <w:t xml:space="preserve">В</w:t>
      </w:r>
      <w:r>
        <w:rPr>
          <w:rFonts w:ascii="PT Astra Serif" w:hAnsi="PT Astra Serif"/>
        </w:rPr>
        <w:t xml:space="preserve"> 2023 году Томская область вошла в </w:t>
      </w:r>
      <w:r>
        <w:rPr>
          <w:rFonts w:ascii="PT Astra Serif" w:hAnsi="PT Astra Serif"/>
        </w:rPr>
        <w:t xml:space="preserve">десятку </w:t>
      </w:r>
      <w:r>
        <w:rPr>
          <w:rFonts w:ascii="PT Astra Serif" w:hAnsi="PT Astra Serif"/>
        </w:rPr>
        <w:t xml:space="preserve">пилотных регионов, которым поручено разработать комплексные региональные госпрограммы научно-технологического развития, а также заняла 4-е место в рейтинге инновационного развития субъектов Российской Федерации Высшей школы экономики. </w:t>
      </w:r>
      <w:r>
        <w:rPr>
          <w:rFonts w:ascii="PT Astra Serif" w:hAnsi="PT Astra Serif"/>
        </w:rPr>
      </w:r>
      <w:r>
        <w:rPr>
          <w:rFonts w:ascii="PT Astra Serif" w:hAnsi="PT Astra Serif"/>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Томская область является первым за Уралом регионом по количеству созданных «Передовых инженерных школ» (далее - ПИШ) (3 из 4 у нас) на базе вузов. В Программе стратегического академического лидерства «Приоритет-2030» Томская область теперь представлена </w:t>
      </w:r>
      <w:r>
        <w:rPr>
          <w:rFonts w:ascii="PT Astra Serif" w:hAnsi="PT Astra Serif"/>
          <w:sz w:val="24"/>
          <w:szCs w:val="24"/>
        </w:rPr>
        <w:t xml:space="preserve">пятью</w:t>
      </w:r>
      <w:r>
        <w:rPr>
          <w:rFonts w:ascii="PT Astra Serif" w:hAnsi="PT Astra Serif"/>
          <w:sz w:val="24"/>
          <w:szCs w:val="24"/>
        </w:rPr>
        <w:t xml:space="preserve"> университетами (ТГУ, ТУСУР</w:t>
      </w:r>
      <w:r>
        <w:rPr>
          <w:rFonts w:ascii="PT Astra Serif" w:hAnsi="PT Astra Serif"/>
          <w:sz w:val="24"/>
          <w:szCs w:val="24"/>
        </w:rPr>
        <w:t xml:space="preserve">,</w:t>
      </w:r>
      <w:r>
        <w:rPr>
          <w:rFonts w:ascii="PT Astra Serif" w:hAnsi="PT Astra Serif"/>
          <w:sz w:val="24"/>
          <w:szCs w:val="24"/>
        </w:rPr>
        <w:t xml:space="preserve"> ТПУ, С</w:t>
      </w:r>
      <w:r>
        <w:rPr>
          <w:rFonts w:ascii="PT Astra Serif" w:hAnsi="PT Astra Serif"/>
          <w:sz w:val="24"/>
          <w:szCs w:val="24"/>
        </w:rPr>
        <w:t xml:space="preserve">иб</w:t>
      </w:r>
      <w:r>
        <w:rPr>
          <w:rFonts w:ascii="PT Astra Serif" w:hAnsi="PT Astra Serif"/>
          <w:sz w:val="24"/>
          <w:szCs w:val="24"/>
        </w:rPr>
        <w:t xml:space="preserve">ГМУ и</w:t>
      </w:r>
      <w:r>
        <w:rPr>
          <w:rFonts w:ascii="PT Astra Serif" w:hAnsi="PT Astra Serif"/>
          <w:sz w:val="24"/>
          <w:szCs w:val="24"/>
        </w:rPr>
        <w:t xml:space="preserve"> ТГАСУ), которыми реализую</w:t>
      </w:r>
      <w:r>
        <w:rPr>
          <w:rFonts w:ascii="PT Astra Serif" w:hAnsi="PT Astra Serif"/>
          <w:sz w:val="24"/>
          <w:szCs w:val="24"/>
        </w:rPr>
        <w:t xml:space="preserve">тся </w:t>
      </w:r>
      <w:r>
        <w:rPr>
          <w:rFonts w:ascii="PT Astra Serif" w:hAnsi="PT Astra Serif"/>
          <w:sz w:val="24"/>
          <w:szCs w:val="24"/>
        </w:rPr>
        <w:t xml:space="preserve">крупные научно-технологические</w:t>
      </w:r>
      <w:r>
        <w:rPr>
          <w:rFonts w:ascii="PT Astra Serif" w:hAnsi="PT Astra Serif"/>
          <w:sz w:val="24"/>
          <w:szCs w:val="24"/>
        </w:rPr>
        <w:t xml:space="preserve"> проект</w:t>
      </w:r>
      <w:r>
        <w:rPr>
          <w:rFonts w:ascii="PT Astra Serif" w:hAnsi="PT Astra Serif"/>
          <w:sz w:val="24"/>
          <w:szCs w:val="24"/>
        </w:rPr>
        <w:t xml:space="preserve">ы</w:t>
      </w:r>
      <w:r>
        <w:rPr>
          <w:rFonts w:ascii="PT Astra Serif" w:hAnsi="PT Astra Serif"/>
          <w:sz w:val="24"/>
          <w:szCs w:val="24"/>
        </w:rPr>
        <w:t xml:space="preserve"> </w:t>
      </w:r>
      <w:r>
        <w:rPr>
          <w:rFonts w:ascii="PT Astra Serif" w:hAnsi="PT Astra Serif"/>
          <w:sz w:val="24"/>
          <w:szCs w:val="24"/>
        </w:rPr>
        <w:t xml:space="preserve">(по стратегическим направлениям: химия и новые материалы (малотоннажная химия и радиохимия); микроэлектроника; большие данные и искусственный интеллект; инженерная биология и агробиотехнологии; фармацевтические разработки; беспилотные авиационные системы).</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Повышению технол</w:t>
      </w:r>
      <w:r>
        <w:rPr>
          <w:rFonts w:ascii="PT Astra Serif" w:hAnsi="PT Astra Serif"/>
          <w:sz w:val="24"/>
          <w:szCs w:val="24"/>
        </w:rPr>
        <w:t xml:space="preserve">огической независимости экономики России способствовали новые разработки импортозамещающей продукции томских промышленных предприятий. Большинство предприятий региона (АО «НИИ ПП», АО «НПФ «Микран», АО «НПЦ «Полюс» и др.) имеют полный цикл создания изделий</w:t>
      </w:r>
      <w:r>
        <w:rPr>
          <w:rFonts w:ascii="PT Astra Serif" w:hAnsi="PT Astra Serif"/>
          <w:sz w:val="24"/>
          <w:szCs w:val="24"/>
        </w:rPr>
        <w:t xml:space="preserve"> – </w:t>
      </w:r>
      <w:r>
        <w:rPr>
          <w:rFonts w:ascii="PT Astra Serif" w:hAnsi="PT Astra Serif"/>
          <w:sz w:val="24"/>
          <w:szCs w:val="24"/>
        </w:rPr>
        <w:t xml:space="preserve">от исследования и разработки до выпуска готовой продукции. Продолжена реализация «дорожных карт» с вос</w:t>
      </w:r>
      <w:r>
        <w:rPr>
          <w:rFonts w:ascii="PT Astra Serif" w:hAnsi="PT Astra Serif"/>
          <w:sz w:val="24"/>
          <w:szCs w:val="24"/>
        </w:rPr>
        <w:t xml:space="preserve">ь</w:t>
      </w:r>
      <w:r>
        <w:rPr>
          <w:rFonts w:ascii="PT Astra Serif" w:hAnsi="PT Astra Serif"/>
          <w:sz w:val="24"/>
          <w:szCs w:val="24"/>
        </w:rPr>
        <w:t xml:space="preserve">мью крупными корпорациями.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Ключевой акцент в регионе делается на построении новых кооперационных цепочек (кластеров), создании высокотехнологичных производств с опорой на научно-образовательный комплекс.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С Минпромторгом России </w:t>
      </w:r>
      <w:r>
        <w:rPr>
          <w:rFonts w:ascii="PT Astra Serif" w:hAnsi="PT Astra Serif"/>
          <w:sz w:val="24"/>
          <w:szCs w:val="24"/>
        </w:rPr>
        <w:t xml:space="preserve">продолжена</w:t>
      </w:r>
      <w:r>
        <w:rPr>
          <w:rFonts w:ascii="PT Astra Serif" w:hAnsi="PT Astra Serif"/>
          <w:sz w:val="24"/>
          <w:szCs w:val="24"/>
        </w:rPr>
        <w:t xml:space="preserve"> работа по созданию промышленных кластеров по направлениям «Цветные и редкоземел</w:t>
      </w:r>
      <w:r>
        <w:rPr>
          <w:rFonts w:ascii="PT Astra Serif" w:hAnsi="PT Astra Serif"/>
          <w:sz w:val="24"/>
          <w:szCs w:val="24"/>
        </w:rPr>
        <w:t xml:space="preserve">ьные металлы», «Лес, лесопереработка и лесохимия» и химического кластера федерального значения. Дополнительно прорабатывается создание еще трех кластеров с большим экономическим потенциалом: микроэлектроники, фармацевтического и радиохимического кластеров.</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Выбранный кластерн</w:t>
      </w:r>
      <w:r>
        <w:rPr>
          <w:rFonts w:ascii="PT Astra Serif" w:hAnsi="PT Astra Serif"/>
          <w:sz w:val="24"/>
          <w:szCs w:val="24"/>
        </w:rPr>
        <w:t xml:space="preserve">ый подход развития позволит максимально эффективно использовать ресурсный и кадровый потенциал региона, создаст новые производственные ниши и новые рабочие места, повысит устойчивость участников создаваемых кластеров, сократит их производственные издержки.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bCs/>
          <w:sz w:val="24"/>
          <w:szCs w:val="24"/>
        </w:rPr>
      </w:pPr>
      <w:r>
        <w:rPr>
          <w:rFonts w:ascii="PT Astra Serif" w:hAnsi="PT Astra Serif"/>
          <w:bCs/>
          <w:sz w:val="24"/>
          <w:szCs w:val="24"/>
        </w:rPr>
        <w:t xml:space="preserve">К крупным научно-технологическим проектам региона относятся: «Палеозой» на томском севере, «Прорыв» и </w:t>
      </w:r>
      <w:r>
        <w:rPr>
          <w:rFonts w:ascii="PT Astra Serif" w:hAnsi="PT Astra Serif"/>
          <w:sz w:val="24"/>
          <w:szCs w:val="24"/>
        </w:rPr>
        <w:t xml:space="preserve">производство пигментного диоксида титана</w:t>
      </w:r>
      <w:r>
        <w:rPr>
          <w:rFonts w:ascii="PT Astra Serif" w:hAnsi="PT Astra Serif"/>
          <w:bCs/>
          <w:sz w:val="24"/>
          <w:szCs w:val="24"/>
        </w:rPr>
        <w:t xml:space="preserve"> в ЗАТО Северск</w:t>
      </w:r>
      <w:r>
        <w:rPr>
          <w:rFonts w:ascii="PT Astra Serif" w:hAnsi="PT Astra Serif"/>
          <w:sz w:val="24"/>
          <w:szCs w:val="24"/>
        </w:rPr>
        <w:t xml:space="preserve">, промышленная разработка участков Туганского ильменит-цирконового россыпного месторождения в Томском районе,</w:t>
      </w:r>
      <w:r>
        <w:rPr>
          <w:rFonts w:ascii="PT Astra Serif" w:hAnsi="PT Astra Serif"/>
          <w:bCs/>
          <w:sz w:val="24"/>
          <w:szCs w:val="24"/>
        </w:rPr>
        <w:t xml:space="preserve"> Научно-производственный центр беспилотных авиационных систем</w:t>
      </w:r>
      <w:r>
        <w:rPr>
          <w:rFonts w:ascii="PT Astra Serif" w:hAnsi="PT Astra Serif"/>
          <w:sz w:val="24"/>
          <w:szCs w:val="24"/>
        </w:rPr>
        <w:t xml:space="preserve">, </w:t>
      </w:r>
      <w:r>
        <w:rPr>
          <w:rFonts w:ascii="PT Astra Serif" w:hAnsi="PT Astra Serif"/>
          <w:bCs/>
          <w:sz w:val="24"/>
          <w:szCs w:val="24"/>
        </w:rPr>
        <w:t xml:space="preserve">строительство специализированного технологического центра микроэлектронных систем, Центр малотоннажной химии в г. Томске и др. проекты развития.</w:t>
      </w:r>
      <w:r>
        <w:rPr>
          <w:rFonts w:ascii="PT Astra Serif" w:hAnsi="PT Astra Serif"/>
          <w:bCs/>
          <w:sz w:val="24"/>
          <w:szCs w:val="24"/>
        </w:rPr>
      </w:r>
      <w:r>
        <w:rPr>
          <w:rFonts w:ascii="PT Astra Serif" w:hAnsi="PT Astra Serif"/>
          <w:bCs/>
          <w:sz w:val="24"/>
          <w:szCs w:val="24"/>
        </w:rPr>
      </w:r>
    </w:p>
    <w:p>
      <w:pPr>
        <w:pStyle w:val="1154"/>
        <w:ind w:firstLine="709"/>
        <w:jc w:val="both"/>
        <w:rPr>
          <w:rFonts w:ascii="PT Astra Serif" w:hAnsi="PT Astra Serif"/>
        </w:rPr>
      </w:pPr>
      <w:r>
        <w:rPr>
          <w:rFonts w:ascii="PT Astra Serif" w:hAnsi="PT Astra Serif"/>
        </w:rPr>
        <w:t xml:space="preserve">В 2023 год</w:t>
      </w:r>
      <w:r>
        <w:rPr>
          <w:rFonts w:ascii="PT Astra Serif" w:hAnsi="PT Astra Serif"/>
        </w:rPr>
        <w:t xml:space="preserve">у</w:t>
      </w:r>
      <w:r>
        <w:rPr>
          <w:rFonts w:ascii="PT Astra Serif" w:hAnsi="PT Astra Serif"/>
        </w:rPr>
        <w:t xml:space="preserve"> регион продолжил участвовать в реализации 12 национальных проектов, приступил к реализации 13-го национального проекта - «Туризм и индустрия гостеприимства».</w:t>
      </w:r>
      <w:r>
        <w:rPr>
          <w:rFonts w:ascii="PT Astra Serif" w:hAnsi="PT Astra Serif"/>
        </w:rPr>
      </w:r>
      <w:r>
        <w:rPr>
          <w:rFonts w:ascii="PT Astra Serif" w:hAnsi="PT Astra Serif"/>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На исполнение национальных проектов в 2023 году </w:t>
      </w:r>
      <w:r>
        <w:rPr>
          <w:rFonts w:ascii="PT Astra Serif" w:hAnsi="PT Astra Serif"/>
          <w:sz w:val="24"/>
          <w:szCs w:val="24"/>
        </w:rPr>
        <w:t xml:space="preserve">направлено 16,3 </w:t>
      </w:r>
      <w:r>
        <w:rPr>
          <w:rFonts w:ascii="PT Astra Serif" w:hAnsi="PT Astra Serif"/>
          <w:sz w:val="24"/>
          <w:szCs w:val="24"/>
        </w:rPr>
        <w:t xml:space="preserve">млрд</w:t>
      </w:r>
      <w:r>
        <w:rPr>
          <w:rFonts w:ascii="PT Astra Serif" w:hAnsi="PT Astra Serif"/>
          <w:sz w:val="24"/>
          <w:szCs w:val="24"/>
        </w:rPr>
        <w:t xml:space="preserve"> </w:t>
      </w:r>
      <w:r>
        <w:rPr>
          <w:rFonts w:ascii="PT Astra Serif" w:hAnsi="PT Astra Serif"/>
          <w:sz w:val="24"/>
          <w:szCs w:val="24"/>
        </w:rPr>
        <w:t xml:space="preserve">рублей</w:t>
      </w:r>
      <w:r>
        <w:rPr>
          <w:rFonts w:ascii="PT Astra Serif" w:hAnsi="PT Astra Serif"/>
          <w:sz w:val="24"/>
          <w:szCs w:val="24"/>
        </w:rPr>
        <w:t xml:space="preserve">: отремонтированы дороги, обустроены общественные пространства, завершено строительство и введены в эксплуатацию школа на 1100 мест (в г. Томске), физкультурно-спортивный комплекс (в с. Молчаново Молчановского района), введен в эксплуатацию хиру</w:t>
      </w:r>
      <w:r>
        <w:rPr>
          <w:rFonts w:ascii="PT Astra Serif" w:hAnsi="PT Astra Serif"/>
          <w:sz w:val="24"/>
          <w:szCs w:val="24"/>
        </w:rPr>
        <w:t xml:space="preserve">ргический корпус онкологического диспансера, проведен капитальный ремонт медицинских учреждений, организаций культуры, закуплено оборудование в больницы, школы, в учреждения культуры и спорта, оказана поддержка субъектам предпринимательской деятельности и </w:t>
      </w:r>
      <w:r>
        <w:rPr>
          <w:rFonts w:ascii="PT Astra Serif" w:hAnsi="PT Astra Serif"/>
          <w:sz w:val="24"/>
          <w:szCs w:val="24"/>
        </w:rPr>
        <w:t xml:space="preserve">многое другое</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t xml:space="preserve">Второй год подр</w:t>
      </w:r>
      <w:r>
        <w:rPr>
          <w:rFonts w:ascii="PT Astra Serif" w:hAnsi="PT Astra Serif"/>
          <w:sz w:val="24"/>
          <w:szCs w:val="24"/>
        </w:rPr>
        <w:t xml:space="preserve">яд консолидированный бюджет Томской области исполнен с профицитом, в 2023 году профицит составил около 600 млн рублей. Налоговые и неналоговые доходы, собираемые с территории области, демонстрируют устойчивый рост. Общий объем доходов за 2023 год вырос на </w:t>
      </w:r>
      <w:r>
        <w:rPr>
          <w:rFonts w:ascii="PT Astra Serif" w:hAnsi="PT Astra Serif"/>
          <w:sz w:val="24"/>
          <w:szCs w:val="24"/>
        </w:rPr>
        <w:t xml:space="preserve">9,8% </w:t>
      </w:r>
      <w:r>
        <w:rPr>
          <w:rFonts w:ascii="PT Astra Serif" w:hAnsi="PT Astra Serif"/>
          <w:sz w:val="24"/>
          <w:szCs w:val="24"/>
        </w:rPr>
        <w:t xml:space="preserve">и составил 120,7 </w:t>
      </w:r>
      <w:r>
        <w:rPr>
          <w:rFonts w:ascii="PT Astra Serif" w:hAnsi="PT Astra Serif"/>
          <w:sz w:val="24"/>
          <w:szCs w:val="24"/>
        </w:rPr>
        <w:t xml:space="preserve">млрд</w:t>
      </w:r>
      <w:r>
        <w:rPr>
          <w:rFonts w:ascii="PT Astra Serif" w:hAnsi="PT Astra Serif"/>
          <w:sz w:val="24"/>
          <w:szCs w:val="24"/>
        </w:rPr>
        <w:t xml:space="preserve"> </w:t>
      </w:r>
      <w:r>
        <w:rPr>
          <w:rFonts w:ascii="PT Astra Serif" w:hAnsi="PT Astra Serif"/>
          <w:sz w:val="24"/>
          <w:szCs w:val="24"/>
        </w:rPr>
        <w:t xml:space="preserve">рублей, из которых 92,1 </w:t>
      </w:r>
      <w:r>
        <w:rPr>
          <w:rFonts w:ascii="PT Astra Serif" w:hAnsi="PT Astra Serif"/>
          <w:sz w:val="24"/>
          <w:szCs w:val="24"/>
        </w:rPr>
        <w:t xml:space="preserve">млрд</w:t>
      </w:r>
      <w:r>
        <w:rPr>
          <w:rFonts w:ascii="PT Astra Serif" w:hAnsi="PT Astra Serif"/>
          <w:sz w:val="24"/>
          <w:szCs w:val="24"/>
        </w:rPr>
        <w:t xml:space="preserve"> </w:t>
      </w:r>
      <w:r>
        <w:rPr>
          <w:rFonts w:ascii="PT Astra Serif" w:hAnsi="PT Astra Serif"/>
          <w:sz w:val="24"/>
          <w:szCs w:val="24"/>
        </w:rPr>
        <w:t xml:space="preserve">рублей (76%) – налоговые и неналоговые доходы. Финансовая стабильность позволила региону эффективно перераспределить средства на социальную поддержку населения, развитие инфраструктуры</w:t>
      </w:r>
      <w:r>
        <w:rPr>
          <w:rFonts w:ascii="PT Astra Serif" w:hAnsi="PT Astra Serif"/>
          <w:sz w:val="24"/>
          <w:szCs w:val="24"/>
        </w:rPr>
        <w:t xml:space="preserve">, образования, здравоохранения, в том числе направить 6,3 </w:t>
      </w:r>
      <w:r>
        <w:rPr>
          <w:rFonts w:ascii="PT Astra Serif" w:hAnsi="PT Astra Serif"/>
          <w:sz w:val="24"/>
          <w:szCs w:val="24"/>
        </w:rPr>
        <w:t xml:space="preserve">млрд</w:t>
      </w:r>
      <w:r>
        <w:rPr>
          <w:rFonts w:ascii="PT Astra Serif" w:hAnsi="PT Astra Serif"/>
          <w:sz w:val="24"/>
          <w:szCs w:val="24"/>
        </w:rPr>
        <w:t xml:space="preserve"> </w:t>
      </w:r>
      <w:r>
        <w:rPr>
          <w:rFonts w:ascii="PT Astra Serif" w:hAnsi="PT Astra Serif"/>
          <w:sz w:val="24"/>
          <w:szCs w:val="24"/>
        </w:rPr>
        <w:t xml:space="preserve">рублей на увеличение фонда заработной платы работников бюджетной сферы.</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t xml:space="preserve">В июне 2023 год </w:t>
      </w:r>
      <w:r>
        <w:rPr>
          <w:rFonts w:ascii="PT Astra Serif" w:hAnsi="PT Astra Serif"/>
          <w:sz w:val="24"/>
          <w:szCs w:val="24"/>
        </w:rPr>
        <w:t xml:space="preserve">создан</w:t>
      </w:r>
      <w:r>
        <w:rPr>
          <w:rFonts w:ascii="PT Astra Serif" w:hAnsi="PT Astra Serif"/>
          <w:sz w:val="24"/>
          <w:szCs w:val="24"/>
        </w:rPr>
        <w:t xml:space="preserve"> </w:t>
      </w:r>
      <w:r>
        <w:rPr>
          <w:rFonts w:ascii="PT Astra Serif" w:hAnsi="PT Astra Serif"/>
          <w:sz w:val="24"/>
          <w:szCs w:val="24"/>
        </w:rPr>
        <w:t xml:space="preserve">Региональный филиал Государственного фонда поддержки участников специальной военной операции «Защитники Отечества» (далее – филиал фонда, СВО). Социальными координаторами филиала фонда организовано </w:t>
      </w:r>
      <w:r>
        <w:rPr>
          <w:rFonts w:ascii="PT Astra Serif" w:hAnsi="PT Astra Serif"/>
          <w:sz w:val="24"/>
          <w:szCs w:val="24"/>
        </w:rPr>
        <w:t xml:space="preserve">адресное сопровождение </w:t>
      </w:r>
      <w:r>
        <w:rPr>
          <w:rFonts w:ascii="PT Astra Serif" w:hAnsi="PT Astra Serif"/>
          <w:sz w:val="24"/>
          <w:szCs w:val="24"/>
        </w:rPr>
        <w:t xml:space="preserve">ветеранов боевых действий, участников СВО и членов их семей</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совместно со службами занятости населения ведется работа с участниками СВО.</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t xml:space="preserve">Обеспечено </w:t>
      </w:r>
      <w:r>
        <w:rPr>
          <w:rFonts w:ascii="PT Astra Serif" w:hAnsi="PT Astra Serif"/>
          <w:sz w:val="24"/>
          <w:szCs w:val="24"/>
        </w:rPr>
        <w:t xml:space="preserve">предоставлени</w:t>
      </w:r>
      <w:r>
        <w:rPr>
          <w:rFonts w:ascii="PT Astra Serif" w:hAnsi="PT Astra Serif"/>
          <w:sz w:val="24"/>
          <w:szCs w:val="24"/>
        </w:rPr>
        <w:t xml:space="preserve">е</w:t>
      </w:r>
      <w:r>
        <w:rPr>
          <w:rFonts w:ascii="PT Astra Serif" w:hAnsi="PT Astra Serif"/>
          <w:sz w:val="24"/>
          <w:szCs w:val="24"/>
        </w:rPr>
        <w:t xml:space="preserve"> мер медицинской и психологической помощи, организация реабилитации участников СВО и членов их семей, членов семей погибших (умерших) участников СВО региональ</w:t>
      </w:r>
      <w:r>
        <w:rPr>
          <w:rFonts w:ascii="PT Astra Serif" w:hAnsi="PT Astra Serif"/>
          <w:sz w:val="24"/>
          <w:szCs w:val="24"/>
        </w:rPr>
        <w:t xml:space="preserve">ными медицинскими организациями.</w:t>
      </w:r>
      <w:r>
        <w:rPr>
          <w:rFonts w:ascii="PT Astra Serif" w:hAnsi="PT Astra Serif"/>
          <w:sz w:val="24"/>
          <w:szCs w:val="24"/>
        </w:rPr>
        <w:t xml:space="preserve"> </w:t>
      </w:r>
      <w:r>
        <w:rPr>
          <w:rFonts w:ascii="PT Astra Serif" w:hAnsi="PT Astra Serif"/>
          <w:sz w:val="24"/>
          <w:szCs w:val="24"/>
        </w:rPr>
        <w:t xml:space="preserve">Индивидуально определяется перечень необходимых услуг и мероприятий, при этом большое внимание уделяется психологической поддержке и социальной адаптации, исходя из конкретной жизненной ситуации.</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t xml:space="preserve">Стабильная ситуация сохранялась н</w:t>
      </w:r>
      <w:r>
        <w:rPr>
          <w:rFonts w:ascii="PT Astra Serif" w:hAnsi="PT Astra Serif"/>
          <w:sz w:val="24"/>
          <w:szCs w:val="24"/>
        </w:rPr>
        <w:t xml:space="preserve">а рынке труда Томской области благодаря реализации ко</w:t>
      </w:r>
      <w:r>
        <w:rPr>
          <w:rFonts w:ascii="PT Astra Serif" w:hAnsi="PT Astra Serif"/>
          <w:sz w:val="24"/>
          <w:szCs w:val="24"/>
        </w:rPr>
        <w:t xml:space="preserve">мплекса мероприятий, направленных</w:t>
      </w:r>
      <w:r>
        <w:rPr>
          <w:rFonts w:ascii="PT Astra Serif" w:hAnsi="PT Astra Serif"/>
          <w:sz w:val="24"/>
          <w:szCs w:val="24"/>
        </w:rPr>
        <w:t xml:space="preserve"> на поддержку малого и среднего предпринимательства, стимулировани</w:t>
      </w:r>
      <w:r>
        <w:rPr>
          <w:rFonts w:ascii="PT Astra Serif" w:hAnsi="PT Astra Serif"/>
          <w:sz w:val="24"/>
          <w:szCs w:val="24"/>
        </w:rPr>
        <w:t xml:space="preserve">е</w:t>
      </w:r>
      <w:r>
        <w:rPr>
          <w:rFonts w:ascii="PT Astra Serif" w:hAnsi="PT Astra Serif"/>
          <w:sz w:val="24"/>
          <w:szCs w:val="24"/>
        </w:rPr>
        <w:t xml:space="preserve"> трудовой занятости, обучени</w:t>
      </w:r>
      <w:r>
        <w:rPr>
          <w:rFonts w:ascii="PT Astra Serif" w:hAnsi="PT Astra Serif"/>
          <w:sz w:val="24"/>
          <w:szCs w:val="24"/>
        </w:rPr>
        <w:t xml:space="preserve">е</w:t>
      </w:r>
      <w:r>
        <w:rPr>
          <w:rFonts w:ascii="PT Astra Serif" w:hAnsi="PT Astra Serif"/>
          <w:sz w:val="24"/>
          <w:szCs w:val="24"/>
        </w:rPr>
        <w:t xml:space="preserve"> и переобучени</w:t>
      </w:r>
      <w:r>
        <w:rPr>
          <w:rFonts w:ascii="PT Astra Serif" w:hAnsi="PT Astra Serif"/>
          <w:sz w:val="24"/>
          <w:szCs w:val="24"/>
        </w:rPr>
        <w:t xml:space="preserve">е</w:t>
      </w:r>
      <w:r>
        <w:rPr>
          <w:rFonts w:ascii="PT Astra Serif" w:hAnsi="PT Astra Serif"/>
          <w:sz w:val="24"/>
          <w:szCs w:val="24"/>
        </w:rPr>
        <w:t xml:space="preserve"> жителей региона новым востребованным профессиям. </w:t>
      </w:r>
      <w:r>
        <w:rPr>
          <w:rFonts w:ascii="PT Astra Serif" w:hAnsi="PT Astra Serif"/>
          <w:sz w:val="24"/>
          <w:szCs w:val="24"/>
        </w:rPr>
        <w:t xml:space="preserve">По итогам 2023 года отмечается снижение уровня безработицы (по методологии МОТ, с 5,2% до 4%) и зарегистрированной безработицы (с 0,9% до 0,7%).</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t xml:space="preserve">Численность занятых в экономике, по оценке, возросла на 2,5 тыс. человек – до 501 тыс. человек.</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t xml:space="preserve">Рост среднемесячной номинальной начисленной заработной платы работников организаций Томской области составил 114,2% (64,8 тыс. рублей), среднего размера назначенных пенсий – 108% (22,7 тыс. рублей).</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cs="Arial"/>
          <w:sz w:val="24"/>
          <w:szCs w:val="24"/>
          <w:shd w:val="clear" w:color="auto" w:fill="ffffff"/>
        </w:rPr>
      </w:pPr>
      <w:r>
        <w:rPr>
          <w:rFonts w:ascii="PT Astra Serif" w:hAnsi="PT Astra Serif"/>
          <w:sz w:val="24"/>
          <w:szCs w:val="24"/>
        </w:rPr>
        <w:t xml:space="preserve">Значимым событием в 2023 году стали Дни Томской области в Совете Федерации Федерального Собрания Российской Федерации (далее –</w:t>
      </w:r>
      <w:r>
        <w:rPr>
          <w:rFonts w:ascii="PT Astra Serif" w:hAnsi="PT Astra Serif"/>
          <w:sz w:val="24"/>
          <w:szCs w:val="24"/>
        </w:rPr>
        <w:t xml:space="preserve"> </w:t>
      </w:r>
      <w:r>
        <w:rPr>
          <w:rFonts w:ascii="PT Astra Serif" w:hAnsi="PT Astra Serif"/>
          <w:sz w:val="24"/>
          <w:szCs w:val="24"/>
        </w:rPr>
        <w:t xml:space="preserve">С</w:t>
      </w:r>
      <w:r>
        <w:rPr>
          <w:rFonts w:ascii="PT Astra Serif" w:hAnsi="PT Astra Serif"/>
          <w:sz w:val="24"/>
          <w:szCs w:val="24"/>
        </w:rPr>
        <w:t xml:space="preserve">овет </w:t>
      </w:r>
      <w:r>
        <w:rPr>
          <w:rFonts w:ascii="PT Astra Serif" w:hAnsi="PT Astra Serif"/>
          <w:sz w:val="24"/>
          <w:szCs w:val="24"/>
        </w:rPr>
        <w:t xml:space="preserve">Ф</w:t>
      </w:r>
      <w:r>
        <w:rPr>
          <w:rFonts w:ascii="PT Astra Serif" w:hAnsi="PT Astra Serif"/>
          <w:sz w:val="24"/>
          <w:szCs w:val="24"/>
        </w:rPr>
        <w:t xml:space="preserve">едерации</w:t>
      </w:r>
      <w:r>
        <w:rPr>
          <w:rFonts w:ascii="PT Astra Serif" w:hAnsi="PT Astra Serif"/>
          <w:sz w:val="24"/>
          <w:szCs w:val="24"/>
        </w:rPr>
        <w:t xml:space="preserve">), в рамках которых обсуждались основные </w:t>
      </w:r>
      <w:r>
        <w:rPr>
          <w:rFonts w:ascii="PT Astra Serif" w:hAnsi="PT Astra Serif"/>
          <w:sz w:val="24"/>
          <w:szCs w:val="24"/>
        </w:rPr>
        <w:t xml:space="preserve">проекты </w:t>
      </w:r>
      <w:r>
        <w:rPr>
          <w:rFonts w:ascii="PT Astra Serif" w:hAnsi="PT Astra Serif"/>
          <w:sz w:val="24"/>
          <w:szCs w:val="24"/>
        </w:rPr>
        <w:t xml:space="preserve">развития региона. Н</w:t>
      </w:r>
      <w:r>
        <w:rPr>
          <w:rFonts w:ascii="PT Astra Serif" w:hAnsi="PT Astra Serif" w:cs="Arial"/>
          <w:sz w:val="24"/>
          <w:szCs w:val="24"/>
          <w:shd w:val="clear" w:color="auto" w:fill="ffffff"/>
        </w:rPr>
        <w:t xml:space="preserve">аиболее важные для региона мероприятия и проекты</w:t>
      </w:r>
      <w:r>
        <w:rPr>
          <w:rFonts w:ascii="PT Astra Serif" w:hAnsi="PT Astra Serif"/>
          <w:sz w:val="24"/>
          <w:szCs w:val="24"/>
        </w:rPr>
        <w:t xml:space="preserve"> вошли в Постановление о государственной поддержке развития Томской области (Постановление от 22.12.2023 № 810-СФ), среди них: </w:t>
      </w:r>
      <w:r>
        <w:rPr>
          <w:rFonts w:ascii="PT Astra Serif" w:hAnsi="PT Astra Serif" w:cs="Arial"/>
          <w:sz w:val="24"/>
          <w:szCs w:val="24"/>
          <w:shd w:val="clear" w:color="auto" w:fill="ffffff"/>
        </w:rPr>
        <w:t xml:space="preserve">областная детская многопрофильная больница</w:t>
      </w:r>
      <w:r>
        <w:rPr>
          <w:rFonts w:ascii="PT Astra Serif" w:hAnsi="PT Astra Serif" w:cs="Arial"/>
          <w:sz w:val="24"/>
          <w:szCs w:val="24"/>
          <w:shd w:val="clear" w:color="auto" w:fill="ffffff"/>
        </w:rPr>
        <w:t xml:space="preserve">, новая школа в Томске на 1100 мест, Центр микроэлектроники ТУСУРа, инжиниринговый и экспоцентр особой экономической зоны, лечебно-диагностический корпус НИИ кардиологии, учебно-лабораторный корпус ТГУ, спортивный комплекс «Центр самбо», третий мост через </w:t>
      </w:r>
      <w:r>
        <w:rPr>
          <w:rFonts w:ascii="PT Astra Serif" w:hAnsi="PT Astra Serif" w:cs="Arial"/>
          <w:sz w:val="24"/>
          <w:szCs w:val="24"/>
          <w:shd w:val="clear" w:color="auto" w:fill="ffffff"/>
        </w:rPr>
        <w:t xml:space="preserve">р. </w:t>
      </w:r>
      <w:r>
        <w:rPr>
          <w:rFonts w:ascii="PT Astra Serif" w:hAnsi="PT Astra Serif" w:cs="Arial"/>
          <w:sz w:val="24"/>
          <w:szCs w:val="24"/>
          <w:shd w:val="clear" w:color="auto" w:fill="ffffff"/>
        </w:rPr>
        <w:t xml:space="preserve">Томь, малое транспортное кольцо в Томске, модернизация городского пассажирского транспорта, мусоросортировочный комплекс. Реализация инициатив региона будет способствовать положительной динамике показателей уровня и качества жизни в Томской области. </w:t>
      </w:r>
      <w:r>
        <w:rPr>
          <w:rFonts w:ascii="PT Astra Serif" w:hAnsi="PT Astra Serif" w:cs="Arial"/>
          <w:sz w:val="24"/>
          <w:szCs w:val="24"/>
          <w:shd w:val="clear" w:color="auto" w:fill="ffffff"/>
        </w:rPr>
      </w:r>
      <w:r>
        <w:rPr>
          <w:rFonts w:ascii="PT Astra Serif" w:hAnsi="PT Astra Serif" w:cs="Arial"/>
          <w:sz w:val="24"/>
          <w:szCs w:val="24"/>
          <w:shd w:val="clear" w:color="auto" w:fill="ffffff"/>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Главным общественным событием 2023 года стал</w:t>
      </w:r>
      <w:r>
        <w:rPr>
          <w:rFonts w:ascii="PT Astra Serif" w:hAnsi="PT Astra Serif" w:eastAsia="Times New Roman"/>
          <w:sz w:val="24"/>
          <w:szCs w:val="24"/>
          <w:lang w:eastAsia="ru-RU"/>
        </w:rPr>
        <w:t xml:space="preserve">о </w:t>
      </w:r>
      <w:r>
        <w:rPr>
          <w:rFonts w:ascii="PT Astra Serif" w:hAnsi="PT Astra Serif" w:eastAsia="Times New Roman"/>
          <w:sz w:val="24"/>
          <w:szCs w:val="24"/>
          <w:lang w:eastAsia="ru-RU"/>
        </w:rPr>
        <w:t xml:space="preserve">участие Томской области в международной выставке-форуме «Россия» в Москве</w:t>
      </w:r>
      <w:r>
        <w:rPr>
          <w:rFonts w:ascii="PT Astra Serif" w:hAnsi="PT Astra Serif" w:eastAsia="Times New Roman"/>
          <w:sz w:val="24"/>
          <w:szCs w:val="24"/>
          <w:lang w:eastAsia="ru-RU"/>
        </w:rPr>
        <w:t xml:space="preserve">. Регион представлен</w:t>
      </w:r>
      <w:r>
        <w:rPr>
          <w:rFonts w:ascii="PT Astra Serif" w:hAnsi="PT Astra Serif" w:eastAsia="Times New Roman"/>
          <w:sz w:val="24"/>
          <w:szCs w:val="24"/>
          <w:lang w:eastAsia="ru-RU"/>
        </w:rPr>
        <w:t xml:space="preserve"> постоянной </w:t>
      </w:r>
      <w:r>
        <w:rPr>
          <w:rFonts w:ascii="PT Astra Serif" w:hAnsi="PT Astra Serif" w:eastAsia="Times New Roman"/>
          <w:sz w:val="24"/>
          <w:szCs w:val="24"/>
          <w:lang w:eastAsia="ru-RU"/>
        </w:rPr>
        <w:t xml:space="preserve">экспозицией</w:t>
      </w:r>
      <w:r>
        <w:rPr>
          <w:rFonts w:ascii="PT Astra Serif" w:hAnsi="PT Astra Serif" w:eastAsia="Times New Roman"/>
          <w:sz w:val="24"/>
          <w:szCs w:val="24"/>
          <w:lang w:eastAsia="ru-RU"/>
        </w:rPr>
        <w:t xml:space="preserve"> в концепции «Волшебник Изумрудного города»</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посвященной</w:t>
      </w:r>
      <w:r>
        <w:rPr>
          <w:rFonts w:ascii="PT Astra Serif" w:hAnsi="PT Astra Serif" w:eastAsia="Times New Roman"/>
          <w:sz w:val="24"/>
          <w:szCs w:val="24"/>
          <w:lang w:eastAsia="ru-RU"/>
        </w:rPr>
        <w:t xml:space="preserve"> достижени</w:t>
      </w:r>
      <w:r>
        <w:rPr>
          <w:rFonts w:ascii="PT Astra Serif" w:hAnsi="PT Astra Serif" w:eastAsia="Times New Roman"/>
          <w:sz w:val="24"/>
          <w:szCs w:val="24"/>
          <w:lang w:eastAsia="ru-RU"/>
        </w:rPr>
        <w:t xml:space="preserve">ю</w:t>
      </w:r>
      <w:r>
        <w:rPr>
          <w:rFonts w:ascii="PT Astra Serif" w:hAnsi="PT Astra Serif" w:eastAsia="Times New Roman"/>
          <w:sz w:val="24"/>
          <w:szCs w:val="24"/>
          <w:lang w:eastAsia="ru-RU"/>
        </w:rPr>
        <w:t xml:space="preserve"> уч</w:t>
      </w:r>
      <w:r>
        <w:rPr>
          <w:rFonts w:ascii="PT Astra Serif" w:hAnsi="PT Astra Serif" w:eastAsia="Times New Roman"/>
          <w:sz w:val="24"/>
          <w:szCs w:val="24"/>
          <w:lang w:eastAsia="ru-RU"/>
        </w:rPr>
        <w:t xml:space="preserve">е</w:t>
      </w:r>
      <w:r>
        <w:rPr>
          <w:rFonts w:ascii="PT Astra Serif" w:hAnsi="PT Astra Serif" w:eastAsia="Times New Roman"/>
          <w:sz w:val="24"/>
          <w:szCs w:val="24"/>
          <w:lang w:eastAsia="ru-RU"/>
        </w:rPr>
        <w:t xml:space="preserve">ных</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внедрени</w:t>
      </w:r>
      <w:r>
        <w:rPr>
          <w:rFonts w:ascii="PT Astra Serif" w:hAnsi="PT Astra Serif" w:eastAsia="Times New Roman"/>
          <w:sz w:val="24"/>
          <w:szCs w:val="24"/>
          <w:lang w:eastAsia="ru-RU"/>
        </w:rPr>
        <w:t xml:space="preserve">ю</w:t>
      </w:r>
      <w:r>
        <w:rPr>
          <w:rFonts w:ascii="PT Astra Serif" w:hAnsi="PT Astra Serif" w:eastAsia="Times New Roman"/>
          <w:sz w:val="24"/>
          <w:szCs w:val="24"/>
          <w:lang w:eastAsia="ru-RU"/>
        </w:rPr>
        <w:t xml:space="preserve"> н</w:t>
      </w:r>
      <w:r>
        <w:rPr>
          <w:rFonts w:ascii="PT Astra Serif" w:hAnsi="PT Astra Serif" w:eastAsia="Times New Roman"/>
          <w:sz w:val="24"/>
          <w:szCs w:val="24"/>
          <w:lang w:eastAsia="ru-RU"/>
        </w:rPr>
        <w:t xml:space="preserve">овых технологий в производство, </w:t>
      </w:r>
      <w:r>
        <w:rPr>
          <w:rFonts w:ascii="PT Astra Serif" w:hAnsi="PT Astra Serif" w:eastAsia="Times New Roman"/>
          <w:sz w:val="24"/>
          <w:szCs w:val="24"/>
          <w:lang w:eastAsia="ru-RU"/>
        </w:rPr>
        <w:t xml:space="preserve">культурном</w:t>
      </w:r>
      <w:r>
        <w:rPr>
          <w:rFonts w:ascii="PT Astra Serif" w:hAnsi="PT Astra Serif" w:eastAsia="Times New Roman"/>
          <w:sz w:val="24"/>
          <w:szCs w:val="24"/>
          <w:lang w:eastAsia="ru-RU"/>
        </w:rPr>
        <w:t xml:space="preserve">у и </w:t>
      </w:r>
      <w:r>
        <w:rPr>
          <w:rFonts w:ascii="PT Astra Serif" w:hAnsi="PT Astra Serif" w:eastAsia="Times New Roman"/>
          <w:sz w:val="24"/>
          <w:szCs w:val="24"/>
          <w:lang w:eastAsia="ru-RU"/>
        </w:rPr>
        <w:t xml:space="preserve">историческом</w:t>
      </w:r>
      <w:r>
        <w:rPr>
          <w:rFonts w:ascii="PT Astra Serif" w:hAnsi="PT Astra Serif" w:eastAsia="Times New Roman"/>
          <w:sz w:val="24"/>
          <w:szCs w:val="24"/>
          <w:lang w:eastAsia="ru-RU"/>
        </w:rPr>
        <w:t xml:space="preserve">у</w:t>
      </w:r>
      <w:r>
        <w:rPr>
          <w:rFonts w:ascii="PT Astra Serif" w:hAnsi="PT Astra Serif" w:eastAsia="Times New Roman"/>
          <w:sz w:val="24"/>
          <w:szCs w:val="24"/>
          <w:lang w:eastAsia="ru-RU"/>
        </w:rPr>
        <w:t xml:space="preserve"> наследи</w:t>
      </w:r>
      <w:r>
        <w:rPr>
          <w:rFonts w:ascii="PT Astra Serif" w:hAnsi="PT Astra Serif" w:eastAsia="Times New Roman"/>
          <w:sz w:val="24"/>
          <w:szCs w:val="24"/>
          <w:lang w:eastAsia="ru-RU"/>
        </w:rPr>
        <w:t xml:space="preserve">ю, </w:t>
      </w:r>
      <w:r>
        <w:rPr>
          <w:rFonts w:ascii="PT Astra Serif" w:hAnsi="PT Astra Serif" w:eastAsia="Times New Roman"/>
          <w:sz w:val="24"/>
          <w:szCs w:val="24"/>
          <w:lang w:eastAsia="ru-RU"/>
        </w:rPr>
        <w:t xml:space="preserve">а также </w:t>
      </w:r>
      <w:r>
        <w:rPr>
          <w:rFonts w:ascii="PT Astra Serif" w:hAnsi="PT Astra Serif" w:eastAsia="Times New Roman"/>
          <w:sz w:val="24"/>
          <w:szCs w:val="24"/>
          <w:lang w:eastAsia="ru-RU"/>
        </w:rPr>
        <w:t xml:space="preserve">природным богатствам </w:t>
      </w:r>
      <w:r>
        <w:rPr>
          <w:rFonts w:ascii="PT Astra Serif" w:hAnsi="PT Astra Serif" w:eastAsia="Times New Roman"/>
          <w:sz w:val="24"/>
          <w:szCs w:val="24"/>
          <w:lang w:eastAsia="ru-RU"/>
        </w:rPr>
        <w:t xml:space="preserve">региона</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По оценке посетителей выставки в первые дни открытия (ноябрь 2023 года) стенд Томской области вошел в тройку лучших.</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w:t>
      </w:r>
      <w:r>
        <w:rPr>
          <w:rFonts w:ascii="PT Astra Serif" w:hAnsi="PT Astra Serif"/>
          <w:sz w:val="24"/>
          <w:szCs w:val="24"/>
        </w:rPr>
        <w:t xml:space="preserve"> 2024 году в федеральной повестке ожидается обновление подходов к развитию отраслей и сфер экономики,</w:t>
      </w:r>
      <w:r>
        <w:rPr>
          <w:rFonts w:ascii="PT Astra Serif" w:hAnsi="PT Astra Serif" w:eastAsia="Times New Roman"/>
          <w:sz w:val="24"/>
          <w:szCs w:val="24"/>
          <w:lang w:eastAsia="ru-RU"/>
        </w:rPr>
        <w:t xml:space="preserve"> обновление стратегических </w:t>
      </w:r>
      <w:r>
        <w:rPr>
          <w:rFonts w:ascii="PT Astra Serif" w:hAnsi="PT Astra Serif" w:eastAsia="Times New Roman"/>
          <w:sz w:val="24"/>
          <w:szCs w:val="24"/>
          <w:lang w:eastAsia="ru-RU"/>
        </w:rPr>
        <w:t xml:space="preserve">У</w:t>
      </w:r>
      <w:r>
        <w:rPr>
          <w:rFonts w:ascii="PT Astra Serif" w:hAnsi="PT Astra Serif" w:eastAsia="Times New Roman"/>
          <w:sz w:val="24"/>
          <w:szCs w:val="24"/>
          <w:lang w:eastAsia="ru-RU"/>
        </w:rPr>
        <w:t xml:space="preserve">казов Президента РФ о национальных целях развития Российской Федерации до 2036 года, в том числе о ключевых направлениях развития страны до 2036 года, установление новых приоритетов и целей, </w:t>
      </w:r>
      <w:r>
        <w:rPr>
          <w:rFonts w:ascii="PT Astra Serif" w:hAnsi="PT Astra Serif" w:eastAsia="Times New Roman"/>
          <w:sz w:val="24"/>
          <w:szCs w:val="24"/>
          <w:lang w:eastAsia="ru-RU"/>
        </w:rPr>
        <w:t xml:space="preserve">формирование новых национальных проектов. Н</w:t>
      </w:r>
      <w:r>
        <w:rPr>
          <w:rFonts w:ascii="PT Astra Serif" w:hAnsi="PT Astra Serif" w:eastAsia="Times New Roman"/>
          <w:sz w:val="24"/>
          <w:szCs w:val="24"/>
          <w:lang w:eastAsia="ru-RU"/>
        </w:rPr>
        <w:t xml:space="preserve">а федеральном уровне ведется актуализация Стратегии пространственного развития Российской Федерации</w:t>
      </w:r>
      <w:r>
        <w:rPr>
          <w:rFonts w:ascii="PT Astra Serif" w:hAnsi="PT Astra Serif" w:eastAsia="Times New Roman"/>
          <w:sz w:val="24"/>
          <w:szCs w:val="24"/>
          <w:lang w:eastAsia="ru-RU"/>
        </w:rPr>
        <w:t xml:space="preserve"> (далее – Стратегия пространственного развития)</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В</w:t>
      </w:r>
      <w:r>
        <w:rPr>
          <w:rFonts w:ascii="PT Astra Serif" w:hAnsi="PT Astra Serif"/>
          <w:sz w:val="24"/>
          <w:szCs w:val="24"/>
        </w:rPr>
        <w:t xml:space="preserve"> 2023 году </w:t>
      </w:r>
      <w:r>
        <w:rPr>
          <w:rFonts w:ascii="PT Astra Serif" w:hAnsi="PT Astra Serif" w:eastAsia="Times New Roman"/>
          <w:sz w:val="24"/>
          <w:szCs w:val="24"/>
          <w:lang w:eastAsia="ru-RU"/>
        </w:rPr>
        <w:t xml:space="preserve">утверждена Стратегия социально-экономического развития Сибирского федерального округа до 2035 года (далее – Стратегия Сибири) и план ее реализации, в который в том числе вошли проекты и мероприятия, реализуемые на территории Томской области</w:t>
      </w:r>
      <w:r>
        <w:rPr>
          <w:rFonts w:ascii="PT Astra Serif" w:hAnsi="PT Astra Serif" w:eastAsia="Times New Roman"/>
          <w:sz w:val="24"/>
          <w:szCs w:val="24"/>
          <w:lang w:eastAsia="ru-RU"/>
        </w:rPr>
        <w:t xml:space="preserve">, в том числе кластер «</w:t>
      </w:r>
      <w:r>
        <w:rPr>
          <w:rFonts w:ascii="PT Astra Serif" w:hAnsi="PT Astra Serif" w:eastAsia="Calibri"/>
          <w:sz w:val="24"/>
          <w:szCs w:val="24"/>
        </w:rPr>
        <w:t xml:space="preserve">Цветные и редкоземельные металлы»</w:t>
      </w:r>
      <w:r>
        <w:rPr>
          <w:rFonts w:ascii="PT Astra Serif" w:hAnsi="PT Astra Serif" w:eastAsia="Times New Roman"/>
          <w:sz w:val="24"/>
          <w:szCs w:val="24"/>
          <w:lang w:eastAsia="ru-RU"/>
        </w:rPr>
        <w:t xml:space="preserve">. Регионом продолжается работа над новыми программами развития отраслей (развития экспорта, цифровой трансформации отр</w:t>
      </w:r>
      <w:r>
        <w:rPr>
          <w:rFonts w:ascii="PT Astra Serif" w:hAnsi="PT Astra Serif" w:eastAsia="Times New Roman"/>
          <w:sz w:val="24"/>
          <w:szCs w:val="24"/>
          <w:lang w:eastAsia="ru-RU"/>
        </w:rPr>
        <w:t xml:space="preserve">аслей, научно-технологического развития, инвестиционного развития и т.д.), «дорожных карт» по достижению показателей эффективности деятельности, новых проектов развития, подписан ряд важных концессионных соглашений по строительству межвузовского кампуса и </w:t>
      </w:r>
      <w:r>
        <w:rPr>
          <w:rFonts w:ascii="PT Astra Serif" w:hAnsi="PT Astra Serif"/>
          <w:sz w:val="24"/>
          <w:szCs w:val="24"/>
        </w:rPr>
        <w:t xml:space="preserve">автоматизированного мусоросортировочного</w:t>
      </w:r>
      <w:r>
        <w:rPr>
          <w:rFonts w:ascii="PT Astra Serif" w:hAnsi="PT Astra Serif" w:eastAsia="Times New Roman"/>
          <w:sz w:val="24"/>
          <w:szCs w:val="24"/>
          <w:lang w:eastAsia="ru-RU"/>
        </w:rPr>
        <w:t xml:space="preserve"> комплекса и пр.</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Стратегической задачей региона в перспективе остается поэтапное изменение структуры и диверсификация экономики региона, повышение уровня</w:t>
      </w:r>
      <w:r>
        <w:rPr>
          <w:rFonts w:ascii="PT Astra Serif" w:hAnsi="PT Astra Serif"/>
          <w:sz w:val="24"/>
          <w:szCs w:val="24"/>
        </w:rPr>
        <w:t xml:space="preserve"> его бюджетной обеспеченности. Для этого необходимо обеспечить развитие высокотехнологичных производств несырьевого сектора (глубокая переработка ресурсов, развитие инжиниринга, микро- и наноэлектроники, точного машиностроения, малотоннажной химии и др.).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Приоритетными направлениями развития для региона на 2024 год станут:</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реализация </w:t>
      </w:r>
      <w:r>
        <w:rPr>
          <w:rFonts w:ascii="PT Astra Serif" w:hAnsi="PT Astra Serif"/>
          <w:sz w:val="24"/>
          <w:szCs w:val="24"/>
        </w:rPr>
        <w:t xml:space="preserve">поручений </w:t>
      </w:r>
      <w:r>
        <w:rPr>
          <w:rFonts w:ascii="PT Astra Serif" w:hAnsi="PT Astra Serif"/>
          <w:sz w:val="24"/>
          <w:szCs w:val="24"/>
        </w:rPr>
        <w:t xml:space="preserve">Президента РФ </w:t>
      </w:r>
      <w:r>
        <w:rPr>
          <w:rFonts w:ascii="PT Astra Serif" w:hAnsi="PT Astra Serif"/>
          <w:sz w:val="24"/>
          <w:szCs w:val="24"/>
        </w:rPr>
        <w:t xml:space="preserve">по итогам Послания </w:t>
      </w:r>
      <w:r>
        <w:rPr>
          <w:rFonts w:ascii="PT Astra Serif" w:hAnsi="PT Astra Serif"/>
          <w:sz w:val="24"/>
          <w:szCs w:val="24"/>
        </w:rPr>
        <w:t xml:space="preserve">Федеральному Собранию Российской Федерации;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реализация</w:t>
      </w:r>
      <w:r>
        <w:rPr>
          <w:rFonts w:ascii="PT Astra Serif" w:hAnsi="PT Astra Serif"/>
          <w:sz w:val="24"/>
          <w:szCs w:val="24"/>
        </w:rPr>
        <w:t xml:space="preserve"> действующих</w:t>
      </w:r>
      <w:r>
        <w:rPr>
          <w:rFonts w:ascii="PT Astra Serif" w:hAnsi="PT Astra Serif"/>
          <w:sz w:val="24"/>
          <w:szCs w:val="24"/>
        </w:rPr>
        <w:t xml:space="preserve"> национальных проектов на территории Томской области</w:t>
      </w:r>
      <w:r>
        <w:rPr>
          <w:rFonts w:ascii="PT Astra Serif" w:hAnsi="PT Astra Serif"/>
          <w:sz w:val="24"/>
          <w:szCs w:val="24"/>
        </w:rPr>
        <w:t xml:space="preserve">, подготовка к реализации новых национальных проектов, таких как «Семья», «Молодежь и дети», «</w:t>
      </w:r>
      <w:r>
        <w:rPr>
          <w:rFonts w:ascii="PT Astra Serif" w:hAnsi="PT Astra Serif"/>
          <w:sz w:val="24"/>
          <w:szCs w:val="24"/>
        </w:rPr>
        <w:t xml:space="preserve">И</w:t>
      </w:r>
      <w:r>
        <w:rPr>
          <w:rFonts w:ascii="PT Astra Serif" w:hAnsi="PT Astra Serif"/>
          <w:sz w:val="24"/>
          <w:szCs w:val="24"/>
        </w:rPr>
        <w:t xml:space="preserve">нфраструктура для жизни» и др.</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разработка и реализация комплексной государственной программы научно-технологического развития Томской области</w:t>
      </w:r>
      <w:r>
        <w:rPr>
          <w:rFonts w:ascii="PT Astra Serif" w:hAnsi="PT Astra Serif"/>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sz w:val="24"/>
          <w:szCs w:val="24"/>
        </w:rPr>
        <w:t xml:space="preserve">–</w:t>
      </w:r>
      <w:r>
        <w:rPr>
          <w:rFonts w:ascii="PT Astra Serif" w:hAnsi="PT Astra Serif" w:eastAsia="Times New Roman"/>
          <w:sz w:val="24"/>
          <w:szCs w:val="24"/>
          <w:lang w:eastAsia="ru-RU"/>
        </w:rPr>
        <w:t xml:space="preserve"> формирование «портфеля» проектов развития региона в соответствии с обновленными федеральными целями и приоритетами;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sz w:val="24"/>
          <w:szCs w:val="24"/>
        </w:rPr>
        <w:t xml:space="preserve">–</w:t>
      </w:r>
      <w:r>
        <w:rPr>
          <w:rFonts w:ascii="PT Astra Serif" w:hAnsi="PT Astra Serif" w:eastAsia="Times New Roman"/>
          <w:sz w:val="24"/>
          <w:szCs w:val="24"/>
          <w:lang w:eastAsia="ru-RU"/>
        </w:rPr>
        <w:t xml:space="preserve"> активная реализация кластерной политики инвестиционного и промышленного развития;</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sz w:val="24"/>
          <w:szCs w:val="24"/>
        </w:rPr>
        <w:t xml:space="preserve">–</w:t>
      </w:r>
      <w:r>
        <w:rPr>
          <w:rFonts w:ascii="PT Astra Serif" w:hAnsi="PT Astra Serif" w:eastAsia="Times New Roman"/>
          <w:sz w:val="24"/>
          <w:szCs w:val="24"/>
          <w:lang w:eastAsia="ru-RU"/>
        </w:rPr>
        <w:t xml:space="preserve"> расширение перечня дорожных карт с государственными корпорациями и крупными стратегическими российскими компаниями;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реализация рекомендаций по мерам государственной поддержки Томской области, одобренных в 2023 году Советом Федерации;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sz w:val="24"/>
          <w:szCs w:val="24"/>
        </w:rPr>
        <w:t xml:space="preserve">–</w:t>
      </w:r>
      <w:r>
        <w:rPr>
          <w:rFonts w:ascii="PT Astra Serif" w:hAnsi="PT Astra Serif"/>
          <w:sz w:val="24"/>
          <w:szCs w:val="24"/>
        </w:rPr>
        <w:t xml:space="preserve"> реализация </w:t>
      </w:r>
      <w:r>
        <w:rPr>
          <w:rFonts w:ascii="PT Astra Serif" w:hAnsi="PT Astra Serif" w:eastAsia="Times New Roman"/>
          <w:sz w:val="24"/>
          <w:szCs w:val="24"/>
          <w:lang w:eastAsia="ru-RU"/>
        </w:rPr>
        <w:t xml:space="preserve">проектов и мероприятий, включенных в план реализации Стратегии Сибири.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spacing w:after="0" w:line="240" w:lineRule="auto"/>
        <w:tabs>
          <w:tab w:val="left" w:pos="567" w:leader="none"/>
          <w:tab w:val="left" w:pos="4962" w:leader="none"/>
        </w:tabs>
        <w:rPr>
          <w:rFonts w:ascii="PT Astra Serif" w:hAnsi="PT Astra Serif" w:eastAsia="Calibri"/>
          <w:b/>
          <w:sz w:val="24"/>
          <w:szCs w:val="24"/>
          <w:shd w:val="clear" w:color="auto" w:fill="eaf1dd"/>
        </w:rPr>
      </w:pPr>
      <w:r>
        <w:rPr>
          <w:rFonts w:ascii="PT Astra Serif" w:hAnsi="PT Astra Serif" w:eastAsia="Calibri"/>
          <w:b/>
          <w:sz w:val="24"/>
          <w:szCs w:val="24"/>
          <w:shd w:val="clear" w:color="auto" w:fill="eaf1dd"/>
        </w:rPr>
      </w:r>
      <w:r>
        <w:rPr>
          <w:rFonts w:ascii="PT Astra Serif" w:hAnsi="PT Astra Serif" w:eastAsia="Calibri"/>
          <w:b/>
          <w:sz w:val="24"/>
          <w:szCs w:val="24"/>
          <w:shd w:val="clear" w:color="auto" w:fill="eaf1dd"/>
        </w:rPr>
      </w:r>
      <w:r>
        <w:rPr>
          <w:rFonts w:ascii="PT Astra Serif" w:hAnsi="PT Astra Serif" w:eastAsia="Calibri"/>
          <w:b/>
          <w:sz w:val="24"/>
          <w:szCs w:val="24"/>
          <w:shd w:val="clear" w:color="auto" w:fill="eaf1dd"/>
        </w:rPr>
      </w:r>
    </w:p>
    <w:p>
      <w:pPr>
        <w:spacing w:after="0" w:line="240" w:lineRule="auto"/>
        <w:shd w:val="clear" w:color="auto" w:fill="eaf1dd" w:themeFill="accent3" w:themeFillTint="33"/>
        <w:tabs>
          <w:tab w:val="left" w:pos="567" w:leader="none"/>
          <w:tab w:val="left" w:pos="4962" w:leader="none"/>
        </w:tabs>
        <w:rPr>
          <w:rFonts w:ascii="PT Astra Serif" w:hAnsi="PT Astra Serif" w:eastAsia="Calibri"/>
          <w:b/>
          <w:sz w:val="24"/>
          <w:szCs w:val="24"/>
        </w:rPr>
      </w:pPr>
      <w:r>
        <w:rPr>
          <w:rFonts w:ascii="PT Astra Serif" w:hAnsi="PT Astra Serif" w:eastAsia="Calibri"/>
          <w:b/>
          <w:sz w:val="24"/>
          <w:szCs w:val="24"/>
        </w:rPr>
        <w:t xml:space="preserve">Валовой региональный продукт</w:t>
      </w:r>
      <w:r>
        <w:rPr>
          <w:rFonts w:ascii="PT Astra Serif" w:hAnsi="PT Astra Serif" w:eastAsia="Calibri"/>
          <w:b/>
          <w:sz w:val="24"/>
          <w:szCs w:val="24"/>
        </w:rPr>
      </w:r>
      <w:r>
        <w:rPr>
          <w:rFonts w:ascii="PT Astra Serif" w:hAnsi="PT Astra Serif" w:eastAsia="Calibri"/>
          <w:b/>
          <w:sz w:val="24"/>
          <w:szCs w:val="24"/>
        </w:rPr>
      </w:r>
    </w:p>
    <w:p>
      <w:pPr>
        <w:ind w:firstLine="709"/>
        <w:jc w:val="both"/>
        <w:spacing w:after="0" w:line="240" w:lineRule="auto"/>
        <w:tabs>
          <w:tab w:val="left" w:pos="567"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За 2023 год ключевой индикатор экономического развития </w:t>
      </w:r>
      <w:r>
        <w:rPr>
          <w:rFonts w:ascii="PT Astra Serif" w:hAnsi="PT Astra Serif"/>
          <w:sz w:val="24"/>
          <w:szCs w:val="24"/>
        </w:rPr>
        <w:t xml:space="preserve">–</w:t>
      </w:r>
      <w:r>
        <w:rPr>
          <w:rFonts w:ascii="PT Astra Serif" w:hAnsi="PT Astra Serif" w:eastAsia="Times New Roman"/>
          <w:sz w:val="24"/>
          <w:szCs w:val="24"/>
          <w:lang w:eastAsia="ru-RU"/>
        </w:rPr>
        <w:t xml:space="preserve"> валовой региональный продукт Томской области (ВРП) в текущих ценах по оценке</w:t>
      </w:r>
      <w:r>
        <w:rPr>
          <w:rFonts w:ascii="PT Astra Serif" w:hAnsi="PT Astra Serif" w:eastAsia="Times New Roman"/>
          <w:sz w:val="24"/>
          <w:szCs w:val="24"/>
          <w:vertAlign w:val="superscript"/>
          <w:lang w:eastAsia="ru-RU"/>
        </w:rPr>
        <w:footnoteReference w:id="2"/>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достиг уровня 853,2 </w:t>
      </w:r>
      <w:r>
        <w:rPr>
          <w:rFonts w:ascii="PT Astra Serif" w:hAnsi="PT Astra Serif" w:eastAsia="Times New Roman"/>
          <w:sz w:val="24"/>
          <w:szCs w:val="24"/>
          <w:lang w:eastAsia="ru-RU"/>
        </w:rPr>
        <w:t xml:space="preserve">млрд</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рублей, в сопоставимых ценах – 100,5% к 2022 году. При этом ВВП РФ в текущих ценах составил 171 041,0 </w:t>
      </w:r>
      <w:r>
        <w:rPr>
          <w:rFonts w:ascii="PT Astra Serif" w:hAnsi="PT Astra Serif" w:eastAsia="Times New Roman"/>
          <w:sz w:val="24"/>
          <w:szCs w:val="24"/>
          <w:lang w:eastAsia="ru-RU"/>
        </w:rPr>
        <w:t xml:space="preserve">млрд</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рублей, рост 103,6% (рис. 1).</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567"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567" w:leader="none"/>
        </w:tabs>
        <w:rPr>
          <w:rFonts w:ascii="PT Astra Serif" w:hAnsi="PT Astra Serif" w:eastAsia="Times New Roman"/>
          <w:sz w:val="24"/>
          <w:szCs w:val="24"/>
          <w:lang w:eastAsia="ru-RU"/>
        </w:rPr>
      </w:pPr>
      <w:r>
        <w:rPr>
          <w:rFonts w:ascii="PT Astra Serif" w:hAnsi="PT Astra Serif" w:eastAsia="PT Astra Serif"/>
          <w:sz w:val="24"/>
          <w:szCs w:val="24"/>
          <w:lang w:eastAsia="ru-RU"/>
        </w:rPr>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610442</wp:posOffset>
            </wp:positionH>
            <wp:positionV relativeFrom="paragraph">
              <wp:posOffset>9126</wp:posOffset>
            </wp:positionV>
            <wp:extent cx="4497572" cy="1988289"/>
            <wp:effectExtent l="0" t="0" r="0" b="0"/>
            <wp:wrapNone/>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567"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567"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567"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567"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567"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567"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567"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567"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567"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567"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567"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jc w:val="center"/>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eastAsia="Calibri"/>
          <w:sz w:val="24"/>
          <w:szCs w:val="24"/>
        </w:rPr>
        <w:t xml:space="preserve">Рисунок 1 – Динамика ВРП и ВВП</w:t>
      </w:r>
      <w:r>
        <w:rPr>
          <w:rFonts w:ascii="PT Astra Serif" w:hAnsi="PT Astra Serif" w:eastAsia="Calibri"/>
          <w:sz w:val="24"/>
          <w:szCs w:val="24"/>
        </w:rPr>
      </w:r>
      <w:r>
        <w:rPr>
          <w:rFonts w:ascii="PT Astra Serif" w:hAnsi="PT Astra Serif" w:eastAsia="Calibri"/>
          <w:sz w:val="24"/>
          <w:szCs w:val="24"/>
        </w:rPr>
      </w:r>
    </w:p>
    <w:p>
      <w:pPr>
        <w:jc w:val="center"/>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567"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На стабильную динамику ВРП региона оказало влияние устойчивое развитие обрабатывающих производств, сферы строительства, </w:t>
      </w:r>
      <w:r>
        <w:rPr>
          <w:rFonts w:ascii="PT Astra Serif" w:hAnsi="PT Astra Serif" w:eastAsia="Times New Roman"/>
          <w:sz w:val="24"/>
          <w:szCs w:val="24"/>
          <w:lang w:eastAsia="ru-RU"/>
        </w:rPr>
        <w:t xml:space="preserve">потребительского рынка. Позитивные тренды отмечались в сферах электронной промышленности, производства компьютеров, машиностроении. Кроме того, положительная динамика зафиксирована в розничной торговле (107,5%), платных услугах (100,7%), общепите (119,6%).</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567"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Негативные процессы, ха</w:t>
      </w:r>
      <w:r>
        <w:rPr>
          <w:rFonts w:ascii="PT Astra Serif" w:hAnsi="PT Astra Serif" w:eastAsia="Times New Roman"/>
          <w:sz w:val="24"/>
          <w:szCs w:val="24"/>
          <w:lang w:eastAsia="ru-RU"/>
        </w:rPr>
        <w:t xml:space="preserve">рактерные также и для российской экономики, были связаны с санкционным давлением и, как следствие, логистическими ограничениями, недостатком импортного сырья и комплектующих. Также на ВРП Томской области по итогам отчетного года оказали негативное влияние:</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567" w:leader="none"/>
        </w:tabs>
        <w:rPr>
          <w:rFonts w:ascii="PT Astra Serif" w:hAnsi="PT Astra Serif" w:eastAsia="Times New Roman"/>
          <w:sz w:val="24"/>
          <w:szCs w:val="24"/>
          <w:lang w:eastAsia="ru-RU"/>
        </w:rPr>
      </w:pPr>
      <w:r>
        <w:rPr>
          <w:rFonts w:ascii="PT Astra Serif" w:hAnsi="PT Astra Serif"/>
          <w:sz w:val="24"/>
          <w:szCs w:val="24"/>
        </w:rPr>
        <w:t xml:space="preserve">– </w:t>
      </w:r>
      <w:r>
        <w:rPr>
          <w:rFonts w:ascii="PT Astra Serif" w:hAnsi="PT Astra Serif" w:eastAsia="Times New Roman"/>
          <w:sz w:val="24"/>
          <w:szCs w:val="24"/>
          <w:lang w:eastAsia="ru-RU"/>
        </w:rPr>
        <w:t xml:space="preserve">добыча полезных ископаемых (доля в ВРП – 25%) с ИПП – 97,6%, что связано с высокой выработкой месторождений и добровольным сокращением добычи нефти в рамках сделки ОПЕК+;</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567" w:leader="none"/>
        </w:tabs>
        <w:rPr>
          <w:rFonts w:ascii="PT Astra Serif" w:hAnsi="PT Astra Serif" w:eastAsia="Times New Roman"/>
          <w:sz w:val="24"/>
          <w:szCs w:val="24"/>
          <w:lang w:eastAsia="ru-RU"/>
        </w:rPr>
      </w:pPr>
      <w:r>
        <w:rPr>
          <w:rFonts w:ascii="PT Astra Serif" w:hAnsi="PT Astra Serif"/>
          <w:sz w:val="24"/>
          <w:szCs w:val="24"/>
        </w:rPr>
        <w:t xml:space="preserve">– </w:t>
      </w:r>
      <w:r>
        <w:rPr>
          <w:rFonts w:ascii="PT Astra Serif" w:hAnsi="PT Astra Serif" w:eastAsia="Times New Roman"/>
          <w:sz w:val="24"/>
          <w:szCs w:val="24"/>
          <w:lang w:eastAsia="ru-RU"/>
        </w:rPr>
        <w:t xml:space="preserve">сельское хозяйство (доля в ВРП – 4,1%) с ИФО – 94,1% из-за снижения производства скота и птицы, а также неблагоприятных погодных условий.</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567"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По показателю </w:t>
      </w:r>
      <w:r>
        <w:rPr>
          <w:rFonts w:ascii="PT Astra Serif" w:hAnsi="PT Astra Serif" w:eastAsia="Times New Roman"/>
          <w:sz w:val="24"/>
          <w:szCs w:val="24"/>
          <w:lang w:eastAsia="ru-RU"/>
        </w:rPr>
        <w:t xml:space="preserve">ВРП</w:t>
      </w:r>
      <w:r>
        <w:rPr>
          <w:rFonts w:ascii="PT Astra Serif" w:hAnsi="PT Astra Serif" w:eastAsia="Times New Roman"/>
          <w:sz w:val="24"/>
          <w:szCs w:val="24"/>
          <w:lang w:eastAsia="ru-RU"/>
        </w:rPr>
        <w:t xml:space="preserve"> на душу населения 765,6</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тыс.</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рублей (официальные данные Росстата за 2022 год) Томская область занимает 4-е место среди регионов СФО</w:t>
      </w:r>
      <w:r>
        <w:rPr>
          <w:rFonts w:ascii="PT Astra Serif" w:hAnsi="PT Astra Serif" w:eastAsia="PT Astra Serif"/>
          <w:sz w:val="24"/>
          <w:szCs w:val="24"/>
        </w:rPr>
        <w:t xml:space="preserve"> </w:t>
      </w:r>
      <w:r>
        <w:rPr>
          <w:rFonts w:ascii="PT Astra Serif" w:hAnsi="PT Astra Serif" w:eastAsia="Times New Roman"/>
          <w:sz w:val="24"/>
          <w:szCs w:val="24"/>
          <w:lang w:eastAsia="ru-RU"/>
        </w:rPr>
        <w:t xml:space="preserve">после Красноярского края, Иркутской и Кемеровской областей (среднее значение по СФО – 781,6 тыс. рублей). В рейтинге регионов Российской Федерации у Томской области 29-е место. ВВП РФ на душу населения в 2022</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году составил 958,8 тыс. рублей.</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spacing w:after="0" w:line="240" w:lineRule="auto"/>
        <w:shd w:val="clear" w:color="auto" w:fill="eaf1dd" w:themeFill="accent3" w:themeFillTint="33"/>
        <w:tabs>
          <w:tab w:val="left" w:pos="567" w:leader="none"/>
          <w:tab w:val="left" w:pos="4962" w:leader="none"/>
        </w:tabs>
        <w:rPr>
          <w:rFonts w:ascii="PT Astra Serif" w:hAnsi="PT Astra Serif" w:eastAsia="Calibri"/>
          <w:b/>
          <w:sz w:val="24"/>
          <w:szCs w:val="24"/>
        </w:rPr>
      </w:pPr>
      <w:r>
        <w:rPr>
          <w:rFonts w:ascii="PT Astra Serif" w:hAnsi="PT Astra Serif" w:eastAsia="Calibri"/>
          <w:b/>
          <w:sz w:val="24"/>
          <w:szCs w:val="24"/>
          <w:shd w:val="clear" w:color="auto" w:fill="eaf1dd" w:themeFill="accent3" w:themeFillTint="33"/>
        </w:rPr>
        <w:t xml:space="preserve">Инфляция</w:t>
      </w:r>
      <w:r>
        <w:rPr>
          <w:rFonts w:ascii="PT Astra Serif" w:hAnsi="PT Astra Serif" w:eastAsia="Calibri"/>
          <w:b/>
          <w:sz w:val="24"/>
          <w:szCs w:val="24"/>
        </w:rPr>
      </w:r>
      <w:r>
        <w:rPr>
          <w:rFonts w:ascii="PT Astra Serif" w:hAnsi="PT Astra Serif" w:eastAsia="Calibri"/>
          <w:b/>
          <w:sz w:val="24"/>
          <w:szCs w:val="24"/>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По итогам 2023 года (декабрь 2023</w:t>
      </w:r>
      <w:r>
        <w:rPr>
          <w:rFonts w:ascii="PT Astra Serif" w:hAnsi="PT Astra Serif" w:eastAsia="Times New Roman"/>
          <w:sz w:val="24"/>
          <w:szCs w:val="24"/>
          <w:lang w:eastAsia="ru-RU"/>
        </w:rPr>
        <w:t xml:space="preserve"> года</w:t>
      </w:r>
      <w:r>
        <w:rPr>
          <w:rFonts w:ascii="PT Astra Serif" w:hAnsi="PT Astra Serif" w:eastAsia="Times New Roman"/>
          <w:sz w:val="24"/>
          <w:szCs w:val="24"/>
          <w:lang w:eastAsia="ru-RU"/>
        </w:rPr>
        <w:t xml:space="preserve"> к декабрю 2022 года) уровень инфляции в Томской области составил 107,6%, что выше значения, сложившегося по России (107,4%), при этом по СФО Томская область вошла в тройку регионов с наименьшими значениями показателя индекса потребительских цен.</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right"/>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ind w:firstLine="709"/>
        <w:jc w:val="right"/>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eastAsia="Calibri"/>
          <w:sz w:val="24"/>
          <w:szCs w:val="24"/>
        </w:rPr>
        <w:t xml:space="preserve">Таблица 1</w:t>
      </w:r>
      <w:r>
        <w:rPr>
          <w:rFonts w:ascii="PT Astra Serif" w:hAnsi="PT Astra Serif" w:eastAsia="Calibri"/>
          <w:sz w:val="24"/>
          <w:szCs w:val="24"/>
        </w:rPr>
      </w:r>
      <w:r>
        <w:rPr>
          <w:rFonts w:ascii="PT Astra Serif" w:hAnsi="PT Astra Serif" w:eastAsia="Calibri"/>
          <w:sz w:val="24"/>
          <w:szCs w:val="24"/>
        </w:rPr>
      </w:r>
    </w:p>
    <w:p>
      <w:pPr>
        <w:ind w:firstLine="709"/>
        <w:jc w:val="center"/>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eastAsia="Calibri"/>
          <w:sz w:val="24"/>
          <w:szCs w:val="24"/>
        </w:rPr>
        <w:t xml:space="preserve">Индекс потребительских цен в Томской области и России </w:t>
      </w:r>
      <w:r>
        <w:rPr>
          <w:rFonts w:ascii="PT Astra Serif" w:hAnsi="PT Astra Serif" w:eastAsia="Calibri"/>
          <w:sz w:val="24"/>
          <w:szCs w:val="24"/>
        </w:rPr>
      </w:r>
      <w:r>
        <w:rPr>
          <w:rFonts w:ascii="PT Astra Serif" w:hAnsi="PT Astra Serif" w:eastAsia="Calibri"/>
          <w:sz w:val="24"/>
          <w:szCs w:val="24"/>
        </w:rPr>
      </w:r>
    </w:p>
    <w:p>
      <w:pPr>
        <w:ind w:firstLine="709"/>
        <w:jc w:val="center"/>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eastAsia="Calibri"/>
          <w:sz w:val="24"/>
          <w:szCs w:val="24"/>
        </w:rPr>
        <w:t xml:space="preserve">(в %, декабрь к декабрю предыдущего года)</w:t>
      </w:r>
      <w:r>
        <w:rPr>
          <w:rFonts w:ascii="PT Astra Serif" w:hAnsi="PT Astra Serif" w:eastAsia="Calibri"/>
          <w:sz w:val="24"/>
          <w:szCs w:val="24"/>
        </w:rPr>
      </w:r>
      <w:r>
        <w:rPr>
          <w:rFonts w:ascii="PT Astra Serif" w:hAnsi="PT Astra Serif" w:eastAsia="Calibri"/>
          <w:sz w:val="24"/>
          <w:szCs w:val="24"/>
        </w:rPr>
      </w:r>
    </w:p>
    <w:p>
      <w:pPr>
        <w:ind w:firstLine="709"/>
        <w:jc w:val="center"/>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tbl>
      <w:tblPr>
        <w:tblpPr w:horzAnchor="page" w:tblpX="2890" w:vertAnchor="text" w:tblpY="199" w:leftFromText="180" w:topFromText="0" w:rightFromText="180" w:bottomFromText="200"/>
        <w:tblW w:w="3611" w:type="pct"/>
        <w:tblLook w:val="04A0" w:firstRow="1" w:lastRow="0" w:firstColumn="1" w:lastColumn="0" w:noHBand="0" w:noVBand="1"/>
      </w:tblPr>
      <w:tblGrid>
        <w:gridCol w:w="2944"/>
        <w:gridCol w:w="1275"/>
        <w:gridCol w:w="1276"/>
        <w:gridCol w:w="1417"/>
      </w:tblGrid>
      <w:tr>
        <w:tblPrEx/>
        <w:trPr>
          <w:trHeight w:val="559"/>
        </w:trPr>
        <w:tc>
          <w:tcPr>
            <w:tcBorders>
              <w:top w:val="single" w:color="auto" w:sz="4" w:space="0"/>
              <w:left w:val="single" w:color="auto" w:sz="4" w:space="0"/>
              <w:bottom w:val="single" w:color="auto" w:sz="4" w:space="0"/>
              <w:right w:val="single" w:color="auto" w:sz="4" w:space="0"/>
            </w:tcBorders>
            <w:tcW w:w="2130" w:type="pct"/>
            <w:vAlign w:val="center"/>
            <w:textDirection w:val="lrTb"/>
            <w:noWrap/>
          </w:tcPr>
          <w:p>
            <w:pPr>
              <w:jc w:val="cente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ИПЦ</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tcBorders>
              <w:top w:val="single" w:color="auto" w:sz="4" w:space="0"/>
              <w:left w:val="single" w:color="auto" w:sz="4" w:space="0"/>
              <w:bottom w:val="single" w:color="auto" w:sz="4" w:space="0"/>
              <w:right w:val="single" w:color="auto" w:sz="4" w:space="0"/>
            </w:tcBorders>
            <w:tcW w:w="922" w:type="pct"/>
            <w:vAlign w:val="center"/>
            <w:textDirection w:val="lrTb"/>
            <w:noWrap/>
          </w:tcPr>
          <w:p>
            <w:pPr>
              <w:jc w:val="cente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2021</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tcPr>
          <w:p>
            <w:pPr>
              <w:jc w:val="cente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2022</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spacing w:after="0" w:line="240" w:lineRule="auto"/>
              <w:rPr>
                <w:rFonts w:ascii="PT Astra Serif" w:hAnsi="PT Astra Serif"/>
                <w:sz w:val="24"/>
                <w:szCs w:val="24"/>
              </w:rPr>
            </w:pPr>
            <w:r>
              <w:rPr>
                <w:rFonts w:ascii="PT Astra Serif" w:hAnsi="PT Astra Serif"/>
                <w:sz w:val="24"/>
                <w:szCs w:val="24"/>
              </w:rPr>
              <w:t xml:space="preserve">2023</w:t>
            </w:r>
            <w:r>
              <w:rPr>
                <w:rFonts w:ascii="PT Astra Serif" w:hAnsi="PT Astra Serif"/>
                <w:sz w:val="24"/>
                <w:szCs w:val="24"/>
              </w:rPr>
            </w:r>
            <w:r>
              <w:rPr>
                <w:rFonts w:ascii="PT Astra Serif" w:hAnsi="PT Astra Serif"/>
                <w:sz w:val="24"/>
                <w:szCs w:val="24"/>
              </w:rPr>
            </w:r>
          </w:p>
        </w:tc>
      </w:tr>
      <w:tr>
        <w:tblPrEx/>
        <w:trPr>
          <w:trHeight w:val="64"/>
        </w:trPr>
        <w:tc>
          <w:tcPr>
            <w:shd w:val="clear" w:color="auto" w:fill="ffffff" w:themeFill="background1"/>
            <w:tcBorders>
              <w:top w:val="single" w:color="auto" w:sz="4" w:space="0"/>
              <w:left w:val="single" w:color="auto" w:sz="4" w:space="0"/>
              <w:bottom w:val="single" w:color="auto" w:sz="4" w:space="0"/>
              <w:right w:val="single" w:color="auto" w:sz="4" w:space="0"/>
            </w:tcBorders>
            <w:tcW w:w="2130" w:type="pct"/>
            <w:vAlign w:val="center"/>
            <w:textDirection w:val="lrTb"/>
            <w:noWrap/>
          </w:tcPr>
          <w:p>
            <w:pPr>
              <w:spacing w:after="0" w:line="240" w:lineRule="auto"/>
              <w:rPr>
                <w:rFonts w:ascii="PT Astra Serif" w:hAnsi="PT Astra Serif" w:eastAsia="Times New Roman"/>
                <w:i/>
                <w:sz w:val="24"/>
                <w:szCs w:val="24"/>
                <w:lang w:eastAsia="ru-RU"/>
              </w:rPr>
            </w:pPr>
            <w:r>
              <w:rPr>
                <w:rFonts w:ascii="PT Astra Serif" w:hAnsi="PT Astra Serif" w:eastAsia="Times New Roman"/>
                <w:i/>
                <w:sz w:val="24"/>
                <w:szCs w:val="24"/>
                <w:lang w:eastAsia="ru-RU"/>
              </w:rPr>
              <w:t xml:space="preserve">Томская область</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922" w:type="pct"/>
            <w:vAlign w:val="center"/>
            <w:textDirection w:val="lrTb"/>
            <w:noWrap/>
          </w:tcPr>
          <w:p>
            <w:pPr>
              <w:jc w:val="center"/>
              <w:spacing w:after="0" w:line="240" w:lineRule="auto"/>
              <w:rPr>
                <w:rFonts w:ascii="PT Astra Serif" w:hAnsi="PT Astra Serif" w:eastAsia="Times New Roman"/>
                <w:i/>
                <w:sz w:val="24"/>
                <w:szCs w:val="24"/>
                <w:lang w:eastAsia="ru-RU"/>
              </w:rPr>
            </w:pPr>
            <w:r>
              <w:rPr>
                <w:rFonts w:ascii="PT Astra Serif" w:hAnsi="PT Astra Serif" w:eastAsia="Times New Roman"/>
                <w:i/>
                <w:sz w:val="24"/>
                <w:szCs w:val="24"/>
                <w:lang w:eastAsia="ru-RU"/>
              </w:rPr>
              <w:t xml:space="preserve">107,5</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923" w:type="pct"/>
            <w:vAlign w:val="center"/>
            <w:textDirection w:val="lrTb"/>
            <w:noWrap/>
          </w:tcPr>
          <w:p>
            <w:pPr>
              <w:jc w:val="center"/>
              <w:spacing w:after="0" w:line="240" w:lineRule="auto"/>
              <w:rPr>
                <w:rFonts w:ascii="PT Astra Serif" w:hAnsi="PT Astra Serif" w:eastAsia="Times New Roman"/>
                <w:i/>
                <w:sz w:val="24"/>
                <w:szCs w:val="24"/>
                <w:lang w:eastAsia="ru-RU"/>
              </w:rPr>
            </w:pPr>
            <w:r>
              <w:rPr>
                <w:rFonts w:ascii="PT Astra Serif" w:hAnsi="PT Astra Serif" w:eastAsia="Times New Roman"/>
                <w:i/>
                <w:sz w:val="24"/>
                <w:szCs w:val="24"/>
                <w:lang w:eastAsia="ru-RU"/>
              </w:rPr>
              <w:t xml:space="preserve">112,7</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spacing w:after="0" w:line="240" w:lineRule="auto"/>
              <w:rPr>
                <w:rFonts w:ascii="PT Astra Serif" w:hAnsi="PT Astra Serif" w:eastAsia="Times New Roman"/>
                <w:i/>
                <w:sz w:val="24"/>
                <w:szCs w:val="24"/>
                <w:lang w:eastAsia="ru-RU"/>
              </w:rPr>
            </w:pPr>
            <w:r>
              <w:rPr>
                <w:rFonts w:ascii="PT Astra Serif" w:hAnsi="PT Astra Serif" w:eastAsia="Times New Roman"/>
                <w:i/>
                <w:sz w:val="24"/>
                <w:szCs w:val="24"/>
                <w:lang w:eastAsia="ru-RU"/>
              </w:rPr>
              <w:t xml:space="preserve">107,6</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tc>
      </w:tr>
      <w:tr>
        <w:tblPrEx/>
        <w:trPr>
          <w:trHeight w:val="64"/>
        </w:trPr>
        <w:tc>
          <w:tcPr>
            <w:shd w:val="clear" w:color="auto" w:fill="ffffff" w:themeFill="background1"/>
            <w:tcBorders>
              <w:top w:val="single" w:color="auto" w:sz="4" w:space="0"/>
              <w:left w:val="single" w:color="auto" w:sz="4" w:space="0"/>
              <w:bottom w:val="single" w:color="auto" w:sz="4" w:space="0"/>
              <w:right w:val="single" w:color="auto" w:sz="4" w:space="0"/>
            </w:tcBorders>
            <w:tcW w:w="2130" w:type="pct"/>
            <w:vAlign w:val="center"/>
            <w:textDirection w:val="lrTb"/>
            <w:noWrap/>
          </w:tcPr>
          <w:p>
            <w:pP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Россия</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922" w:type="pct"/>
            <w:vAlign w:val="center"/>
            <w:textDirection w:val="lrTb"/>
            <w:noWrap/>
          </w:tcPr>
          <w:p>
            <w:pPr>
              <w:jc w:val="cente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108,4</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923" w:type="pct"/>
            <w:vAlign w:val="center"/>
            <w:textDirection w:val="lrTb"/>
            <w:noWrap/>
          </w:tcPr>
          <w:p>
            <w:pPr>
              <w:jc w:val="cente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111,9</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jc w:val="cente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107,4</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r>
    </w:tbl>
    <w:p>
      <w:pPr>
        <w:ind w:firstLine="709"/>
        <w:jc w:val="center"/>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ind w:firstLine="709"/>
        <w:jc w:val="right"/>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ind w:firstLine="709"/>
        <w:jc w:val="center"/>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ind w:firstLine="708"/>
        <w:jc w:val="both"/>
        <w:spacing w:after="0" w:line="240" w:lineRule="auto"/>
        <w:rPr>
          <w:rFonts w:ascii="PT Astra Serif" w:hAnsi="PT Astra Serif" w:cs="Octava"/>
          <w:sz w:val="24"/>
          <w:szCs w:val="24"/>
        </w:rPr>
      </w:pPr>
      <w:r>
        <w:rPr>
          <w:rFonts w:ascii="PT Astra Serif" w:hAnsi="PT Astra Serif" w:cs="Octava"/>
          <w:sz w:val="24"/>
          <w:szCs w:val="24"/>
        </w:rPr>
      </w:r>
      <w:r>
        <w:rPr>
          <w:rFonts w:ascii="PT Astra Serif" w:hAnsi="PT Astra Serif" w:cs="Octava"/>
          <w:sz w:val="24"/>
          <w:szCs w:val="24"/>
        </w:rPr>
      </w:r>
      <w:r>
        <w:rPr>
          <w:rFonts w:ascii="PT Astra Serif" w:hAnsi="PT Astra Serif" w:cs="Octava"/>
          <w:sz w:val="24"/>
          <w:szCs w:val="24"/>
        </w:rPr>
      </w:r>
    </w:p>
    <w:p>
      <w:pPr>
        <w:ind w:firstLine="708"/>
        <w:jc w:val="both"/>
        <w:spacing w:after="0" w:line="240" w:lineRule="auto"/>
        <w:rPr>
          <w:rFonts w:ascii="PT Astra Serif" w:hAnsi="PT Astra Serif" w:cs="Octava"/>
          <w:sz w:val="24"/>
          <w:szCs w:val="24"/>
        </w:rPr>
      </w:pPr>
      <w:r>
        <w:rPr>
          <w:rFonts w:ascii="PT Astra Serif" w:hAnsi="PT Astra Serif" w:cs="Octava"/>
          <w:sz w:val="24"/>
          <w:szCs w:val="24"/>
        </w:rPr>
      </w:r>
      <w:r>
        <w:rPr>
          <w:rFonts w:ascii="PT Astra Serif" w:hAnsi="PT Astra Serif" w:cs="Octava"/>
          <w:sz w:val="24"/>
          <w:szCs w:val="24"/>
        </w:rPr>
      </w:r>
      <w:r>
        <w:rPr>
          <w:rFonts w:ascii="PT Astra Serif" w:hAnsi="PT Astra Serif" w:cs="Octava"/>
          <w:sz w:val="24"/>
          <w:szCs w:val="24"/>
        </w:rPr>
      </w:r>
    </w:p>
    <w:p>
      <w:pPr>
        <w:ind w:firstLine="709"/>
        <w:jc w:val="both"/>
        <w:spacing w:after="0" w:line="240" w:lineRule="auto"/>
        <w:tabs>
          <w:tab w:val="left" w:pos="7371" w:leader="none"/>
          <w:tab w:val="left" w:pos="751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Наибольший вклад в инфляцию в регионе внес рост цен на группу продовольственных товаров </w:t>
      </w:r>
      <w:r>
        <w:rPr>
          <w:rFonts w:ascii="PT Astra Serif" w:hAnsi="PT Astra Serif"/>
          <w:sz w:val="24"/>
          <w:szCs w:val="24"/>
        </w:rPr>
        <w:t xml:space="preserve">–</w:t>
      </w:r>
      <w:r>
        <w:rPr>
          <w:rFonts w:ascii="PT Astra Serif" w:hAnsi="PT Astra Serif" w:eastAsia="Times New Roman"/>
          <w:sz w:val="24"/>
          <w:szCs w:val="24"/>
          <w:lang w:eastAsia="ru-RU"/>
        </w:rPr>
        <w:t xml:space="preserve"> на 8,5% (яйца куриные</w:t>
      </w:r>
      <w:r>
        <w:rPr>
          <w:rFonts w:ascii="PT Astra Serif" w:hAnsi="PT Astra Serif" w:cs="Arial"/>
          <w:sz w:val="24"/>
          <w:szCs w:val="24"/>
          <w:shd w:val="clear" w:color="auto" w:fill="f7f7f7"/>
        </w:rPr>
        <w:t xml:space="preserve"> </w:t>
      </w:r>
      <w:r>
        <w:rPr>
          <w:rFonts w:ascii="PT Astra Serif" w:hAnsi="PT Astra Serif" w:eastAsia="Times New Roman"/>
          <w:sz w:val="24"/>
          <w:szCs w:val="24"/>
          <w:lang w:eastAsia="ru-RU"/>
        </w:rPr>
        <w:t xml:space="preserve">(+50,1%), овощи (+37%), мясо птицы (+23,3%), услуги – рост на 9,0% (услуги воздушного транспорта (+42,9%). Цены на непродовольственные товары увеличились на 5,5% (легковые автомобили (+13,8%), бензин автомобильный (+7,4%).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right"/>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ind w:firstLine="709"/>
        <w:jc w:val="right"/>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eastAsia="Calibri"/>
          <w:sz w:val="24"/>
          <w:szCs w:val="24"/>
        </w:rPr>
        <w:t xml:space="preserve">Таблица 2</w:t>
      </w:r>
      <w:r>
        <w:rPr>
          <w:rFonts w:ascii="PT Astra Serif" w:hAnsi="PT Astra Serif" w:eastAsia="Calibri"/>
          <w:sz w:val="24"/>
          <w:szCs w:val="24"/>
        </w:rPr>
      </w:r>
      <w:r>
        <w:rPr>
          <w:rFonts w:ascii="PT Astra Serif" w:hAnsi="PT Astra Serif" w:eastAsia="Calibri"/>
          <w:sz w:val="24"/>
          <w:szCs w:val="24"/>
        </w:rPr>
      </w:r>
    </w:p>
    <w:p>
      <w:pPr>
        <w:ind w:firstLine="851"/>
        <w:jc w:val="center"/>
        <w:spacing w:after="0" w:line="240" w:lineRule="auto"/>
        <w:rPr>
          <w:rFonts w:ascii="PT Astra Serif" w:hAnsi="PT Astra Serif" w:cs="Octava"/>
          <w:sz w:val="24"/>
          <w:szCs w:val="24"/>
        </w:rPr>
      </w:pPr>
      <w:r>
        <w:rPr>
          <w:rFonts w:ascii="PT Astra Serif" w:hAnsi="PT Astra Serif" w:cs="Octava"/>
          <w:sz w:val="24"/>
          <w:szCs w:val="24"/>
        </w:rPr>
        <w:t xml:space="preserve">Индекс потребительских цен в Томской области</w:t>
      </w:r>
      <w:r>
        <w:rPr>
          <w:rFonts w:ascii="PT Astra Serif" w:hAnsi="PT Astra Serif" w:cs="Octava"/>
          <w:sz w:val="24"/>
          <w:szCs w:val="24"/>
        </w:rPr>
      </w:r>
      <w:r>
        <w:rPr>
          <w:rFonts w:ascii="PT Astra Serif" w:hAnsi="PT Astra Serif" w:cs="Octava"/>
          <w:sz w:val="24"/>
          <w:szCs w:val="24"/>
        </w:rPr>
      </w:r>
    </w:p>
    <w:p>
      <w:pPr>
        <w:ind w:firstLine="851"/>
        <w:jc w:val="center"/>
        <w:spacing w:after="0" w:line="240" w:lineRule="auto"/>
        <w:rPr>
          <w:rFonts w:ascii="PT Astra Serif" w:hAnsi="PT Astra Serif" w:cs="Octava"/>
          <w:sz w:val="24"/>
          <w:szCs w:val="24"/>
        </w:rPr>
      </w:pPr>
      <w:r>
        <w:rPr>
          <w:rFonts w:ascii="PT Astra Serif" w:hAnsi="PT Astra Serif" w:cs="Octava"/>
          <w:sz w:val="24"/>
          <w:szCs w:val="24"/>
        </w:rPr>
        <w:t xml:space="preserve">(в %, декабрь к декабрю предыдущего года)</w:t>
      </w:r>
      <w:r>
        <w:rPr>
          <w:rFonts w:ascii="PT Astra Serif" w:hAnsi="PT Astra Serif" w:cs="Octava"/>
          <w:sz w:val="24"/>
          <w:szCs w:val="24"/>
        </w:rPr>
      </w:r>
      <w:r>
        <w:rPr>
          <w:rFonts w:ascii="PT Astra Serif" w:hAnsi="PT Astra Serif" w:cs="Octava"/>
          <w:sz w:val="24"/>
          <w:szCs w:val="24"/>
        </w:rPr>
      </w:r>
    </w:p>
    <w:p>
      <w:pPr>
        <w:ind w:firstLine="851"/>
        <w:jc w:val="center"/>
        <w:spacing w:after="0" w:line="240" w:lineRule="auto"/>
        <w:rPr>
          <w:rFonts w:ascii="PT Astra Serif" w:hAnsi="PT Astra Serif" w:cs="Octava"/>
          <w:sz w:val="24"/>
          <w:szCs w:val="24"/>
        </w:rPr>
      </w:pPr>
      <w:r>
        <w:rPr>
          <w:rFonts w:ascii="PT Astra Serif" w:hAnsi="PT Astra Serif" w:cs="Octava"/>
          <w:sz w:val="24"/>
          <w:szCs w:val="24"/>
        </w:rPr>
      </w:r>
      <w:r>
        <w:rPr>
          <w:rFonts w:ascii="PT Astra Serif" w:hAnsi="PT Astra Serif" w:cs="Octava"/>
          <w:sz w:val="24"/>
          <w:szCs w:val="24"/>
        </w:rPr>
      </w:r>
      <w:r>
        <w:rPr>
          <w:rFonts w:ascii="PT Astra Serif" w:hAnsi="PT Astra Serif" w:cs="Octava"/>
          <w:sz w:val="24"/>
          <w:szCs w:val="24"/>
        </w:rPr>
      </w:r>
    </w:p>
    <w:tbl>
      <w:tblPr>
        <w:tblpPr w:horzAnchor="margin" w:tblpXSpec="center" w:vertAnchor="text" w:tblpY="103" w:leftFromText="180" w:topFromText="0" w:rightFromText="180" w:bottomFromText="200"/>
        <w:tblW w:w="3611" w:type="pct"/>
        <w:tblLook w:val="04A0" w:firstRow="1" w:lastRow="0" w:firstColumn="1" w:lastColumn="0" w:noHBand="0" w:noVBand="1"/>
      </w:tblPr>
      <w:tblGrid>
        <w:gridCol w:w="3569"/>
        <w:gridCol w:w="1066"/>
        <w:gridCol w:w="1069"/>
        <w:gridCol w:w="1208"/>
      </w:tblGrid>
      <w:tr>
        <w:tblPrEx/>
        <w:trPr>
          <w:trHeight w:val="64"/>
        </w:trPr>
        <w:tc>
          <w:tcPr>
            <w:tcBorders>
              <w:top w:val="single" w:color="auto" w:sz="4" w:space="0"/>
              <w:left w:val="single" w:color="auto" w:sz="4" w:space="0"/>
              <w:bottom w:val="single" w:color="auto" w:sz="4" w:space="0"/>
              <w:right w:val="single" w:color="auto" w:sz="4" w:space="0"/>
            </w:tcBorders>
            <w:tcW w:w="2582" w:type="pct"/>
            <w:vAlign w:val="center"/>
            <w:textDirection w:val="lrTb"/>
            <w:noWrap/>
          </w:tcPr>
          <w:p>
            <w:pPr>
              <w:jc w:val="cente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ИПЦ</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tcPr>
          <w:p>
            <w:pPr>
              <w:jc w:val="cente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2021</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tcPr>
          <w:p>
            <w:pPr>
              <w:jc w:val="cente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2022</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874" w:type="pct"/>
            <w:vAlign w:val="center"/>
            <w:textDirection w:val="lrTb"/>
            <w:noWrap w:val="false"/>
          </w:tcPr>
          <w:p>
            <w:pPr>
              <w:jc w:val="center"/>
              <w:spacing w:after="0" w:line="240" w:lineRule="auto"/>
              <w:rPr>
                <w:rFonts w:ascii="PT Astra Serif" w:hAnsi="PT Astra Serif"/>
                <w:sz w:val="24"/>
                <w:szCs w:val="24"/>
              </w:rPr>
            </w:pPr>
            <w:r>
              <w:rPr>
                <w:rFonts w:ascii="PT Astra Serif" w:hAnsi="PT Astra Serif"/>
                <w:sz w:val="24"/>
                <w:szCs w:val="24"/>
              </w:rPr>
              <w:t xml:space="preserve">2023</w:t>
            </w:r>
            <w:r>
              <w:rPr>
                <w:rFonts w:ascii="PT Astra Serif" w:hAnsi="PT Astra Serif"/>
                <w:sz w:val="24"/>
                <w:szCs w:val="24"/>
              </w:rPr>
            </w:r>
            <w:r>
              <w:rPr>
                <w:rFonts w:ascii="PT Astra Serif" w:hAnsi="PT Astra Serif"/>
                <w:sz w:val="24"/>
                <w:szCs w:val="24"/>
              </w:rPr>
            </w:r>
          </w:p>
        </w:tc>
      </w:tr>
      <w:tr>
        <w:tblPrEx/>
        <w:trPr>
          <w:trHeight w:val="64"/>
        </w:trPr>
        <w:tc>
          <w:tcPr>
            <w:shd w:val="clear" w:color="auto" w:fill="ffffff" w:themeFill="background1"/>
            <w:tcBorders>
              <w:top w:val="single" w:color="auto" w:sz="4" w:space="0"/>
              <w:left w:val="single" w:color="auto" w:sz="4" w:space="0"/>
              <w:bottom w:val="single" w:color="auto" w:sz="4" w:space="0"/>
              <w:right w:val="single" w:color="auto" w:sz="4" w:space="0"/>
            </w:tcBorders>
            <w:tcW w:w="2582" w:type="pct"/>
            <w:textDirection w:val="lrTb"/>
            <w:noWrap/>
          </w:tcPr>
          <w:p>
            <w:pPr>
              <w:spacing w:after="0" w:line="240" w:lineRule="auto"/>
              <w:rPr>
                <w:rFonts w:ascii="PT Astra Serif" w:hAnsi="PT Astra Serif" w:eastAsia="Times New Roman"/>
                <w:i/>
                <w:sz w:val="24"/>
                <w:szCs w:val="24"/>
                <w:lang w:eastAsia="ru-RU"/>
              </w:rPr>
            </w:pPr>
            <w:r>
              <w:rPr>
                <w:rFonts w:ascii="PT Astra Serif" w:hAnsi="PT Astra Serif" w:eastAsia="Times New Roman"/>
                <w:i/>
                <w:sz w:val="24"/>
                <w:szCs w:val="24"/>
                <w:lang w:eastAsia="ru-RU"/>
              </w:rPr>
              <w:t xml:space="preserve">Томская область</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771" w:type="pct"/>
            <w:textDirection w:val="lrTb"/>
            <w:noWrap/>
          </w:tcPr>
          <w:p>
            <w:pPr>
              <w:jc w:val="center"/>
              <w:spacing w:after="0" w:line="240" w:lineRule="auto"/>
              <w:rPr>
                <w:rFonts w:ascii="PT Astra Serif" w:hAnsi="PT Astra Serif" w:eastAsia="Times New Roman"/>
                <w:i/>
                <w:sz w:val="24"/>
                <w:szCs w:val="24"/>
                <w:lang w:eastAsia="ru-RU"/>
              </w:rPr>
            </w:pPr>
            <w:r>
              <w:rPr>
                <w:rFonts w:ascii="PT Astra Serif" w:hAnsi="PT Astra Serif" w:eastAsia="Times New Roman"/>
                <w:i/>
                <w:sz w:val="24"/>
                <w:szCs w:val="24"/>
                <w:lang w:eastAsia="ru-RU"/>
              </w:rPr>
              <w:t xml:space="preserve">107,5</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773" w:type="pct"/>
            <w:textDirection w:val="lrTb"/>
            <w:noWrap/>
          </w:tcPr>
          <w:p>
            <w:pPr>
              <w:jc w:val="center"/>
              <w:spacing w:after="0" w:line="240" w:lineRule="auto"/>
              <w:rPr>
                <w:rFonts w:ascii="PT Astra Serif" w:hAnsi="PT Astra Serif"/>
                <w:i/>
                <w:sz w:val="24"/>
                <w:szCs w:val="24"/>
              </w:rPr>
            </w:pPr>
            <w:r>
              <w:rPr>
                <w:rFonts w:ascii="PT Astra Serif" w:hAnsi="PT Astra Serif" w:eastAsia="Times New Roman"/>
                <w:i/>
                <w:sz w:val="24"/>
                <w:szCs w:val="24"/>
                <w:lang w:eastAsia="ru-RU"/>
              </w:rPr>
              <w:t xml:space="preserve">112,7</w:t>
            </w:r>
            <w:r>
              <w:rPr>
                <w:rFonts w:ascii="PT Astra Serif" w:hAnsi="PT Astra Serif"/>
                <w:i/>
                <w:sz w:val="24"/>
                <w:szCs w:val="24"/>
              </w:rPr>
            </w:r>
            <w:r>
              <w:rPr>
                <w:rFonts w:ascii="PT Astra Serif" w:hAnsi="PT Astra Serif"/>
                <w:i/>
                <w:sz w:val="24"/>
                <w:szCs w:val="24"/>
              </w:rP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874" w:type="pct"/>
            <w:textDirection w:val="lrTb"/>
            <w:noWrap w:val="false"/>
          </w:tcPr>
          <w:p>
            <w:pPr>
              <w:jc w:val="center"/>
              <w:spacing w:after="0" w:line="240" w:lineRule="auto"/>
              <w:rPr>
                <w:rFonts w:ascii="PT Astra Serif" w:hAnsi="PT Astra Serif"/>
                <w:i/>
                <w:sz w:val="24"/>
                <w:szCs w:val="24"/>
              </w:rPr>
            </w:pPr>
            <w:r>
              <w:rPr>
                <w:rFonts w:ascii="PT Astra Serif" w:hAnsi="PT Astra Serif" w:eastAsia="Times New Roman"/>
                <w:i/>
                <w:sz w:val="24"/>
                <w:szCs w:val="24"/>
                <w:lang w:eastAsia="ru-RU"/>
              </w:rPr>
              <w:t xml:space="preserve">107,6</w:t>
            </w:r>
            <w:r>
              <w:rPr>
                <w:rFonts w:ascii="PT Astra Serif" w:hAnsi="PT Astra Serif"/>
                <w:i/>
                <w:sz w:val="24"/>
                <w:szCs w:val="24"/>
              </w:rPr>
            </w:r>
            <w:r>
              <w:rPr>
                <w:rFonts w:ascii="PT Astra Serif" w:hAnsi="PT Astra Serif"/>
                <w:i/>
                <w:sz w:val="24"/>
                <w:szCs w:val="24"/>
              </w:rPr>
            </w:r>
          </w:p>
        </w:tc>
      </w:tr>
      <w:tr>
        <w:tblPrEx/>
        <w:trPr>
          <w:trHeight w:val="64"/>
        </w:trPr>
        <w:tc>
          <w:tcPr>
            <w:shd w:val="clear" w:color="auto" w:fill="ffffff" w:themeFill="background1"/>
            <w:tcBorders>
              <w:top w:val="single" w:color="auto" w:sz="4" w:space="0"/>
              <w:left w:val="single" w:color="auto" w:sz="4" w:space="0"/>
              <w:bottom w:val="single" w:color="auto" w:sz="4" w:space="0"/>
              <w:right w:val="single" w:color="auto" w:sz="4" w:space="0"/>
            </w:tcBorders>
            <w:tcW w:w="2582" w:type="pct"/>
            <w:textDirection w:val="lrTb"/>
            <w:noWrap/>
          </w:tcPr>
          <w:p>
            <w:pP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Продовольственные товары</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771" w:type="pct"/>
            <w:textDirection w:val="lrTb"/>
            <w:noWrap/>
          </w:tcPr>
          <w:p>
            <w:pPr>
              <w:jc w:val="cente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110,3</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773" w:type="pct"/>
            <w:textDirection w:val="lrTb"/>
            <w:noWrap/>
          </w:tcPr>
          <w:p>
            <w:pPr>
              <w:jc w:val="cente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109,5</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874" w:type="pct"/>
            <w:textDirection w:val="lrTb"/>
            <w:noWrap w:val="false"/>
          </w:tcPr>
          <w:p>
            <w:pPr>
              <w:jc w:val="cente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108,5</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r>
      <w:tr>
        <w:tblPrEx/>
        <w:trPr>
          <w:trHeight w:val="64"/>
        </w:trPr>
        <w:tc>
          <w:tcPr>
            <w:shd w:val="clear" w:color="auto" w:fill="ffffff" w:themeFill="background1"/>
            <w:tcBorders>
              <w:top w:val="single" w:color="auto" w:sz="4" w:space="0"/>
              <w:left w:val="single" w:color="auto" w:sz="4" w:space="0"/>
              <w:bottom w:val="single" w:color="auto" w:sz="4" w:space="0"/>
              <w:right w:val="single" w:color="auto" w:sz="4" w:space="0"/>
            </w:tcBorders>
            <w:tcW w:w="2582" w:type="pct"/>
            <w:textDirection w:val="lrTb"/>
            <w:noWrap/>
          </w:tcPr>
          <w:p>
            <w:pP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Непродовольственные товары</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771" w:type="pct"/>
            <w:textDirection w:val="lrTb"/>
            <w:noWrap/>
          </w:tcPr>
          <w:p>
            <w:pPr>
              <w:jc w:val="cente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107,3</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773" w:type="pct"/>
            <w:textDirection w:val="lrTb"/>
            <w:noWrap/>
          </w:tcPr>
          <w:p>
            <w:pPr>
              <w:jc w:val="cente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113,0</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874" w:type="pct"/>
            <w:textDirection w:val="lrTb"/>
            <w:noWrap w:val="false"/>
          </w:tcPr>
          <w:p>
            <w:pPr>
              <w:jc w:val="cente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105,5</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r>
      <w:tr>
        <w:tblPrEx/>
        <w:trPr>
          <w:trHeight w:val="64"/>
        </w:trPr>
        <w:tc>
          <w:tcPr>
            <w:shd w:val="clear" w:color="auto" w:fill="ffffff" w:themeFill="background1"/>
            <w:tcBorders>
              <w:top w:val="single" w:color="auto" w:sz="4" w:space="0"/>
              <w:left w:val="single" w:color="auto" w:sz="4" w:space="0"/>
              <w:bottom w:val="single" w:color="auto" w:sz="4" w:space="0"/>
              <w:right w:val="single" w:color="auto" w:sz="4" w:space="0"/>
            </w:tcBorders>
            <w:tcW w:w="2582" w:type="pct"/>
            <w:textDirection w:val="lrTb"/>
            <w:noWrap/>
          </w:tcPr>
          <w:p>
            <w:pP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Услуги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771" w:type="pct"/>
            <w:textDirection w:val="lrTb"/>
            <w:noWrap/>
          </w:tcPr>
          <w:p>
            <w:pPr>
              <w:jc w:val="cente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103,9</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773" w:type="pct"/>
            <w:textDirection w:val="lrTb"/>
            <w:noWrap/>
          </w:tcPr>
          <w:p>
            <w:pPr>
              <w:jc w:val="cente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116,9</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shd w:val="clear" w:color="auto" w:fill="d9d9d9" w:themeFill="background1" w:themeFillShade="D9"/>
            <w:tcBorders>
              <w:top w:val="single" w:color="auto" w:sz="4" w:space="0"/>
              <w:left w:val="single" w:color="auto" w:sz="4" w:space="0"/>
              <w:bottom w:val="single" w:color="auto" w:sz="4" w:space="0"/>
              <w:right w:val="single" w:color="auto" w:sz="4" w:space="0"/>
            </w:tcBorders>
            <w:tcW w:w="874" w:type="pct"/>
            <w:textDirection w:val="lrTb"/>
            <w:noWrap w:val="false"/>
          </w:tcPr>
          <w:p>
            <w:pPr>
              <w:jc w:val="cente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109,0</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r>
    </w:tbl>
    <w:p>
      <w:pPr>
        <w:jc w:val="both"/>
        <w:spacing w:after="0" w:line="240" w:lineRule="auto"/>
        <w:rPr>
          <w:rFonts w:ascii="PT Astra Serif" w:hAnsi="PT Astra Serif" w:cs="Times"/>
          <w:sz w:val="24"/>
          <w:szCs w:val="24"/>
        </w:rPr>
      </w:pPr>
      <w:r>
        <w:rPr>
          <w:rFonts w:ascii="PT Astra Serif" w:hAnsi="PT Astra Serif" w:cs="Times"/>
          <w:sz w:val="24"/>
          <w:szCs w:val="24"/>
        </w:rPr>
      </w:r>
      <w:r>
        <w:rPr>
          <w:rFonts w:ascii="PT Astra Serif" w:hAnsi="PT Astra Serif" w:cs="Times"/>
          <w:sz w:val="24"/>
          <w:szCs w:val="24"/>
        </w:rPr>
      </w:r>
      <w:r>
        <w:rPr>
          <w:rFonts w:ascii="PT Astra Serif" w:hAnsi="PT Astra Serif" w:cs="Times"/>
          <w:sz w:val="24"/>
          <w:szCs w:val="24"/>
        </w:rPr>
      </w:r>
    </w:p>
    <w:p>
      <w:pPr>
        <w:ind w:firstLine="426"/>
        <w:jc w:val="both"/>
        <w:spacing w:after="0" w:line="240" w:lineRule="auto"/>
        <w:tabs>
          <w:tab w:val="left" w:pos="7371" w:leader="none"/>
          <w:tab w:val="left" w:pos="751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426"/>
        <w:jc w:val="both"/>
        <w:spacing w:after="0" w:line="240" w:lineRule="auto"/>
        <w:tabs>
          <w:tab w:val="left" w:pos="7371" w:leader="none"/>
          <w:tab w:val="left" w:pos="751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426"/>
        <w:jc w:val="both"/>
        <w:spacing w:after="0" w:line="240" w:lineRule="auto"/>
        <w:tabs>
          <w:tab w:val="left" w:pos="7371" w:leader="none"/>
          <w:tab w:val="left" w:pos="751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426"/>
        <w:jc w:val="both"/>
        <w:spacing w:after="0" w:line="240" w:lineRule="auto"/>
        <w:tabs>
          <w:tab w:val="left" w:pos="7371" w:leader="none"/>
          <w:tab w:val="left" w:pos="751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426"/>
        <w:jc w:val="both"/>
        <w:spacing w:after="0" w:line="240" w:lineRule="auto"/>
        <w:tabs>
          <w:tab w:val="left" w:pos="7371" w:leader="none"/>
          <w:tab w:val="left" w:pos="751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7371" w:leader="none"/>
          <w:tab w:val="left" w:pos="751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7371" w:leader="none"/>
          <w:tab w:val="left" w:pos="751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2023 году ускорение инфляции связано с ростом издержек производителей и поставщиков на фоне ослабления рубля.</w:t>
      </w:r>
      <w:r>
        <w:rPr>
          <w:rFonts w:ascii="PT Astra Serif" w:hAnsi="PT Astra Serif"/>
          <w:sz w:val="24"/>
          <w:szCs w:val="24"/>
        </w:rPr>
        <w:t xml:space="preserve">  </w:t>
      </w:r>
      <w:r>
        <w:rPr>
          <w:rFonts w:ascii="PT Astra Serif" w:hAnsi="PT Astra Serif" w:eastAsia="Times New Roman"/>
          <w:sz w:val="24"/>
          <w:szCs w:val="24"/>
          <w:lang w:eastAsia="ru-RU"/>
        </w:rPr>
        <w:t xml:space="preserve">Эффект переноса возросших издержек бизнеса в цены наблюдался до конца 2023 года. Кроме того, влияние оказал рост потребительской активности населения, в том числе из-за повышенных инфляционных ожиданий.</w:t>
      </w:r>
      <w:r>
        <w:rPr>
          <w:rFonts w:ascii="PT Astra Serif" w:hAnsi="PT Astra Serif" w:eastAsia="Times New Roman"/>
          <w:strike/>
          <w:sz w:val="24"/>
          <w:szCs w:val="24"/>
          <w:lang w:eastAsia="ru-RU"/>
        </w:rPr>
        <w:t xml:space="preserve"> </w:t>
      </w:r>
      <w:r>
        <w:rPr>
          <w:rFonts w:ascii="PT Astra Serif" w:hAnsi="PT Astra Serif" w:eastAsia="Times New Roman"/>
          <w:sz w:val="24"/>
          <w:szCs w:val="24"/>
          <w:lang w:eastAsia="ru-RU"/>
        </w:rPr>
        <w:t xml:space="preserve"> Ужесточение государственной денежно-кредитной политики путем последовательного увеличения ключевой ставки (с 7,5% в январе до 16% в декабре 202</w:t>
      </w:r>
      <w:r>
        <w:rPr>
          <w:rFonts w:ascii="PT Astra Serif" w:hAnsi="PT Astra Serif" w:eastAsia="Times New Roman"/>
          <w:sz w:val="24"/>
          <w:szCs w:val="24"/>
          <w:lang w:eastAsia="ru-RU"/>
        </w:rPr>
        <w:t xml:space="preserve">3 года) способствовало</w:t>
      </w:r>
      <w:r>
        <w:rPr>
          <w:rFonts w:ascii="PT Astra Serif" w:hAnsi="PT Astra Serif" w:eastAsia="Times New Roman"/>
          <w:sz w:val="24"/>
          <w:szCs w:val="24"/>
          <w:lang w:eastAsia="ru-RU"/>
        </w:rPr>
        <w:t xml:space="preserve"> замедлению инфляции и стабилизации ценовой ситуации.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spacing w:after="0" w:line="240" w:lineRule="auto"/>
        <w:shd w:val="clear" w:color="auto" w:fill="eaf1dd" w:themeFill="accent3" w:themeFillTint="33"/>
        <w:tabs>
          <w:tab w:val="left" w:pos="567" w:leader="none"/>
          <w:tab w:val="left" w:pos="4962" w:leader="none"/>
        </w:tabs>
        <w:rPr>
          <w:rFonts w:ascii="PT Astra Serif" w:hAnsi="PT Astra Serif" w:eastAsia="Calibri"/>
          <w:b/>
          <w:sz w:val="24"/>
          <w:szCs w:val="24"/>
        </w:rPr>
      </w:pPr>
      <w:r>
        <w:rPr>
          <w:rFonts w:ascii="PT Astra Serif" w:hAnsi="PT Astra Serif" w:eastAsia="Calibri"/>
          <w:b/>
          <w:sz w:val="24"/>
          <w:szCs w:val="24"/>
        </w:rPr>
        <w:t xml:space="preserve">Демография</w:t>
      </w:r>
      <w:r>
        <w:rPr>
          <w:rFonts w:ascii="PT Astra Serif" w:hAnsi="PT Astra Serif" w:eastAsia="Calibri"/>
          <w:b/>
          <w:sz w:val="24"/>
          <w:szCs w:val="24"/>
        </w:rPr>
      </w:r>
      <w:r>
        <w:rPr>
          <w:rFonts w:ascii="PT Astra Serif" w:hAnsi="PT Astra Serif" w:eastAsia="Calibri"/>
          <w:b/>
          <w:sz w:val="24"/>
          <w:szCs w:val="24"/>
        </w:rPr>
      </w:r>
    </w:p>
    <w:p>
      <w:pPr>
        <w:ind w:firstLine="709"/>
        <w:jc w:val="both"/>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eastAsia="Calibri"/>
          <w:sz w:val="24"/>
          <w:szCs w:val="24"/>
        </w:rPr>
        <w:t xml:space="preserve">Численность населения в Томской области на 1 января 2024 года составила 1 043,4 тыс. человек, в том числе 742,5 тыс. человек (71,2%) </w:t>
      </w:r>
      <w:r>
        <w:rPr>
          <w:rFonts w:ascii="PT Astra Serif" w:hAnsi="PT Astra Serif"/>
          <w:sz w:val="24"/>
          <w:szCs w:val="24"/>
        </w:rPr>
        <w:t xml:space="preserve">–</w:t>
      </w:r>
      <w:r>
        <w:rPr>
          <w:rFonts w:ascii="PT Astra Serif" w:hAnsi="PT Astra Serif" w:eastAsia="Calibri"/>
          <w:sz w:val="24"/>
          <w:szCs w:val="24"/>
        </w:rPr>
        <w:t xml:space="preserve"> городское население, 300,9 тыс. человек (28,8%) </w:t>
      </w:r>
      <w:r>
        <w:rPr>
          <w:rFonts w:ascii="PT Astra Serif" w:hAnsi="PT Astra Serif"/>
          <w:sz w:val="24"/>
          <w:szCs w:val="24"/>
        </w:rPr>
        <w:t xml:space="preserve">–</w:t>
      </w:r>
      <w:r>
        <w:rPr>
          <w:rFonts w:ascii="PT Astra Serif" w:hAnsi="PT Astra Serif" w:eastAsia="Calibri"/>
          <w:sz w:val="24"/>
          <w:szCs w:val="24"/>
        </w:rPr>
        <w:t xml:space="preserve"> сельское население.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eastAsia="Calibri"/>
          <w:sz w:val="24"/>
          <w:szCs w:val="24"/>
        </w:rPr>
        <w:t xml:space="preserve">Среднегодовая численность за 2023 год составила 1 047,7 тыс. человек, в том числе 746,2 тыс. человек - городское (71,2%), 301,5 тыс. человек – сельское (28,8%) население.</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eastAsia="Calibri"/>
          <w:sz w:val="24"/>
          <w:szCs w:val="24"/>
        </w:rPr>
        <w:t xml:space="preserve">По численности населения Томская область занимает 7-е место в СФО, по Российской Федерации </w:t>
      </w:r>
      <w:r>
        <w:rPr>
          <w:rFonts w:ascii="PT Astra Serif" w:hAnsi="PT Astra Serif" w:eastAsia="Calibri"/>
          <w:sz w:val="24"/>
          <w:szCs w:val="24"/>
        </w:rPr>
        <w:t xml:space="preserve">– </w:t>
      </w:r>
      <w:r>
        <w:rPr>
          <w:rFonts w:ascii="PT Astra Serif" w:hAnsi="PT Astra Serif" w:eastAsia="Calibri"/>
          <w:sz w:val="24"/>
          <w:szCs w:val="24"/>
        </w:rPr>
        <w:t xml:space="preserve">49-е место.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eastAsia="Calibri"/>
          <w:sz w:val="24"/>
          <w:szCs w:val="24"/>
        </w:rPr>
        <w:t xml:space="preserve">По данным Томскстата, демографическая ситуация в 2023 году характеризуется сокращением численности населения на 8,7 тыс. человек за счет </w:t>
      </w:r>
      <w:r>
        <w:rPr>
          <w:rFonts w:ascii="PT Astra Serif" w:hAnsi="PT Astra Serif" w:eastAsia="Calibri"/>
          <w:sz w:val="24"/>
          <w:szCs w:val="24"/>
        </w:rPr>
        <w:t xml:space="preserve">естественной (-3,8)</w:t>
      </w:r>
      <w:r>
        <w:rPr>
          <w:rFonts w:ascii="PT Astra Serif" w:hAnsi="PT Astra Serif" w:eastAsia="Calibri"/>
          <w:sz w:val="24"/>
          <w:szCs w:val="24"/>
        </w:rPr>
        <w:t xml:space="preserve"> </w:t>
      </w:r>
      <w:r>
        <w:rPr>
          <w:rFonts w:ascii="PT Astra Serif" w:hAnsi="PT Astra Serif" w:eastAsia="Calibri"/>
          <w:sz w:val="24"/>
          <w:szCs w:val="24"/>
        </w:rPr>
        <w:t xml:space="preserve">тыс. человек и миграционной убыли (-4,9) тыс. человек населения Томской области</w:t>
      </w:r>
      <w:r>
        <w:rPr>
          <w:rFonts w:ascii="PT Astra Serif" w:hAnsi="PT Astra Serif" w:eastAsia="Calibri"/>
          <w:sz w:val="24"/>
          <w:szCs w:val="24"/>
        </w:rPr>
        <w:t xml:space="preserve">, что подтверждает общероссийские тенденции депопуляции населения.</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eastAsia="Calibri"/>
          <w:sz w:val="24"/>
          <w:szCs w:val="24"/>
        </w:rPr>
        <w:t xml:space="preserve">Сокращение населения характерно для всех муниципальных образований за исключением Томского района.</w:t>
      </w:r>
      <w:r>
        <w:rPr>
          <w:rFonts w:ascii="PT Astra Serif" w:hAnsi="PT Astra Serif" w:eastAsia="Calibri"/>
          <w:sz w:val="24"/>
          <w:szCs w:val="24"/>
        </w:rPr>
      </w:r>
      <w:r>
        <w:rPr>
          <w:rFonts w:ascii="PT Astra Serif" w:hAnsi="PT Astra Serif" w:eastAsia="Calibri"/>
          <w:sz w:val="24"/>
          <w:szCs w:val="24"/>
        </w:rPr>
      </w:r>
    </w:p>
    <w:p>
      <w:pPr>
        <w:jc w:val="center"/>
        <w:spacing w:after="0" w:line="240" w:lineRule="auto"/>
        <w:tabs>
          <w:tab w:val="left" w:pos="567" w:leader="none"/>
          <w:tab w:val="left" w:pos="4962" w:leader="none"/>
        </w:tabs>
        <w:rPr>
          <w:rFonts w:ascii="PT Astra Serif" w:hAnsi="PT Astra Serif" w:eastAsia="Calibri"/>
          <w:b/>
          <w:sz w:val="24"/>
          <w:szCs w:val="24"/>
        </w:rPr>
        <w:pBdr>
          <w:top w:val="single" w:color="00B050" w:sz="4" w:space="0"/>
          <w:left w:val="single" w:color="00B050" w:sz="4" w:space="4"/>
          <w:bottom w:val="single" w:color="00B050" w:sz="4" w:space="1"/>
          <w:right w:val="single" w:color="00B050" w:sz="4" w:space="4"/>
        </w:pBdr>
      </w:pPr>
      <w:r>
        <w:rPr>
          <w:rFonts w:ascii="PT Astra Serif" w:hAnsi="PT Astra Serif" w:eastAsia="Calibri"/>
          <w:b/>
          <w:sz w:val="24"/>
          <w:szCs w:val="24"/>
        </w:rPr>
        <w:t xml:space="preserve">Продолжительность жизни населения Томской области</w:t>
      </w:r>
      <w:r>
        <w:rPr>
          <w:rFonts w:ascii="PT Astra Serif" w:hAnsi="PT Astra Serif" w:eastAsia="Calibri"/>
          <w:b/>
          <w:sz w:val="24"/>
          <w:szCs w:val="24"/>
        </w:rPr>
      </w:r>
      <w:r>
        <w:rPr>
          <w:rFonts w:ascii="PT Astra Serif" w:hAnsi="PT Astra Serif" w:eastAsia="Calibri"/>
          <w:b/>
          <w:sz w:val="24"/>
          <w:szCs w:val="24"/>
        </w:rPr>
      </w:r>
    </w:p>
    <w:p>
      <w:pPr>
        <w:jc w:val="center"/>
        <w:spacing w:after="0" w:line="240" w:lineRule="auto"/>
        <w:tabs>
          <w:tab w:val="left" w:pos="567" w:leader="none"/>
          <w:tab w:val="left" w:pos="4962" w:leader="none"/>
        </w:tabs>
        <w:rPr>
          <w:rFonts w:ascii="PT Astra Serif" w:hAnsi="PT Astra Serif" w:eastAsia="Calibri"/>
          <w:b/>
          <w:sz w:val="24"/>
          <w:szCs w:val="24"/>
        </w:rPr>
        <w:pBdr>
          <w:top w:val="single" w:color="00B050" w:sz="4" w:space="0"/>
          <w:left w:val="single" w:color="00B050" w:sz="4" w:space="4"/>
          <w:bottom w:val="single" w:color="00B050" w:sz="4" w:space="1"/>
          <w:right w:val="single" w:color="00B050" w:sz="4" w:space="4"/>
        </w:pBdr>
      </w:pPr>
      <w:r>
        <w:rPr>
          <w:rFonts w:ascii="PT Astra Serif" w:hAnsi="PT Astra Serif" w:eastAsia="Calibri"/>
          <w:b/>
          <w:sz w:val="24"/>
          <w:szCs w:val="24"/>
        </w:rPr>
        <w:t xml:space="preserve">по предварительным итогам в 2023 году</w:t>
      </w:r>
      <w:r>
        <w:rPr>
          <w:rFonts w:ascii="PT Astra Serif" w:hAnsi="PT Astra Serif" w:eastAsia="Calibri"/>
          <w:b/>
          <w:sz w:val="24"/>
          <w:szCs w:val="24"/>
        </w:rPr>
      </w:r>
      <w:r>
        <w:rPr>
          <w:rFonts w:ascii="PT Astra Serif" w:hAnsi="PT Astra Serif" w:eastAsia="Calibri"/>
          <w:b/>
          <w:sz w:val="24"/>
          <w:szCs w:val="24"/>
        </w:rPr>
      </w:r>
    </w:p>
    <w:p>
      <w:pPr>
        <w:jc w:val="center"/>
        <w:spacing w:after="0" w:line="240" w:lineRule="auto"/>
        <w:tabs>
          <w:tab w:val="left" w:pos="567" w:leader="none"/>
          <w:tab w:val="left" w:pos="4962" w:leader="none"/>
        </w:tabs>
        <w:rPr>
          <w:rFonts w:ascii="PT Astra Serif" w:hAnsi="PT Astra Serif" w:eastAsia="Calibri"/>
          <w:b/>
          <w:sz w:val="24"/>
          <w:szCs w:val="24"/>
        </w:rPr>
        <w:pBdr>
          <w:top w:val="single" w:color="00B050" w:sz="4" w:space="0"/>
          <w:left w:val="single" w:color="00B050" w:sz="4" w:space="4"/>
          <w:bottom w:val="single" w:color="00B050" w:sz="4" w:space="1"/>
          <w:right w:val="single" w:color="00B050" w:sz="4" w:space="4"/>
        </w:pBdr>
      </w:pPr>
      <w:r>
        <w:rPr>
          <w:rFonts w:ascii="PT Astra Serif" w:hAnsi="PT Astra Serif" w:eastAsia="Calibri"/>
          <w:b/>
          <w:sz w:val="24"/>
          <w:szCs w:val="24"/>
        </w:rPr>
        <w:t xml:space="preserve">повысилась до 73,05 года, СФО – 71,05 года, РФ </w:t>
      </w:r>
      <w:r>
        <w:rPr>
          <w:rFonts w:ascii="PT Astra Serif" w:hAnsi="PT Astra Serif"/>
          <w:b/>
          <w:sz w:val="24"/>
          <w:szCs w:val="24"/>
        </w:rPr>
        <w:t xml:space="preserve">–</w:t>
      </w:r>
      <w:r>
        <w:rPr>
          <w:rFonts w:ascii="PT Astra Serif" w:hAnsi="PT Astra Serif" w:eastAsia="Calibri"/>
          <w:b/>
          <w:sz w:val="24"/>
          <w:szCs w:val="24"/>
        </w:rPr>
        <w:t xml:space="preserve"> 73,41 года</w:t>
      </w:r>
      <w:r>
        <w:rPr>
          <w:rFonts w:ascii="PT Astra Serif" w:hAnsi="PT Astra Serif" w:eastAsia="Calibri"/>
          <w:b/>
          <w:sz w:val="24"/>
          <w:szCs w:val="24"/>
        </w:rPr>
      </w:r>
      <w:r>
        <w:rPr>
          <w:rFonts w:ascii="PT Astra Serif" w:hAnsi="PT Astra Serif" w:eastAsia="Calibri"/>
          <w:b/>
          <w:sz w:val="24"/>
          <w:szCs w:val="24"/>
        </w:rPr>
      </w:r>
    </w:p>
    <w:p>
      <w:pPr>
        <w:ind w:firstLine="709"/>
        <w:jc w:val="both"/>
        <w:spacing w:after="0" w:line="240" w:lineRule="auto"/>
        <w:tabs>
          <w:tab w:val="center" w:pos="-1080" w:leader="none"/>
          <w:tab w:val="left" w:pos="1605" w:leader="none"/>
        </w:tabs>
        <w:rPr>
          <w:rFonts w:ascii="PT Astra Serif" w:hAnsi="PT Astra Serif" w:eastAsia="PT Astra Serif"/>
          <w:sz w:val="24"/>
          <w:szCs w:val="24"/>
        </w:rPr>
      </w:pPr>
      <w:r>
        <w:rPr>
          <w:rFonts w:ascii="PT Astra Serif" w:hAnsi="PT Astra Serif" w:eastAsia="PT Astra Serif"/>
          <w:sz w:val="24"/>
          <w:szCs w:val="24"/>
        </w:rPr>
        <w:t xml:space="preserve">За 2023 год родилось 8,1 тыс. детей или 7,7‰ (на 1 000 населения). Томская область занимает 7-е место в СФО по рождаемости по итогам 2023 года.</w:t>
      </w:r>
      <w:r>
        <w:rPr>
          <w:rFonts w:ascii="PT Astra Serif" w:hAnsi="PT Astra Serif" w:eastAsia="PT Astra Serif"/>
          <w:sz w:val="24"/>
          <w:szCs w:val="24"/>
        </w:rPr>
      </w:r>
      <w:r>
        <w:rPr>
          <w:rFonts w:ascii="PT Astra Serif" w:hAnsi="PT Astra Serif" w:eastAsia="PT Astra Serif"/>
          <w:sz w:val="24"/>
          <w:szCs w:val="24"/>
        </w:rPr>
      </w:r>
    </w:p>
    <w:p>
      <w:pPr>
        <w:ind w:firstLine="709"/>
        <w:jc w:val="both"/>
        <w:spacing w:after="0" w:line="240" w:lineRule="auto"/>
        <w:tabs>
          <w:tab w:val="center" w:pos="-1080" w:leader="none"/>
          <w:tab w:val="left" w:pos="1605" w:leader="none"/>
        </w:tabs>
        <w:rPr>
          <w:rFonts w:ascii="PT Astra Serif" w:hAnsi="PT Astra Serif" w:eastAsia="Calibri"/>
          <w:sz w:val="24"/>
          <w:szCs w:val="24"/>
        </w:rPr>
      </w:pPr>
      <w:r>
        <w:rPr>
          <w:rFonts w:ascii="PT Astra Serif" w:hAnsi="PT Astra Serif" w:eastAsia="Times New Roman"/>
          <w:sz w:val="24"/>
          <w:szCs w:val="24"/>
          <w:lang w:eastAsia="ru-RU"/>
        </w:rPr>
        <w:t xml:space="preserve">В регионе фиксируются стабильно низкие показатели смертности, что сдерживает процесс естественной убыли населения.</w:t>
      </w:r>
      <w:r>
        <w:rPr>
          <w:rFonts w:ascii="PT Astra Serif" w:hAnsi="PT Astra Serif" w:eastAsia="PT Astra Serif"/>
          <w:sz w:val="24"/>
          <w:szCs w:val="24"/>
        </w:rPr>
        <w:t xml:space="preserve"> Число умерших в 2023 году составило 11,9 тыс. человек или 11,3‰ (на 1 000 населения)</w:t>
      </w:r>
      <w:r>
        <w:rPr>
          <w:rFonts w:ascii="PT Astra Serif" w:hAnsi="PT Astra Serif" w:eastAsia="Times New Roman"/>
          <w:sz w:val="24"/>
          <w:szCs w:val="24"/>
          <w:lang w:eastAsia="ru-RU"/>
        </w:rPr>
        <w:t xml:space="preserve">, </w:t>
      </w:r>
      <w:r>
        <w:rPr>
          <w:rFonts w:ascii="PT Astra Serif" w:hAnsi="PT Astra Serif" w:eastAsia="PT Astra Serif"/>
          <w:sz w:val="24"/>
          <w:szCs w:val="24"/>
        </w:rPr>
        <w:t xml:space="preserve">что ниже общероссийских показателей – 12 ‰ (на 1 000 населения). Основными причинами смертности являются сердечно-сосудистые заболевания и новообразования.</w:t>
      </w:r>
      <w:r>
        <w:rPr>
          <w:rFonts w:ascii="PT Astra Serif" w:hAnsi="PT Astra Serif" w:eastAsia="Calibri"/>
          <w:sz w:val="24"/>
          <w:szCs w:val="24"/>
        </w:rPr>
      </w:r>
      <w:r>
        <w:rPr>
          <w:rFonts w:ascii="PT Astra Serif" w:hAnsi="PT Astra Serif" w:eastAsia="Calibri"/>
          <w:sz w:val="24"/>
          <w:szCs w:val="24"/>
        </w:rPr>
      </w:r>
    </w:p>
    <w:p>
      <w:pPr>
        <w:ind w:firstLine="709"/>
        <w:jc w:val="right"/>
        <w:spacing w:after="0" w:line="240" w:lineRule="auto"/>
        <w:tabs>
          <w:tab w:val="center" w:pos="-1080" w:leader="none"/>
          <w:tab w:val="left" w:pos="1605" w:leader="none"/>
        </w:tabs>
        <w:rPr>
          <w:rFonts w:ascii="PT Astra Serif" w:hAnsi="PT Astra Serif" w:eastAsia="PT Astra Serif"/>
          <w:sz w:val="24"/>
          <w:szCs w:val="24"/>
        </w:rPr>
      </w:pPr>
      <w:r>
        <w:rPr>
          <w:rFonts w:ascii="PT Astra Serif" w:hAnsi="PT Astra Serif" w:eastAsia="PT Astra Serif"/>
          <w:sz w:val="24"/>
          <w:szCs w:val="24"/>
        </w:rPr>
      </w:r>
      <w:r>
        <w:rPr>
          <w:rFonts w:ascii="PT Astra Serif" w:hAnsi="PT Astra Serif" w:eastAsia="PT Astra Serif"/>
          <w:sz w:val="24"/>
          <w:szCs w:val="24"/>
        </w:rPr>
      </w:r>
      <w:r>
        <w:rPr>
          <w:rFonts w:ascii="PT Astra Serif" w:hAnsi="PT Astra Serif" w:eastAsia="PT Astra Serif"/>
          <w:sz w:val="24"/>
          <w:szCs w:val="24"/>
        </w:rPr>
      </w:r>
    </w:p>
    <w:p>
      <w:pPr>
        <w:ind w:firstLine="709"/>
        <w:jc w:val="right"/>
        <w:spacing w:after="0" w:line="240" w:lineRule="auto"/>
        <w:tabs>
          <w:tab w:val="center" w:pos="-1080" w:leader="none"/>
          <w:tab w:val="left" w:pos="1605" w:leader="none"/>
        </w:tabs>
        <w:rPr>
          <w:rFonts w:ascii="PT Astra Serif" w:hAnsi="PT Astra Serif" w:eastAsia="PT Astra Serif"/>
          <w:sz w:val="24"/>
          <w:szCs w:val="24"/>
        </w:rPr>
      </w:pPr>
      <w:r>
        <w:rPr>
          <w:rFonts w:ascii="PT Astra Serif" w:hAnsi="PT Astra Serif" w:eastAsia="PT Astra Serif"/>
          <w:sz w:val="24"/>
          <w:szCs w:val="24"/>
        </w:rPr>
        <w:t xml:space="preserve">Таблица 3</w:t>
      </w:r>
      <w:r>
        <w:rPr>
          <w:rFonts w:ascii="PT Astra Serif" w:hAnsi="PT Astra Serif" w:eastAsia="PT Astra Serif"/>
          <w:sz w:val="24"/>
          <w:szCs w:val="24"/>
        </w:rPr>
      </w:r>
      <w:r>
        <w:rPr>
          <w:rFonts w:ascii="PT Astra Serif" w:hAnsi="PT Astra Serif" w:eastAsia="PT Astra Serif"/>
          <w:sz w:val="24"/>
          <w:szCs w:val="24"/>
        </w:rPr>
      </w:r>
    </w:p>
    <w:p>
      <w:pPr>
        <w:ind w:firstLine="709"/>
        <w:jc w:val="center"/>
        <w:spacing w:after="0" w:line="240" w:lineRule="auto"/>
        <w:tabs>
          <w:tab w:val="center" w:pos="-1080" w:leader="none"/>
          <w:tab w:val="left" w:pos="1605" w:leader="none"/>
        </w:tabs>
        <w:rPr>
          <w:rFonts w:ascii="PT Astra Serif" w:hAnsi="PT Astra Serif" w:eastAsia="PT Astra Serif"/>
          <w:sz w:val="24"/>
          <w:szCs w:val="24"/>
        </w:rPr>
      </w:pPr>
      <w:r>
        <w:rPr>
          <w:rFonts w:ascii="PT Astra Serif" w:hAnsi="PT Astra Serif" w:eastAsia="PT Astra Serif"/>
          <w:sz w:val="24"/>
          <w:szCs w:val="24"/>
        </w:rPr>
        <w:t xml:space="preserve">Естественная убыль населения Томской области</w:t>
      </w:r>
      <w:r>
        <w:rPr>
          <w:rFonts w:ascii="PT Astra Serif" w:hAnsi="PT Astra Serif" w:eastAsia="PT Astra Serif"/>
          <w:sz w:val="24"/>
          <w:szCs w:val="24"/>
        </w:rPr>
      </w:r>
      <w:r>
        <w:rPr>
          <w:rFonts w:ascii="PT Astra Serif" w:hAnsi="PT Astra Serif" w:eastAsia="PT Astra Serif"/>
          <w:sz w:val="24"/>
          <w:szCs w:val="24"/>
        </w:rPr>
      </w:r>
    </w:p>
    <w:p>
      <w:pPr>
        <w:ind w:firstLine="709"/>
        <w:jc w:val="right"/>
        <w:spacing w:after="0" w:line="240" w:lineRule="auto"/>
        <w:tabs>
          <w:tab w:val="center" w:pos="-1080" w:leader="none"/>
          <w:tab w:val="left" w:pos="1605" w:leader="none"/>
        </w:tabs>
        <w:rPr>
          <w:rFonts w:ascii="PT Astra Serif" w:hAnsi="PT Astra Serif" w:eastAsia="PT Astra Serif"/>
          <w:sz w:val="24"/>
          <w:szCs w:val="24"/>
        </w:rPr>
      </w:pPr>
      <w:r>
        <w:rPr>
          <w:rFonts w:ascii="PT Astra Serif" w:hAnsi="PT Astra Serif" w:eastAsia="PT Astra Serif"/>
          <w:sz w:val="24"/>
          <w:szCs w:val="24"/>
        </w:rPr>
      </w:r>
      <w:r>
        <w:rPr>
          <w:rFonts w:ascii="PT Astra Serif" w:hAnsi="PT Astra Serif" w:eastAsia="PT Astra Serif"/>
          <w:sz w:val="24"/>
          <w:szCs w:val="24"/>
        </w:rPr>
      </w:r>
      <w:r>
        <w:rPr>
          <w:rFonts w:ascii="PT Astra Serif" w:hAnsi="PT Astra Serif" w:eastAsia="PT Astra Serif"/>
          <w:sz w:val="24"/>
          <w:szCs w:val="24"/>
        </w:rPr>
      </w:r>
    </w:p>
    <w:tbl>
      <w:tblPr>
        <w:tblStyle w:val="1141"/>
        <w:tblpPr w:horzAnchor="margin" w:tblpXSpec="left" w:vertAnchor="text" w:tblpY="-35" w:leftFromText="180" w:topFromText="0" w:rightFromText="180" w:bottomFromText="0"/>
        <w:tblW w:w="9606" w:type="dxa"/>
        <w:tblLook w:val="04A0" w:firstRow="1" w:lastRow="0" w:firstColumn="1" w:lastColumn="0" w:noHBand="0" w:noVBand="1"/>
      </w:tblPr>
      <w:tblGrid>
        <w:gridCol w:w="3440"/>
        <w:gridCol w:w="3047"/>
        <w:gridCol w:w="3119"/>
      </w:tblGrid>
      <w:tr>
        <w:tblPrEx/>
        <w:trPr>
          <w:trHeight w:val="803"/>
        </w:trPr>
        <w:tc>
          <w:tcPr>
            <w:tcW w:w="3440" w:type="dxa"/>
            <w:textDirection w:val="lrTb"/>
            <w:noWrap w:val="false"/>
          </w:tcPr>
          <w:p>
            <w:pPr>
              <w:jc w:val="center"/>
              <w:rPr>
                <w:rFonts w:ascii="PT Astra Serif" w:hAnsi="PT Astra Serif" w:eastAsia="PT Astra Serif"/>
                <w:sz w:val="24"/>
                <w:szCs w:val="24"/>
              </w:rPr>
            </w:pPr>
            <w:r>
              <w:rPr>
                <w:rFonts w:ascii="PT Astra Serif" w:hAnsi="PT Astra Serif" w:eastAsia="PT Astra Serif"/>
                <w:sz w:val="24"/>
                <w:szCs w:val="24"/>
              </w:rPr>
              <w:t xml:space="preserve">Коэффициент</w:t>
            </w:r>
            <w:r>
              <w:rPr>
                <w:rFonts w:ascii="PT Astra Serif" w:hAnsi="PT Astra Serif" w:eastAsia="PT Astra Serif"/>
                <w:sz w:val="24"/>
                <w:szCs w:val="24"/>
              </w:rPr>
            </w:r>
            <w:r>
              <w:rPr>
                <w:rFonts w:ascii="PT Astra Serif" w:hAnsi="PT Astra Serif" w:eastAsia="PT Astra Serif"/>
                <w:sz w:val="24"/>
                <w:szCs w:val="24"/>
              </w:rPr>
            </w:r>
          </w:p>
          <w:p>
            <w:pPr>
              <w:jc w:val="center"/>
              <w:rPr>
                <w:rFonts w:ascii="PT Astra Serif" w:hAnsi="PT Astra Serif" w:eastAsia="PT Astra Serif"/>
                <w:sz w:val="24"/>
                <w:szCs w:val="24"/>
              </w:rPr>
            </w:pPr>
            <w:r>
              <w:rPr>
                <w:rFonts w:ascii="PT Astra Serif" w:hAnsi="PT Astra Serif" w:eastAsia="PT Astra Serif"/>
                <w:sz w:val="24"/>
                <w:szCs w:val="24"/>
              </w:rPr>
              <w:t xml:space="preserve"> естественной убыли </w:t>
            </w:r>
            <w:r>
              <w:rPr>
                <w:rFonts w:ascii="PT Astra Serif" w:hAnsi="PT Astra Serif" w:eastAsia="PT Astra Serif"/>
                <w:sz w:val="24"/>
                <w:szCs w:val="24"/>
              </w:rPr>
            </w:r>
            <w:r>
              <w:rPr>
                <w:rFonts w:ascii="PT Astra Serif" w:hAnsi="PT Astra Serif" w:eastAsia="PT Astra Serif"/>
                <w:sz w:val="24"/>
                <w:szCs w:val="24"/>
              </w:rPr>
            </w:r>
          </w:p>
          <w:p>
            <w:pPr>
              <w:jc w:val="center"/>
              <w:rPr>
                <w:rFonts w:ascii="PT Astra Serif" w:hAnsi="PT Astra Serif" w:eastAsia="PT Astra Serif"/>
                <w:bCs/>
                <w:sz w:val="24"/>
                <w:szCs w:val="24"/>
              </w:rPr>
            </w:pPr>
            <w:r>
              <w:rPr>
                <w:rFonts w:ascii="PT Astra Serif" w:hAnsi="PT Astra Serif" w:eastAsia="PT Astra Serif"/>
                <w:sz w:val="24"/>
                <w:szCs w:val="24"/>
              </w:rPr>
              <w:t xml:space="preserve">на 1000 человек, ‰</w:t>
            </w:r>
            <w:r>
              <w:rPr>
                <w:rFonts w:ascii="PT Astra Serif" w:hAnsi="PT Astra Serif" w:eastAsia="PT Astra Serif"/>
                <w:bCs/>
                <w:sz w:val="24"/>
                <w:szCs w:val="24"/>
              </w:rPr>
            </w:r>
            <w:r>
              <w:rPr>
                <w:rFonts w:ascii="PT Astra Serif" w:hAnsi="PT Astra Serif" w:eastAsia="PT Astra Serif"/>
                <w:bCs/>
                <w:sz w:val="24"/>
                <w:szCs w:val="24"/>
              </w:rPr>
            </w:r>
          </w:p>
        </w:tc>
        <w:tc>
          <w:tcPr>
            <w:tcW w:w="3047" w:type="dxa"/>
            <w:textDirection w:val="lrTb"/>
            <w:noWrap w:val="false"/>
          </w:tcPr>
          <w:p>
            <w:pPr>
              <w:jc w:val="center"/>
              <w:rPr>
                <w:rFonts w:ascii="PT Astra Serif" w:hAnsi="PT Astra Serif" w:eastAsia="PT Astra Serif"/>
                <w:sz w:val="24"/>
                <w:szCs w:val="24"/>
              </w:rPr>
            </w:pPr>
            <w:r>
              <w:rPr>
                <w:rFonts w:ascii="PT Astra Serif" w:hAnsi="PT Astra Serif" w:eastAsia="PT Astra Serif"/>
                <w:sz w:val="24"/>
                <w:szCs w:val="24"/>
              </w:rPr>
              <w:t xml:space="preserve">Коэффициент рождаемости </w:t>
            </w:r>
            <w:r>
              <w:rPr>
                <w:rFonts w:ascii="PT Astra Serif" w:hAnsi="PT Astra Serif" w:eastAsia="PT Astra Serif"/>
                <w:sz w:val="24"/>
                <w:szCs w:val="24"/>
              </w:rPr>
            </w:r>
            <w:r>
              <w:rPr>
                <w:rFonts w:ascii="PT Astra Serif" w:hAnsi="PT Astra Serif" w:eastAsia="PT Astra Serif"/>
                <w:sz w:val="24"/>
                <w:szCs w:val="24"/>
              </w:rPr>
            </w:r>
          </w:p>
          <w:p>
            <w:pPr>
              <w:jc w:val="center"/>
              <w:rPr>
                <w:rFonts w:ascii="PT Astra Serif" w:hAnsi="PT Astra Serif" w:eastAsia="PT Astra Serif"/>
                <w:bCs/>
                <w:sz w:val="24"/>
                <w:szCs w:val="24"/>
              </w:rPr>
            </w:pPr>
            <w:r>
              <w:rPr>
                <w:rFonts w:ascii="PT Astra Serif" w:hAnsi="PT Astra Serif" w:eastAsia="PT Astra Serif"/>
                <w:sz w:val="24"/>
                <w:szCs w:val="24"/>
              </w:rPr>
              <w:t xml:space="preserve">на 1000 человек, ‰</w:t>
            </w:r>
            <w:r>
              <w:rPr>
                <w:rFonts w:ascii="PT Astra Serif" w:hAnsi="PT Astra Serif" w:eastAsia="PT Astra Serif"/>
                <w:bCs/>
                <w:sz w:val="24"/>
                <w:szCs w:val="24"/>
              </w:rPr>
            </w:r>
            <w:r>
              <w:rPr>
                <w:rFonts w:ascii="PT Astra Serif" w:hAnsi="PT Astra Serif" w:eastAsia="PT Astra Serif"/>
                <w:bCs/>
                <w:sz w:val="24"/>
                <w:szCs w:val="24"/>
              </w:rPr>
            </w:r>
          </w:p>
        </w:tc>
        <w:tc>
          <w:tcPr>
            <w:tcW w:w="3119" w:type="dxa"/>
            <w:vAlign w:val="center"/>
            <w:textDirection w:val="lrTb"/>
            <w:noWrap w:val="false"/>
          </w:tcPr>
          <w:p>
            <w:pPr>
              <w:jc w:val="center"/>
              <w:rPr>
                <w:rFonts w:ascii="PT Astra Serif" w:hAnsi="PT Astra Serif" w:eastAsia="PT Astra Serif"/>
                <w:sz w:val="24"/>
                <w:szCs w:val="24"/>
              </w:rPr>
            </w:pPr>
            <w:r>
              <w:rPr>
                <w:rFonts w:ascii="PT Astra Serif" w:hAnsi="PT Astra Serif" w:eastAsia="PT Astra Serif"/>
                <w:sz w:val="24"/>
                <w:szCs w:val="24"/>
              </w:rPr>
              <w:t xml:space="preserve">Коэффициент </w:t>
            </w:r>
            <w:r>
              <w:rPr>
                <w:rFonts w:ascii="PT Astra Serif" w:hAnsi="PT Astra Serif" w:eastAsia="PT Astra Serif"/>
                <w:sz w:val="24"/>
                <w:szCs w:val="24"/>
              </w:rPr>
            </w:r>
            <w:r>
              <w:rPr>
                <w:rFonts w:ascii="PT Astra Serif" w:hAnsi="PT Astra Serif" w:eastAsia="PT Astra Serif"/>
                <w:sz w:val="24"/>
                <w:szCs w:val="24"/>
              </w:rPr>
            </w:r>
          </w:p>
          <w:p>
            <w:pPr>
              <w:jc w:val="center"/>
              <w:rPr>
                <w:rFonts w:ascii="PT Astra Serif" w:hAnsi="PT Astra Serif" w:eastAsia="PT Astra Serif"/>
                <w:sz w:val="24"/>
                <w:szCs w:val="24"/>
              </w:rPr>
            </w:pPr>
            <w:r>
              <w:rPr>
                <w:rFonts w:ascii="PT Astra Serif" w:hAnsi="PT Astra Serif" w:eastAsia="PT Astra Serif"/>
                <w:sz w:val="24"/>
                <w:szCs w:val="24"/>
              </w:rPr>
              <w:t xml:space="preserve">смертности </w:t>
            </w:r>
            <w:r>
              <w:rPr>
                <w:rFonts w:ascii="PT Astra Serif" w:hAnsi="PT Astra Serif" w:eastAsia="PT Astra Serif"/>
                <w:sz w:val="24"/>
                <w:szCs w:val="24"/>
              </w:rPr>
            </w:r>
            <w:r>
              <w:rPr>
                <w:rFonts w:ascii="PT Astra Serif" w:hAnsi="PT Astra Serif" w:eastAsia="PT Astra Serif"/>
                <w:sz w:val="24"/>
                <w:szCs w:val="24"/>
              </w:rPr>
            </w:r>
          </w:p>
          <w:p>
            <w:pPr>
              <w:jc w:val="center"/>
              <w:rPr>
                <w:rFonts w:ascii="PT Astra Serif" w:hAnsi="PT Astra Serif" w:eastAsia="PT Astra Serif"/>
                <w:bCs/>
                <w:sz w:val="24"/>
                <w:szCs w:val="24"/>
              </w:rPr>
            </w:pPr>
            <w:r>
              <w:rPr>
                <w:rFonts w:ascii="PT Astra Serif" w:hAnsi="PT Astra Serif" w:eastAsia="PT Astra Serif"/>
                <w:sz w:val="24"/>
                <w:szCs w:val="24"/>
              </w:rPr>
              <w:t xml:space="preserve">на 1000 человек, ‰</w:t>
            </w:r>
            <w:r>
              <w:rPr>
                <w:rFonts w:ascii="PT Astra Serif" w:hAnsi="PT Astra Serif" w:eastAsia="PT Astra Serif"/>
                <w:bCs/>
                <w:sz w:val="24"/>
                <w:szCs w:val="24"/>
              </w:rPr>
            </w:r>
            <w:r>
              <w:rPr>
                <w:rFonts w:ascii="PT Astra Serif" w:hAnsi="PT Astra Serif" w:eastAsia="PT Astra Serif"/>
                <w:bCs/>
                <w:sz w:val="24"/>
                <w:szCs w:val="24"/>
              </w:rPr>
            </w:r>
          </w:p>
        </w:tc>
      </w:tr>
      <w:tr>
        <w:tblPrEx/>
        <w:trPr>
          <w:trHeight w:val="287"/>
        </w:trPr>
        <w:tc>
          <w:tcPr>
            <w:tcW w:w="3440" w:type="dxa"/>
            <w:textDirection w:val="lrTb"/>
            <w:noWrap w:val="false"/>
          </w:tcPr>
          <w:p>
            <w:pPr>
              <w:jc w:val="center"/>
              <w:rPr>
                <w:rFonts w:ascii="PT Astra Serif" w:hAnsi="PT Astra Serif" w:eastAsia="PT Astra Serif"/>
                <w:sz w:val="24"/>
                <w:szCs w:val="24"/>
              </w:rPr>
            </w:pPr>
            <w:r>
              <w:rPr>
                <w:rFonts w:ascii="PT Astra Serif" w:hAnsi="PT Astra Serif" w:eastAsia="PT Astra Serif"/>
                <w:sz w:val="24"/>
                <w:szCs w:val="24"/>
              </w:rPr>
              <w:t xml:space="preserve">ТО -3,6</w:t>
            </w:r>
            <w:r>
              <w:rPr>
                <w:rFonts w:ascii="PT Astra Serif" w:hAnsi="PT Astra Serif" w:eastAsia="PT Astra Serif"/>
                <w:sz w:val="24"/>
                <w:szCs w:val="24"/>
              </w:rPr>
            </w:r>
            <w:r>
              <w:rPr>
                <w:rFonts w:ascii="PT Astra Serif" w:hAnsi="PT Astra Serif" w:eastAsia="PT Astra Serif"/>
                <w:sz w:val="24"/>
                <w:szCs w:val="24"/>
              </w:rPr>
            </w:r>
          </w:p>
        </w:tc>
        <w:tc>
          <w:tcPr>
            <w:tcW w:w="3047" w:type="dxa"/>
            <w:textDirection w:val="lrTb"/>
            <w:noWrap w:val="false"/>
          </w:tcPr>
          <w:p>
            <w:pPr>
              <w:jc w:val="center"/>
              <w:rPr>
                <w:rFonts w:ascii="PT Astra Serif" w:hAnsi="PT Astra Serif" w:eastAsia="PT Astra Serif"/>
                <w:sz w:val="24"/>
                <w:szCs w:val="24"/>
              </w:rPr>
            </w:pPr>
            <w:r>
              <w:rPr>
                <w:rFonts w:ascii="PT Astra Serif" w:hAnsi="PT Astra Serif" w:eastAsia="PT Astra Serif"/>
                <w:sz w:val="24"/>
                <w:szCs w:val="24"/>
              </w:rPr>
              <w:t xml:space="preserve">ТО  7,7</w:t>
            </w:r>
            <w:r>
              <w:rPr>
                <w:rFonts w:ascii="PT Astra Serif" w:hAnsi="PT Astra Serif" w:eastAsia="PT Astra Serif"/>
                <w:sz w:val="24"/>
                <w:szCs w:val="24"/>
              </w:rPr>
            </w:r>
            <w:r>
              <w:rPr>
                <w:rFonts w:ascii="PT Astra Serif" w:hAnsi="PT Astra Serif" w:eastAsia="PT Astra Serif"/>
                <w:sz w:val="24"/>
                <w:szCs w:val="24"/>
              </w:rPr>
            </w:r>
          </w:p>
        </w:tc>
        <w:tc>
          <w:tcPr>
            <w:tcW w:w="3119" w:type="dxa"/>
            <w:textDirection w:val="lrTb"/>
            <w:noWrap w:val="false"/>
          </w:tcPr>
          <w:p>
            <w:pPr>
              <w:jc w:val="center"/>
              <w:rPr>
                <w:rFonts w:ascii="PT Astra Serif" w:hAnsi="PT Astra Serif" w:eastAsia="PT Astra Serif"/>
                <w:sz w:val="24"/>
                <w:szCs w:val="24"/>
              </w:rPr>
            </w:pPr>
            <w:r>
              <w:rPr>
                <w:rFonts w:ascii="PT Astra Serif" w:hAnsi="PT Astra Serif" w:eastAsia="PT Astra Serif"/>
                <w:sz w:val="24"/>
                <w:szCs w:val="24"/>
              </w:rPr>
              <w:t xml:space="preserve">ТО  11,3</w:t>
            </w:r>
            <w:r>
              <w:rPr>
                <w:rFonts w:ascii="PT Astra Serif" w:hAnsi="PT Astra Serif" w:eastAsia="PT Astra Serif"/>
                <w:sz w:val="24"/>
                <w:szCs w:val="24"/>
              </w:rPr>
            </w:r>
            <w:r>
              <w:rPr>
                <w:rFonts w:ascii="PT Astra Serif" w:hAnsi="PT Astra Serif" w:eastAsia="PT Astra Serif"/>
                <w:sz w:val="24"/>
                <w:szCs w:val="24"/>
              </w:rPr>
            </w:r>
          </w:p>
        </w:tc>
      </w:tr>
      <w:tr>
        <w:tblPrEx/>
        <w:trPr>
          <w:trHeight w:val="263"/>
        </w:trPr>
        <w:tc>
          <w:tcPr>
            <w:tcW w:w="3440" w:type="dxa"/>
            <w:textDirection w:val="lrTb"/>
            <w:noWrap w:val="false"/>
          </w:tcPr>
          <w:p>
            <w:pPr>
              <w:jc w:val="center"/>
              <w:rPr>
                <w:rFonts w:ascii="PT Astra Serif" w:hAnsi="PT Astra Serif" w:eastAsia="PT Astra Serif"/>
                <w:sz w:val="24"/>
                <w:szCs w:val="24"/>
              </w:rPr>
            </w:pPr>
            <w:r>
              <w:rPr>
                <w:rFonts w:ascii="PT Astra Serif" w:hAnsi="PT Astra Serif" w:eastAsia="PT Astra Serif"/>
                <w:sz w:val="24"/>
                <w:szCs w:val="24"/>
              </w:rPr>
              <w:t xml:space="preserve">СФО -4,1</w:t>
            </w:r>
            <w:r>
              <w:rPr>
                <w:rFonts w:ascii="PT Astra Serif" w:hAnsi="PT Astra Serif" w:eastAsia="PT Astra Serif"/>
                <w:sz w:val="24"/>
                <w:szCs w:val="24"/>
              </w:rPr>
            </w:r>
            <w:r>
              <w:rPr>
                <w:rFonts w:ascii="PT Astra Serif" w:hAnsi="PT Astra Serif" w:eastAsia="PT Astra Serif"/>
                <w:sz w:val="24"/>
                <w:szCs w:val="24"/>
              </w:rPr>
            </w:r>
          </w:p>
        </w:tc>
        <w:tc>
          <w:tcPr>
            <w:tcW w:w="3047" w:type="dxa"/>
            <w:textDirection w:val="lrTb"/>
            <w:noWrap w:val="false"/>
          </w:tcPr>
          <w:p>
            <w:pPr>
              <w:jc w:val="center"/>
              <w:rPr>
                <w:rFonts w:ascii="PT Astra Serif" w:hAnsi="PT Astra Serif" w:eastAsia="PT Astra Serif"/>
                <w:sz w:val="24"/>
                <w:szCs w:val="24"/>
              </w:rPr>
            </w:pPr>
            <w:r>
              <w:rPr>
                <w:rFonts w:ascii="PT Astra Serif" w:hAnsi="PT Astra Serif" w:eastAsia="PT Astra Serif"/>
                <w:sz w:val="24"/>
                <w:szCs w:val="24"/>
              </w:rPr>
              <w:t xml:space="preserve">СФО  8,9</w:t>
            </w:r>
            <w:r>
              <w:rPr>
                <w:rFonts w:ascii="PT Astra Serif" w:hAnsi="PT Astra Serif" w:eastAsia="PT Astra Serif"/>
                <w:sz w:val="24"/>
                <w:szCs w:val="24"/>
              </w:rPr>
            </w:r>
            <w:r>
              <w:rPr>
                <w:rFonts w:ascii="PT Astra Serif" w:hAnsi="PT Astra Serif" w:eastAsia="PT Astra Serif"/>
                <w:sz w:val="24"/>
                <w:szCs w:val="24"/>
              </w:rPr>
            </w:r>
          </w:p>
        </w:tc>
        <w:tc>
          <w:tcPr>
            <w:tcW w:w="3119" w:type="dxa"/>
            <w:textDirection w:val="lrTb"/>
            <w:noWrap w:val="false"/>
          </w:tcPr>
          <w:p>
            <w:pPr>
              <w:jc w:val="center"/>
              <w:rPr>
                <w:rFonts w:ascii="PT Astra Serif" w:hAnsi="PT Astra Serif" w:eastAsia="PT Astra Serif"/>
                <w:sz w:val="24"/>
                <w:szCs w:val="24"/>
              </w:rPr>
            </w:pPr>
            <w:r>
              <w:rPr>
                <w:rFonts w:ascii="PT Astra Serif" w:hAnsi="PT Astra Serif" w:eastAsia="PT Astra Serif"/>
                <w:sz w:val="24"/>
                <w:szCs w:val="24"/>
              </w:rPr>
              <w:t xml:space="preserve">СФО  13</w:t>
            </w:r>
            <w:r>
              <w:rPr>
                <w:rFonts w:ascii="PT Astra Serif" w:hAnsi="PT Astra Serif" w:eastAsia="PT Astra Serif"/>
                <w:sz w:val="24"/>
                <w:szCs w:val="24"/>
              </w:rPr>
            </w:r>
            <w:r>
              <w:rPr>
                <w:rFonts w:ascii="PT Astra Serif" w:hAnsi="PT Astra Serif" w:eastAsia="PT Astra Serif"/>
                <w:sz w:val="24"/>
                <w:szCs w:val="24"/>
              </w:rPr>
            </w:r>
          </w:p>
        </w:tc>
      </w:tr>
      <w:tr>
        <w:tblPrEx/>
        <w:trPr>
          <w:trHeight w:val="119"/>
        </w:trPr>
        <w:tc>
          <w:tcPr>
            <w:tcW w:w="3440" w:type="dxa"/>
            <w:textDirection w:val="lrTb"/>
            <w:noWrap w:val="false"/>
          </w:tcPr>
          <w:p>
            <w:pPr>
              <w:jc w:val="center"/>
              <w:rPr>
                <w:rFonts w:ascii="PT Astra Serif" w:hAnsi="PT Astra Serif" w:eastAsia="PT Astra Serif"/>
                <w:sz w:val="24"/>
                <w:szCs w:val="24"/>
              </w:rPr>
            </w:pPr>
            <w:r>
              <w:rPr>
                <w:rFonts w:ascii="PT Astra Serif" w:hAnsi="PT Astra Serif" w:eastAsia="PT Astra Serif"/>
                <w:sz w:val="24"/>
                <w:szCs w:val="24"/>
              </w:rPr>
              <w:t xml:space="preserve">РФ -3,3</w:t>
            </w:r>
            <w:r>
              <w:rPr>
                <w:rFonts w:ascii="PT Astra Serif" w:hAnsi="PT Astra Serif" w:eastAsia="PT Astra Serif"/>
                <w:sz w:val="24"/>
                <w:szCs w:val="24"/>
              </w:rPr>
            </w:r>
            <w:r>
              <w:rPr>
                <w:rFonts w:ascii="PT Astra Serif" w:hAnsi="PT Astra Serif" w:eastAsia="PT Astra Serif"/>
                <w:sz w:val="24"/>
                <w:szCs w:val="24"/>
              </w:rPr>
            </w:r>
          </w:p>
        </w:tc>
        <w:tc>
          <w:tcPr>
            <w:tcW w:w="3047" w:type="dxa"/>
            <w:textDirection w:val="lrTb"/>
            <w:noWrap w:val="false"/>
          </w:tcPr>
          <w:p>
            <w:pPr>
              <w:jc w:val="center"/>
              <w:rPr>
                <w:rFonts w:ascii="PT Astra Serif" w:hAnsi="PT Astra Serif" w:eastAsia="PT Astra Serif"/>
                <w:sz w:val="24"/>
                <w:szCs w:val="24"/>
              </w:rPr>
            </w:pPr>
            <w:r>
              <w:rPr>
                <w:rFonts w:ascii="PT Astra Serif" w:hAnsi="PT Astra Serif" w:eastAsia="PT Astra Serif"/>
                <w:sz w:val="24"/>
                <w:szCs w:val="24"/>
              </w:rPr>
              <w:t xml:space="preserve">РФ 8,7</w:t>
            </w:r>
            <w:r>
              <w:rPr>
                <w:rFonts w:ascii="PT Astra Serif" w:hAnsi="PT Astra Serif" w:eastAsia="PT Astra Serif"/>
                <w:sz w:val="24"/>
                <w:szCs w:val="24"/>
              </w:rPr>
            </w:r>
            <w:r>
              <w:rPr>
                <w:rFonts w:ascii="PT Astra Serif" w:hAnsi="PT Astra Serif" w:eastAsia="PT Astra Serif"/>
                <w:sz w:val="24"/>
                <w:szCs w:val="24"/>
              </w:rPr>
            </w:r>
          </w:p>
        </w:tc>
        <w:tc>
          <w:tcPr>
            <w:tcW w:w="3119" w:type="dxa"/>
            <w:textDirection w:val="lrTb"/>
            <w:noWrap w:val="false"/>
          </w:tcPr>
          <w:p>
            <w:pPr>
              <w:jc w:val="center"/>
              <w:rPr>
                <w:rFonts w:ascii="PT Astra Serif" w:hAnsi="PT Astra Serif" w:eastAsia="PT Astra Serif"/>
                <w:sz w:val="24"/>
                <w:szCs w:val="24"/>
              </w:rPr>
            </w:pPr>
            <w:r>
              <w:rPr>
                <w:rFonts w:ascii="PT Astra Serif" w:hAnsi="PT Astra Serif" w:eastAsia="PT Astra Serif"/>
                <w:sz w:val="24"/>
                <w:szCs w:val="24"/>
              </w:rPr>
              <w:t xml:space="preserve">РФ 12</w:t>
            </w:r>
            <w:r>
              <w:rPr>
                <w:rFonts w:ascii="PT Astra Serif" w:hAnsi="PT Astra Serif" w:eastAsia="PT Astra Serif"/>
                <w:sz w:val="24"/>
                <w:szCs w:val="24"/>
              </w:rPr>
            </w:r>
            <w:r>
              <w:rPr>
                <w:rFonts w:ascii="PT Astra Serif" w:hAnsi="PT Astra Serif" w:eastAsia="PT Astra Serif"/>
                <w:sz w:val="24"/>
                <w:szCs w:val="24"/>
              </w:rPr>
            </w:r>
          </w:p>
        </w:tc>
      </w:tr>
    </w:tbl>
    <w:p>
      <w:pPr>
        <w:jc w:val="center"/>
        <w:spacing w:after="0" w:line="240" w:lineRule="auto"/>
        <w:tabs>
          <w:tab w:val="left" w:pos="567" w:leader="none"/>
          <w:tab w:val="left" w:pos="4962" w:leader="none"/>
        </w:tabs>
        <w:rPr>
          <w:rFonts w:ascii="PT Astra Serif" w:hAnsi="PT Astra Serif" w:eastAsia="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PT Astra Serif"/>
          <w:b/>
          <w:sz w:val="24"/>
          <w:szCs w:val="24"/>
        </w:rPr>
        <w:t xml:space="preserve">По итогам 2023 года Томская область по уровню смертности на 1000 человек населения занимает 3-е место в СФО </w:t>
      </w:r>
      <w:r>
        <w:rPr>
          <w:rFonts w:ascii="PT Astra Serif" w:hAnsi="PT Astra Serif" w:eastAsia="PT Astra Serif"/>
          <w:b/>
          <w:sz w:val="24"/>
          <w:szCs w:val="24"/>
        </w:rPr>
      </w:r>
      <w:r>
        <w:rPr>
          <w:rFonts w:ascii="PT Astra Serif" w:hAnsi="PT Astra Serif" w:eastAsia="PT Astra Serif"/>
          <w:b/>
          <w:sz w:val="24"/>
          <w:szCs w:val="24"/>
        </w:rPr>
      </w:r>
    </w:p>
    <w:p>
      <w:pPr>
        <w:spacing w:after="0" w:line="240" w:lineRule="auto"/>
        <w:rPr>
          <w:rFonts w:ascii="PT Astra Serif" w:hAnsi="PT Astra Serif" w:eastAsia="PT Astra Serif"/>
          <w:sz w:val="24"/>
          <w:szCs w:val="24"/>
        </w:rPr>
      </w:pPr>
      <w:r>
        <w:rPr>
          <w:rFonts w:ascii="PT Astra Serif" w:hAnsi="PT Astra Serif" w:eastAsia="PT Astra Serif"/>
          <w:sz w:val="24"/>
          <w:szCs w:val="24"/>
        </w:rPr>
      </w:r>
      <w:r>
        <w:rPr>
          <w:rFonts w:ascii="PT Astra Serif" w:hAnsi="PT Astra Serif" w:eastAsia="PT Astra Serif"/>
          <w:sz w:val="24"/>
          <w:szCs w:val="24"/>
        </w:rPr>
      </w:r>
      <w:r>
        <w:rPr>
          <w:rFonts w:ascii="PT Astra Serif" w:hAnsi="PT Astra Serif" w:eastAsia="PT Astra Serif"/>
          <w:sz w:val="24"/>
          <w:szCs w:val="24"/>
        </w:rPr>
      </w:r>
    </w:p>
    <w:p>
      <w:pPr>
        <w:ind w:left="-709"/>
        <w:jc w:val="center"/>
        <w:spacing w:after="0" w:line="240" w:lineRule="auto"/>
        <w:rPr>
          <w:rFonts w:ascii="PT Astra Serif" w:hAnsi="PT Astra Serif"/>
          <w:b/>
          <w:sz w:val="24"/>
          <w:szCs w:val="24"/>
        </w:rPr>
      </w:pPr>
      <w:r>
        <w:rPr>
          <w:rFonts w:ascii="PT Astra Serif" w:hAnsi="PT Astra Serif"/>
          <w:b/>
          <w:sz w:val="24"/>
          <w:szCs w:val="24"/>
          <w:lang w:eastAsia="ru-RU"/>
        </w:rPr>
        <w:drawing>
          <wp:inline distT="0" distB="0" distL="0" distR="0">
            <wp:extent cx="5940425" cy="2970213"/>
            <wp:effectExtent l="0" t="0" r="0" b="0"/>
            <wp:docPr id="2" name="Диаграмма 8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Pr>
          <w:rFonts w:ascii="PT Astra Serif" w:hAnsi="PT Astra Serif"/>
          <w:b/>
          <w:sz w:val="24"/>
          <w:szCs w:val="24"/>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4272916</wp:posOffset>
                </wp:positionH>
                <wp:positionV relativeFrom="paragraph">
                  <wp:posOffset>1632585</wp:posOffset>
                </wp:positionV>
                <wp:extent cx="139700" cy="3003550"/>
                <wp:effectExtent l="0" t="3175" r="28575" b="28575"/>
                <wp:wrapNone/>
                <wp:docPr id="3" name="Левая фигурная скобка 7"/>
                <wp:cNvGraphicFramePr/>
                <a:graphic xmlns:a="http://schemas.openxmlformats.org/drawingml/2006/main">
                  <a:graphicData uri="http://schemas.microsoft.com/office/word/2010/wordprocessingShape">
                    <wps:wsp>
                      <wps:cNvPr id="0" name=""/>
                      <wps:cNvSpPr/>
                      <wps:spPr bwMode="auto">
                        <a:xfrm rot="16199998">
                          <a:off x="0" y="0"/>
                          <a:ext cx="139700" cy="3003550"/>
                        </a:xfrm>
                        <a:prstGeom prst="leftBrace">
                          <a:avLst>
                            <a:gd name="adj1" fmla="val 8333"/>
                            <a:gd name="adj2" fmla="val 50000"/>
                          </a:avLst>
                        </a:prstGeom>
                        <a:ln w="22225">
                          <a:solidFill>
                            <a:srgbClr val="326E8C"/>
                          </a:solidFill>
                          <a:round/>
                        </a:ln>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hape 0" o:spid="_x0000_s0" o:spt="87" type="#_x0000_t87" style="position:absolute;z-index:251665408;o:allowoverlap:true;o:allowincell:true;mso-position-horizontal-relative:text;margin-left:336.45pt;mso-position-horizontal:absolute;mso-position-vertical-relative:text;margin-top:128.55pt;mso-position-vertical:absolute;width:11.00pt;height:236.50pt;mso-wrap-distance-left:9.00pt;mso-wrap-distance-top:0.00pt;mso-wrap-distance-right:9.00pt;mso-wrap-distance-bottom:0.00pt;rotation:269;visibility:visible;" filled="f" strokecolor="#326E8C" strokeweight="1.75pt">
                <v:stroke dashstyle="solid"/>
              </v:shape>
            </w:pict>
          </mc:Fallback>
        </mc:AlternateContent>
      </w:r>
      <w:r>
        <w:rPr>
          <w:rFonts w:ascii="PT Astra Serif" w:hAnsi="PT Astra Serif"/>
          <w:b/>
          <w:sz w:val="24"/>
          <w:szCs w:val="24"/>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1200785</wp:posOffset>
                </wp:positionH>
                <wp:positionV relativeFrom="paragraph">
                  <wp:posOffset>1579880</wp:posOffset>
                </wp:positionV>
                <wp:extent cx="144145" cy="3103245"/>
                <wp:effectExtent l="6350" t="0" r="14604" b="14604"/>
                <wp:wrapNone/>
                <wp:docPr id="4" name="Левая фигурная скобка 6"/>
                <wp:cNvGraphicFramePr/>
                <a:graphic xmlns:a="http://schemas.openxmlformats.org/drawingml/2006/main">
                  <a:graphicData uri="http://schemas.microsoft.com/office/word/2010/wordprocessingShape">
                    <wps:wsp>
                      <wps:cNvPr id="0" name=""/>
                      <wps:cNvSpPr/>
                      <wps:spPr bwMode="auto">
                        <a:xfrm rot="16199998">
                          <a:off x="0" y="0"/>
                          <a:ext cx="144145" cy="3103245"/>
                        </a:xfrm>
                        <a:prstGeom prst="leftBrace">
                          <a:avLst>
                            <a:gd name="adj1" fmla="val 8333"/>
                            <a:gd name="adj2" fmla="val 50000"/>
                          </a:avLst>
                        </a:prstGeom>
                        <a:ln w="22225">
                          <a:solidFill>
                            <a:srgbClr val="326E8C"/>
                          </a:solidFill>
                          <a:round/>
                        </a:ln>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hape 1" o:spid="_x0000_s1" o:spt="87" type="#_x0000_t87" style="position:absolute;z-index:251664384;o:allowoverlap:true;o:allowincell:true;mso-position-horizontal-relative:text;margin-left:94.55pt;mso-position-horizontal:absolute;mso-position-vertical-relative:text;margin-top:124.40pt;mso-position-vertical:absolute;width:11.35pt;height:244.35pt;mso-wrap-distance-left:9.00pt;mso-wrap-distance-top:0.00pt;mso-wrap-distance-right:9.00pt;mso-wrap-distance-bottom:0.00pt;rotation:269;visibility:visible;" filled="f" strokecolor="#326E8C" strokeweight="1.75pt">
                <v:stroke dashstyle="solid"/>
              </v:shape>
            </w:pict>
          </mc:Fallback>
        </mc:AlternateContent>
      </w:r>
      <w:r>
        <w:rPr>
          <w:rFonts w:ascii="PT Astra Serif" w:hAnsi="PT Astra Serif"/>
          <w:b/>
          <w:sz w:val="24"/>
          <w:szCs w:val="24"/>
        </w:rPr>
      </w:r>
      <w:r>
        <w:rPr>
          <w:rFonts w:ascii="PT Astra Serif" w:hAnsi="PT Astra Serif"/>
          <w:b/>
          <w:sz w:val="24"/>
          <w:szCs w:val="24"/>
        </w:rPr>
      </w:r>
    </w:p>
    <w:tbl>
      <w:tblPr>
        <w:tblStyle w:val="1142"/>
        <w:tblW w:w="938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50"/>
        <w:gridCol w:w="426"/>
        <w:gridCol w:w="2226"/>
        <w:gridCol w:w="687"/>
        <w:gridCol w:w="1481"/>
        <w:gridCol w:w="464"/>
        <w:gridCol w:w="958"/>
        <w:gridCol w:w="2405"/>
        <w:gridCol w:w="492"/>
      </w:tblGrid>
      <w:tr>
        <w:tblPrEx/>
        <w:trPr>
          <w:gridAfter w:val="1"/>
          <w:gridBefore w:val="1"/>
          <w:trHeight w:val="241"/>
        </w:trPr>
        <w:tc>
          <w:tcPr>
            <w:gridSpan w:val="4"/>
            <w:tcW w:w="4820" w:type="dxa"/>
            <w:vAlign w:val="center"/>
            <w:textDirection w:val="lrTb"/>
            <w:noWrap w:val="false"/>
          </w:tcPr>
          <w:p>
            <w:pPr>
              <w:ind w:right="317"/>
              <w:rPr>
                <w:rFonts w:ascii="PT Astra Serif" w:hAnsi="PT Astra Serif"/>
                <w:b/>
                <w:sz w:val="24"/>
                <w:szCs w:val="24"/>
              </w:rPr>
            </w:pPr>
            <w:r>
              <w:rPr>
                <w:rFonts w:ascii="PT Astra Serif" w:hAnsi="PT Astra Serif"/>
                <w:b/>
                <w:sz w:val="24"/>
                <w:szCs w:val="24"/>
              </w:rPr>
              <w:t xml:space="preserve">                                     2022 </w:t>
            </w:r>
            <w:r>
              <w:rPr>
                <w:rFonts w:ascii="PT Astra Serif" w:hAnsi="PT Astra Serif"/>
                <w:b/>
                <w:sz w:val="24"/>
                <w:szCs w:val="24"/>
              </w:rPr>
            </w:r>
            <w:r>
              <w:rPr>
                <w:rFonts w:ascii="PT Astra Serif" w:hAnsi="PT Astra Serif"/>
                <w:b/>
                <w:sz w:val="24"/>
                <w:szCs w:val="24"/>
              </w:rPr>
            </w:r>
          </w:p>
        </w:tc>
        <w:tc>
          <w:tcPr>
            <w:gridSpan w:val="3"/>
            <w:tcW w:w="3827" w:type="dxa"/>
            <w:vAlign w:val="center"/>
            <w:textDirection w:val="lrTb"/>
            <w:noWrap w:val="false"/>
          </w:tcPr>
          <w:p>
            <w:pPr>
              <w:jc w:val="center"/>
              <w:rPr>
                <w:rFonts w:ascii="PT Astra Serif" w:hAnsi="PT Astra Serif"/>
                <w:b/>
                <w:sz w:val="24"/>
                <w:szCs w:val="24"/>
              </w:rPr>
            </w:pPr>
            <w:r>
              <w:rPr>
                <w:rFonts w:ascii="PT Astra Serif" w:hAnsi="PT Astra Serif"/>
                <w:b/>
                <w:sz w:val="24"/>
                <w:szCs w:val="24"/>
              </w:rPr>
              <w:t xml:space="preserve">2023</w:t>
            </w:r>
            <w:r>
              <w:rPr>
                <w:rFonts w:ascii="PT Astra Serif" w:hAnsi="PT Astra Serif"/>
                <w:b/>
                <w:sz w:val="24"/>
                <w:szCs w:val="24"/>
              </w:rPr>
            </w:r>
            <w:r>
              <w:rPr>
                <w:rFonts w:ascii="PT Astra Serif" w:hAnsi="PT Astra Serif"/>
                <w:b/>
                <w:sz w:val="24"/>
                <w:szCs w:val="24"/>
              </w:rPr>
            </w:r>
          </w:p>
        </w:tc>
      </w:tr>
      <w:tr>
        <w:tblPrEx/>
        <w:trPr>
          <w:jc w:val="center"/>
          <w:trHeight w:val="874"/>
        </w:trPr>
        <w:tc>
          <w:tcPr>
            <w:gridSpan w:val="2"/>
            <w:shd w:val="clear" w:color="auto" w:fill="auto"/>
            <w:tcW w:w="676" w:type="dxa"/>
            <w:vAlign w:val="center"/>
            <w:textDirection w:val="lrTb"/>
            <w:noWrap w:val="false"/>
          </w:tcPr>
          <w:p>
            <w:pPr>
              <w:jc w:val="center"/>
              <w:rPr>
                <w:rFonts w:ascii="PT Astra Serif" w:hAnsi="PT Astra Serif"/>
                <w:sz w:val="24"/>
                <w:szCs w:val="24"/>
              </w:rPr>
            </w:pPr>
            <w:r>
              <w:rPr>
                <w:rFonts w:ascii="PT Astra Serif" w:hAnsi="PT Astra Serif"/>
                <w:sz w:val="24"/>
                <w:szCs w:val="24"/>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wp:posOffset>
                      </wp:positionH>
                      <wp:positionV relativeFrom="paragraph">
                        <wp:posOffset>9525</wp:posOffset>
                      </wp:positionV>
                      <wp:extent cx="295275" cy="228600"/>
                      <wp:effectExtent l="0" t="0" r="9525" b="0"/>
                      <wp:wrapNone/>
                      <wp:docPr id="5" name="Прямоугольник 24"/>
                      <wp:cNvGraphicFramePr/>
                      <a:graphic xmlns:a="http://schemas.openxmlformats.org/drawingml/2006/main">
                        <a:graphicData uri="http://schemas.microsoft.com/office/word/2010/wordprocessingShape">
                          <wps:wsp>
                            <wps:cNvPr id="0" name=""/>
                            <wps:cNvSpPr/>
                            <wps:spPr bwMode="auto">
                              <a:xfrm>
                                <a:off x="0" y="0"/>
                                <a:ext cx="295274" cy="228600"/>
                              </a:xfrm>
                              <a:prstGeom prst="rect">
                                <a:avLst/>
                              </a:prstGeom>
                              <a:solidFill>
                                <a:srgbClr val="96C8BE"/>
                              </a:solidFill>
                              <a:ln>
                                <a:no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hape 2" o:spid="_x0000_s2" o:spt="1" type="#_x0000_t1" style="position:absolute;z-index:251661312;o:allowoverlap:true;o:allowincell:true;mso-position-horizontal-relative:text;margin-left:0.15pt;mso-position-horizontal:absolute;mso-position-vertical-relative:text;margin-top:0.75pt;mso-position-vertical:absolute;width:23.25pt;height:18.00pt;mso-wrap-distance-left:9.00pt;mso-wrap-distance-top:0.00pt;mso-wrap-distance-right:9.00pt;mso-wrap-distance-bottom:0.00pt;visibility:visible;" fillcolor="#96C8BE" stroked="f" strokeweight="2.00pt">
                      <v:stroke dashstyle="solid"/>
                    </v:shape>
                  </w:pict>
                </mc:Fallback>
              </mc:AlternateContent>
            </w:r>
            <w:r>
              <w:rPr>
                <w:rFonts w:ascii="PT Astra Serif" w:hAnsi="PT Astra Serif"/>
                <w:sz w:val="24"/>
                <w:szCs w:val="24"/>
              </w:rPr>
            </w:r>
            <w:r>
              <w:rPr>
                <w:rFonts w:ascii="PT Astra Serif" w:hAnsi="PT Astra Serif"/>
                <w:sz w:val="24"/>
                <w:szCs w:val="24"/>
              </w:rPr>
            </w:r>
          </w:p>
        </w:tc>
        <w:tc>
          <w:tcPr>
            <w:shd w:val="clear" w:color="auto" w:fill="auto"/>
            <w:tcW w:w="2226" w:type="dxa"/>
            <w:vAlign w:val="center"/>
            <w:textDirection w:val="lrTb"/>
            <w:noWrap w:val="false"/>
          </w:tcPr>
          <w:p>
            <w:pPr>
              <w:rPr>
                <w:rFonts w:ascii="PT Astra Serif" w:hAnsi="PT Astra Serif"/>
                <w:sz w:val="24"/>
                <w:szCs w:val="24"/>
              </w:rPr>
            </w:pPr>
            <w:r>
              <w:rPr>
                <w:rFonts w:ascii="PT Astra Serif" w:hAnsi="PT Astra Serif"/>
                <w:sz w:val="24"/>
                <w:szCs w:val="24"/>
              </w:rPr>
              <w:t xml:space="preserve">Число родившихся</w:t>
            </w:r>
            <w:r>
              <w:rPr>
                <w:rFonts w:ascii="PT Astra Serif" w:hAnsi="PT Astra Serif"/>
                <w:sz w:val="24"/>
                <w:szCs w:val="24"/>
              </w:rPr>
            </w:r>
            <w:r>
              <w:rPr>
                <w:rFonts w:ascii="PT Astra Serif" w:hAnsi="PT Astra Serif"/>
                <w:sz w:val="24"/>
                <w:szCs w:val="24"/>
              </w:rPr>
            </w:r>
          </w:p>
        </w:tc>
        <w:tc>
          <w:tcPr>
            <w:shd w:val="clear" w:color="auto" w:fill="auto"/>
            <w:tcW w:w="687" w:type="dxa"/>
            <w:vAlign w:val="center"/>
            <w:textDirection w:val="lrTb"/>
            <w:noWrap w:val="false"/>
          </w:tcPr>
          <w:p>
            <w:pPr>
              <w:jc w:val="center"/>
              <w:rPr>
                <w:rFonts w:ascii="PT Astra Serif" w:hAnsi="PT Astra Serif"/>
                <w:sz w:val="24"/>
                <w:szCs w:val="24"/>
              </w:rPr>
            </w:pPr>
            <w:r>
              <w:rPr>
                <w:rFonts w:ascii="PT Astra Serif" w:hAnsi="PT Astra Serif"/>
                <w:sz w:val="24"/>
                <w:szCs w:val="24"/>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-6985</wp:posOffset>
                      </wp:positionH>
                      <wp:positionV relativeFrom="paragraph">
                        <wp:posOffset>5715</wp:posOffset>
                      </wp:positionV>
                      <wp:extent cx="295275" cy="228600"/>
                      <wp:effectExtent l="0" t="0" r="9525" b="0"/>
                      <wp:wrapNone/>
                      <wp:docPr id="6" name="Прямоугольник 25"/>
                      <wp:cNvGraphicFramePr/>
                      <a:graphic xmlns:a="http://schemas.openxmlformats.org/drawingml/2006/main">
                        <a:graphicData uri="http://schemas.microsoft.com/office/word/2010/wordprocessingShape">
                          <wps:wsp>
                            <wps:cNvPr id="0" name=""/>
                            <wps:cNvSpPr/>
                            <wps:spPr bwMode="auto">
                              <a:xfrm>
                                <a:off x="0" y="0"/>
                                <a:ext cx="295274" cy="228600"/>
                              </a:xfrm>
                              <a:prstGeom prst="rect">
                                <a:avLst/>
                              </a:prstGeom>
                              <a:solidFill>
                                <a:srgbClr val="326E8C"/>
                              </a:solidFill>
                              <a:ln>
                                <a:no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hape 3" o:spid="_x0000_s3" o:spt="1" type="#_x0000_t1" style="position:absolute;z-index:251662336;o:allowoverlap:true;o:allowincell:true;mso-position-horizontal-relative:text;margin-left:-0.55pt;mso-position-horizontal:absolute;mso-position-vertical-relative:text;margin-top:0.45pt;mso-position-vertical:absolute;width:23.25pt;height:18.00pt;mso-wrap-distance-left:9.00pt;mso-wrap-distance-top:0.00pt;mso-wrap-distance-right:9.00pt;mso-wrap-distance-bottom:0.00pt;visibility:visible;" fillcolor="#326E8C" stroked="f" strokeweight="2.00pt">
                      <v:stroke dashstyle="solid"/>
                    </v:shape>
                  </w:pict>
                </mc:Fallback>
              </mc:AlternateContent>
            </w:r>
            <w:r>
              <w:rPr>
                <w:rFonts w:ascii="PT Astra Serif" w:hAnsi="PT Astra Serif"/>
                <w:sz w:val="24"/>
                <w:szCs w:val="24"/>
              </w:rPr>
            </w:r>
            <w:r>
              <w:rPr>
                <w:rFonts w:ascii="PT Astra Serif" w:hAnsi="PT Astra Serif"/>
                <w:sz w:val="24"/>
                <w:szCs w:val="24"/>
              </w:rPr>
            </w:r>
          </w:p>
        </w:tc>
        <w:tc>
          <w:tcPr>
            <w:gridSpan w:val="2"/>
            <w:shd w:val="clear" w:color="auto" w:fill="auto"/>
            <w:tcW w:w="1945" w:type="dxa"/>
            <w:vAlign w:val="center"/>
            <w:textDirection w:val="lrTb"/>
            <w:noWrap w:val="false"/>
          </w:tcPr>
          <w:p>
            <w:pPr>
              <w:rPr>
                <w:rFonts w:ascii="PT Astra Serif" w:hAnsi="PT Astra Serif"/>
                <w:sz w:val="24"/>
                <w:szCs w:val="24"/>
              </w:rPr>
            </w:pPr>
            <w:r>
              <w:rPr>
                <w:rFonts w:ascii="PT Astra Serif" w:hAnsi="PT Astra Serif"/>
                <w:sz w:val="24"/>
                <w:szCs w:val="24"/>
              </w:rPr>
              <w:t xml:space="preserve">Число умерших</w:t>
            </w:r>
            <w:r>
              <w:rPr>
                <w:rFonts w:ascii="PT Astra Serif" w:hAnsi="PT Astra Serif"/>
                <w:sz w:val="24"/>
                <w:szCs w:val="24"/>
              </w:rPr>
            </w:r>
            <w:r>
              <w:rPr>
                <w:rFonts w:ascii="PT Astra Serif" w:hAnsi="PT Astra Serif"/>
                <w:sz w:val="24"/>
                <w:szCs w:val="24"/>
              </w:rPr>
            </w:r>
          </w:p>
        </w:tc>
        <w:tc>
          <w:tcPr>
            <w:shd w:val="clear" w:color="auto" w:fill="auto"/>
            <w:tcW w:w="958" w:type="dxa"/>
            <w:vAlign w:val="center"/>
            <w:textDirection w:val="lrTb"/>
            <w:noWrap w:val="false"/>
          </w:tcPr>
          <w:p>
            <w:pPr>
              <w:jc w:val="center"/>
              <w:tabs>
                <w:tab w:val="left" w:pos="1020" w:leader="none"/>
              </w:tabs>
              <w:rPr>
                <w:rFonts w:ascii="PT Astra Serif" w:hAnsi="PT Astra Serif"/>
                <w:sz w:val="24"/>
                <w:szCs w:val="24"/>
              </w:rPr>
            </w:pPr>
            <w:r>
              <w:rPr>
                <w:rFonts w:ascii="PT Astra Serif" w:hAnsi="PT Astra Serif"/>
                <w:sz w:val="24"/>
                <w:szCs w:val="24"/>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-12700</wp:posOffset>
                      </wp:positionH>
                      <wp:positionV relativeFrom="paragraph">
                        <wp:posOffset>70485</wp:posOffset>
                      </wp:positionV>
                      <wp:extent cx="498475" cy="200025"/>
                      <wp:effectExtent l="0" t="0" r="15875" b="28575"/>
                      <wp:wrapNone/>
                      <wp:docPr id="7" name="Полилиния 595"/>
                      <wp:cNvGraphicFramePr/>
                      <a:graphic xmlns:a="http://schemas.openxmlformats.org/drawingml/2006/main">
                        <a:graphicData uri="http://schemas.microsoft.com/office/word/2010/wordprocessingShape">
                          <wps:wsp>
                            <wps:cNvPr id="0" name=""/>
                            <wps:cNvSpPr/>
                            <wps:spPr bwMode="auto">
                              <a:xfrm>
                                <a:off x="0" y="0"/>
                                <a:ext cx="498475" cy="200025"/>
                              </a:xfrm>
                              <a:custGeom>
                                <a:avLst/>
                                <a:gdLst>
                                  <a:gd name="connsiteX0" fmla="*/ 0 w 498852"/>
                                  <a:gd name="connsiteY0" fmla="*/ 200025 h 200136"/>
                                  <a:gd name="connsiteX1" fmla="*/ 142875 w 498852"/>
                                  <a:gd name="connsiteY1" fmla="*/ 0 h 200136"/>
                                  <a:gd name="connsiteX2" fmla="*/ 295275 w 498852"/>
                                  <a:gd name="connsiteY2" fmla="*/ 200025 h 200136"/>
                                  <a:gd name="connsiteX3" fmla="*/ 485775 w 498852"/>
                                  <a:gd name="connsiteY3" fmla="*/ 28575 h 200136"/>
                                  <a:gd name="connsiteX4" fmla="*/ 476250 w 498852"/>
                                  <a:gd name="connsiteY4" fmla="*/ 38100 h 20013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98852" h="200136" fill="norm" stroke="1" extrusionOk="0">
                                    <a:moveTo>
                                      <a:pt x="0" y="200025"/>
                                    </a:moveTo>
                                    <a:cubicBezTo>
                                      <a:pt x="46831" y="100012"/>
                                      <a:pt x="93663" y="0"/>
                                      <a:pt x="142875" y="0"/>
                                    </a:cubicBezTo>
                                    <a:cubicBezTo>
                                      <a:pt x="192087" y="0"/>
                                      <a:pt x="238125" y="195262"/>
                                      <a:pt x="295275" y="200025"/>
                                    </a:cubicBezTo>
                                    <a:cubicBezTo>
                                      <a:pt x="352425" y="204788"/>
                                      <a:pt x="455613" y="55562"/>
                                      <a:pt x="485775" y="28575"/>
                                    </a:cubicBezTo>
                                    <a:cubicBezTo>
                                      <a:pt x="515938" y="1587"/>
                                      <a:pt x="485775" y="38100"/>
                                      <a:pt x="476250" y="38100"/>
                                    </a:cubicBezTo>
                                  </a:path>
                                </a:pathLst>
                              </a:custGeom>
                              <a:ln w="25400" cap="rnd" cmpd="sng">
                                <a:solidFill>
                                  <a:schemeClr val="bg2">
                                    <a:lumMod val="90000"/>
                                  </a:schemeClr>
                                </a:solidFill>
                                <a:bevel/>
                              </a:ln>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hape 4" o:spid="_x0000_s4" style="position:absolute;z-index:251663360;o:allowoverlap:true;o:allowincell:true;mso-position-horizontal-relative:text;margin-left:-1.00pt;mso-position-horizontal:absolute;mso-position-vertical-relative:text;margin-top:5.55pt;mso-position-vertical:absolute;width:39.25pt;height:15.75pt;mso-wrap-distance-left:9.00pt;mso-wrap-distance-top:0.00pt;mso-wrap-distance-right:9.00pt;mso-wrap-distance-bottom:0.00pt;visibility:visible;" path="m0,99944l0,99944c9387,49970,18775,0,28639,0l28639,0c38505,0,47734,97563,59190,99944l59190,99944c70646,102324,91331,27762,97377,14278l97377,14278c103424,792,97377,19037,95468,19037e" coordsize="100000,100000" filled="f" strokecolor="#DCD7C2" strokeweight="2.00pt">
                      <v:path textboxrect="0,0,100000,100000"/>
                      <v:stroke dashstyle="solid"/>
                    </v:shape>
                  </w:pict>
                </mc:Fallback>
              </mc:AlternateContent>
            </w:r>
            <w:r>
              <w:rPr>
                <w:rFonts w:ascii="PT Astra Serif" w:hAnsi="PT Astra Serif"/>
                <w:sz w:val="24"/>
                <w:szCs w:val="24"/>
              </w:rPr>
            </w:r>
            <w:r>
              <w:rPr>
                <w:rFonts w:ascii="PT Astra Serif" w:hAnsi="PT Astra Serif"/>
                <w:sz w:val="24"/>
                <w:szCs w:val="24"/>
              </w:rPr>
            </w:r>
          </w:p>
        </w:tc>
        <w:tc>
          <w:tcPr>
            <w:gridSpan w:val="2"/>
            <w:shd w:val="clear" w:color="auto" w:fill="auto"/>
            <w:tcW w:w="2897" w:type="dxa"/>
            <w:vAlign w:val="center"/>
            <w:textDirection w:val="lrTb"/>
            <w:noWrap w:val="false"/>
          </w:tcPr>
          <w:p>
            <w:pPr>
              <w:tabs>
                <w:tab w:val="left" w:pos="1020" w:leader="none"/>
              </w:tabs>
              <w:rPr>
                <w:rFonts w:ascii="PT Astra Serif" w:hAnsi="PT Astra Serif"/>
                <w:sz w:val="24"/>
                <w:szCs w:val="24"/>
              </w:rPr>
            </w:pPr>
            <w:r>
              <w:rPr>
                <w:rFonts w:ascii="PT Astra Serif" w:hAnsi="PT Astra Serif"/>
                <w:sz w:val="24"/>
                <w:szCs w:val="24"/>
              </w:rPr>
              <w:t xml:space="preserve">Естественная убыль</w:t>
            </w:r>
            <w:r>
              <w:rPr>
                <w:rFonts w:ascii="PT Astra Serif" w:hAnsi="PT Astra Serif"/>
                <w:sz w:val="24"/>
                <w:szCs w:val="24"/>
              </w:rPr>
            </w:r>
            <w:r>
              <w:rPr>
                <w:rFonts w:ascii="PT Astra Serif" w:hAnsi="PT Astra Serif"/>
                <w:sz w:val="24"/>
                <w:szCs w:val="24"/>
              </w:rPr>
            </w:r>
          </w:p>
        </w:tc>
      </w:tr>
    </w:tbl>
    <w:p>
      <w:pPr>
        <w:jc w:val="center"/>
        <w:spacing w:after="0" w:line="240" w:lineRule="auto"/>
        <w:tabs>
          <w:tab w:val="center" w:pos="-1080" w:leader="none"/>
          <w:tab w:val="left" w:pos="1605" w:leader="none"/>
        </w:tabs>
        <w:rPr>
          <w:rFonts w:ascii="PT Astra Serif" w:hAnsi="PT Astra Serif" w:eastAsia="PT Astra Serif"/>
          <w:sz w:val="24"/>
          <w:szCs w:val="24"/>
        </w:rPr>
      </w:pPr>
      <w:r>
        <w:rPr>
          <w:rFonts w:ascii="PT Astra Serif" w:hAnsi="PT Astra Serif" w:eastAsia="PT Astra Serif"/>
          <w:sz w:val="24"/>
          <w:szCs w:val="24"/>
        </w:rPr>
        <w:t xml:space="preserve">Рисунок 2 </w:t>
      </w:r>
      <w:r>
        <w:rPr>
          <w:rFonts w:ascii="PT Astra Serif" w:hAnsi="PT Astra Serif"/>
          <w:sz w:val="24"/>
          <w:szCs w:val="24"/>
        </w:rPr>
        <w:t xml:space="preserve">–</w:t>
      </w:r>
      <w:r>
        <w:rPr>
          <w:rFonts w:ascii="PT Astra Serif" w:hAnsi="PT Astra Serif" w:eastAsia="PT Astra Serif"/>
          <w:sz w:val="24"/>
          <w:szCs w:val="24"/>
        </w:rPr>
        <w:t xml:space="preserve"> Динамика основных демографических показателей</w:t>
      </w:r>
      <w:r>
        <w:rPr>
          <w:rFonts w:ascii="PT Astra Serif" w:hAnsi="PT Astra Serif" w:eastAsia="PT Astra Serif"/>
          <w:sz w:val="24"/>
          <w:szCs w:val="24"/>
        </w:rPr>
        <w:br/>
        <w:t xml:space="preserve">в 2023 году, человек</w:t>
      </w:r>
      <w:r>
        <w:rPr>
          <w:rFonts w:ascii="PT Astra Serif" w:hAnsi="PT Astra Serif" w:eastAsia="PT Astra Serif"/>
          <w:sz w:val="24"/>
          <w:szCs w:val="24"/>
        </w:rPr>
      </w:r>
      <w:r>
        <w:rPr>
          <w:rFonts w:ascii="PT Astra Serif" w:hAnsi="PT Astra Serif" w:eastAsia="PT Astra Serif"/>
          <w:sz w:val="24"/>
          <w:szCs w:val="24"/>
        </w:rPr>
      </w:r>
    </w:p>
    <w:p>
      <w:pPr>
        <w:ind w:firstLine="709"/>
        <w:jc w:val="both"/>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eastAsia="Calibri"/>
          <w:sz w:val="24"/>
          <w:szCs w:val="24"/>
        </w:rPr>
        <w:t xml:space="preserve">Миграционный компонент вносит существенный вклад в снижение</w:t>
      </w:r>
      <w:r>
        <w:rPr>
          <w:rFonts w:ascii="PT Astra Serif" w:hAnsi="PT Astra Serif" w:eastAsia="Calibri"/>
          <w:sz w:val="24"/>
          <w:szCs w:val="24"/>
        </w:rPr>
        <w:t xml:space="preserve"> численности населения региона </w:t>
      </w:r>
      <w:r>
        <w:rPr>
          <w:rFonts w:ascii="PT Astra Serif" w:hAnsi="PT Astra Serif" w:eastAsia="Calibri"/>
          <w:sz w:val="24"/>
          <w:szCs w:val="24"/>
        </w:rPr>
        <w:t xml:space="preserve">за счет межрегиональной и международной миграции, преимущественно в страны СНГ.</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eastAsia="Calibri"/>
          <w:sz w:val="24"/>
          <w:szCs w:val="24"/>
        </w:rPr>
        <w:t xml:space="preserve">Миграция в Томской области в 2023 году характеризуется улучшением показателей. Миграционная убыль (-4,9) тыс. человек снизилась по сравнению с аналогичным периодом прошлого года (-6,6) тыс. человек, в том числе за счет:</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sz w:val="24"/>
          <w:szCs w:val="24"/>
        </w:rPr>
        <w:t xml:space="preserve">–</w:t>
      </w:r>
      <w:r>
        <w:rPr>
          <w:rFonts w:ascii="PT Astra Serif" w:hAnsi="PT Astra Serif" w:eastAsia="Calibri"/>
          <w:sz w:val="24"/>
          <w:szCs w:val="24"/>
        </w:rPr>
        <w:t xml:space="preserve"> превышения числа граждан, выбывших из Томской области в другие регионы страны, над числом прибывших на 2,8 тыс. человек;</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sz w:val="24"/>
          <w:szCs w:val="24"/>
        </w:rPr>
        <w:t xml:space="preserve">–</w:t>
      </w:r>
      <w:r>
        <w:rPr>
          <w:rFonts w:ascii="PT Astra Serif" w:hAnsi="PT Astra Serif" w:eastAsia="Calibri"/>
          <w:sz w:val="24"/>
          <w:szCs w:val="24"/>
        </w:rPr>
        <w:t xml:space="preserve"> превышения числа лиц, выехавших из региона за рубеж, преимущественно в страны СНГ (Казахстан, Киргизию, Узбекистан), над числом прибывших из-за рубежа на 2,1 тыс. человек.</w:t>
      </w:r>
      <w:r>
        <w:rPr>
          <w:rFonts w:ascii="PT Astra Serif" w:hAnsi="PT Astra Serif" w:eastAsia="Calibri"/>
          <w:sz w:val="24"/>
          <w:szCs w:val="24"/>
        </w:rPr>
      </w:r>
      <w:r>
        <w:rPr>
          <w:rFonts w:ascii="PT Astra Serif" w:hAnsi="PT Astra Serif" w:eastAsia="Calibri"/>
          <w:sz w:val="24"/>
          <w:szCs w:val="24"/>
        </w:rPr>
      </w:r>
    </w:p>
    <w:p>
      <w:pPr>
        <w:ind w:firstLine="1560"/>
        <w:jc w:val="both"/>
        <w:spacing w:after="0" w:line="240" w:lineRule="auto"/>
        <w:rPr>
          <w:rFonts w:ascii="PT Astra Serif" w:hAnsi="PT Astra Serif" w:eastAsia="PT Astra Serif"/>
          <w:sz w:val="24"/>
          <w:szCs w:val="24"/>
        </w:rPr>
      </w:pPr>
      <w:r>
        <w:rPr>
          <w:rFonts w:ascii="PT Astra Serif" w:hAnsi="PT Astra Serif" w:eastAsia="PT Astra Serif"/>
          <w:sz w:val="24"/>
          <w:szCs w:val="24"/>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2192020</wp:posOffset>
                </wp:positionH>
                <wp:positionV relativeFrom="paragraph">
                  <wp:posOffset>-69215</wp:posOffset>
                </wp:positionV>
                <wp:extent cx="1571625" cy="1180465"/>
                <wp:effectExtent l="0" t="0" r="0" b="635"/>
                <wp:wrapNone/>
                <wp:docPr id="8" name="Надпись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571625" cy="1180465"/>
                        </a:xfrm>
                        <a:prstGeom prst="rect">
                          <a:avLst/>
                        </a:prstGeom>
                        <a:noFill/>
                        <a:ln w="9525">
                          <a:noFill/>
                          <a:miter lim="800000"/>
                          <a:headEnd/>
                          <a:tailEnd/>
                        </a:ln>
                      </wps:spPr>
                      <wps:txbx>
                        <w:txbxContent>
                          <w:p>
                            <w:pPr>
                              <w:contextualSpacing/>
                              <w:jc w:val="center"/>
                              <w:rPr>
                                <w:rFonts w:ascii="PT Astra Serif" w:hAnsi="PT Astra Serif"/>
                                <w:b/>
                                <w:i/>
                                <w:sz w:val="24"/>
                              </w:rPr>
                            </w:pPr>
                            <w:r>
                              <w:rPr>
                                <w:rFonts w:ascii="PT Astra Serif" w:hAnsi="PT Astra Serif"/>
                                <w:b/>
                                <w:i/>
                                <w:sz w:val="24"/>
                              </w:rPr>
                            </w:r>
                            <w:r>
                              <w:rPr>
                                <w:rFonts w:ascii="PT Astra Serif" w:hAnsi="PT Astra Serif"/>
                                <w:b/>
                                <w:i/>
                                <w:sz w:val="24"/>
                              </w:rPr>
                            </w:r>
                            <w:r>
                              <w:rPr>
                                <w:rFonts w:ascii="PT Astra Serif" w:hAnsi="PT Astra Serif"/>
                                <w:b/>
                                <w:i/>
                                <w:sz w:val="24"/>
                              </w:rPr>
                            </w:r>
                          </w:p>
                          <w:p>
                            <w:pPr>
                              <w:contextualSpacing/>
                              <w:jc w:val="center"/>
                              <w:rPr>
                                <w:rFonts w:ascii="PT Astra Serif" w:hAnsi="PT Astra Serif"/>
                                <w:b/>
                                <w:color w:val="000000" w:themeColor="text1"/>
                                <w:sz w:val="32"/>
                              </w:rPr>
                            </w:pPr>
                            <w:r>
                              <w:rPr>
                                <w:rFonts w:ascii="PT Astra Serif" w:hAnsi="PT Astra Serif"/>
                                <w:b/>
                                <w:color w:val="000000" w:themeColor="text1"/>
                                <w:sz w:val="36"/>
                                <w:szCs w:val="36"/>
                              </w:rPr>
                              <w:t xml:space="preserve">4 860</w:t>
                            </w:r>
                            <w:r>
                              <w:rPr>
                                <w:rFonts w:ascii="PT Astra Serif" w:hAnsi="PT Astra Serif"/>
                                <w:b/>
                                <w:color w:val="000000" w:themeColor="text1"/>
                                <w:sz w:val="32"/>
                              </w:rPr>
                              <w:t xml:space="preserve"> </w:t>
                            </w:r>
                            <w:r>
                              <w:rPr>
                                <w:rFonts w:ascii="PT Astra Serif" w:hAnsi="PT Astra Serif"/>
                                <w:b/>
                                <w:i/>
                                <w:color w:val="000000" w:themeColor="text1"/>
                                <w:sz w:val="24"/>
                              </w:rPr>
                              <w:t xml:space="preserve">человек</w:t>
                            </w:r>
                            <w:r>
                              <w:rPr>
                                <w:rFonts w:ascii="PT Astra Serif" w:hAnsi="PT Astra Serif"/>
                                <w:b/>
                                <w:color w:val="000000" w:themeColor="text1"/>
                                <w:sz w:val="32"/>
                              </w:rPr>
                            </w:r>
                            <w:r>
                              <w:rPr>
                                <w:rFonts w:ascii="PT Astra Serif" w:hAnsi="PT Astra Serif"/>
                                <w:b/>
                                <w:color w:val="000000" w:themeColor="text1"/>
                                <w:sz w:val="32"/>
                              </w:rPr>
                            </w:r>
                          </w:p>
                          <w:p>
                            <w:pPr>
                              <w:contextualSpacing/>
                              <w:jc w:val="center"/>
                              <w:rPr>
                                <w:rFonts w:ascii="PT Astra Serif" w:hAnsi="PT Astra Serif"/>
                                <w:b/>
                                <w:i/>
                                <w:color w:val="000000" w:themeColor="text1"/>
                                <w:sz w:val="24"/>
                              </w:rPr>
                            </w:pPr>
                            <w:r>
                              <w:rPr>
                                <w:rFonts w:ascii="PT Astra Serif" w:hAnsi="PT Astra Serif"/>
                                <w:b/>
                                <w:i/>
                                <w:color w:val="000000" w:themeColor="text1"/>
                                <w:sz w:val="24"/>
                              </w:rPr>
                              <w:t xml:space="preserve">миграционный отток</w:t>
                            </w:r>
                            <w:r>
                              <w:rPr>
                                <w:rFonts w:ascii="PT Astra Serif" w:hAnsi="PT Astra Serif"/>
                                <w:b/>
                                <w:i/>
                                <w:color w:val="000000" w:themeColor="text1"/>
                                <w:sz w:val="24"/>
                              </w:rPr>
                            </w:r>
                            <w:r>
                              <w:rPr>
                                <w:rFonts w:ascii="PT Astra Serif" w:hAnsi="PT Astra Serif"/>
                                <w:b/>
                                <w:i/>
                                <w:color w:val="000000" w:themeColor="text1"/>
                                <w:sz w:val="24"/>
                              </w:rPr>
                            </w:r>
                          </w:p>
                          <w:p>
                            <w:pPr>
                              <w:contextualSpacing/>
                              <w:jc w:val="center"/>
                              <w:rPr>
                                <w:rFonts w:ascii="PT Astra Serif" w:hAnsi="PT Astra Serif"/>
                                <w:b/>
                                <w:i/>
                                <w:color w:val="000000" w:themeColor="text1"/>
                                <w:sz w:val="24"/>
                              </w:rPr>
                            </w:pPr>
                            <w:r>
                              <w:rPr>
                                <w:rFonts w:ascii="PT Astra Serif" w:hAnsi="PT Astra Serif"/>
                                <w:b/>
                                <w:i/>
                                <w:color w:val="000000" w:themeColor="text1"/>
                                <w:sz w:val="24"/>
                              </w:rPr>
                              <w:t xml:space="preserve">населения</w:t>
                            </w:r>
                            <w:r>
                              <w:rPr>
                                <w:rFonts w:ascii="PT Astra Serif" w:hAnsi="PT Astra Serif"/>
                                <w:b/>
                                <w:i/>
                                <w:color w:val="000000" w:themeColor="text1"/>
                                <w:sz w:val="24"/>
                              </w:rPr>
                            </w:r>
                            <w:r>
                              <w:rPr>
                                <w:rFonts w:ascii="PT Astra Serif" w:hAnsi="PT Astra Serif"/>
                                <w:b/>
                                <w:i/>
                                <w:color w:val="000000" w:themeColor="text1"/>
                                <w:sz w:val="24"/>
                              </w:rP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shape 5" o:spid="_x0000_s5" o:spt="202" type="#_x0000_t202" style="position:absolute;z-index:251671552;o:allowoverlap:true;o:allowincell:true;mso-position-horizontal-relative:text;margin-left:172.60pt;mso-position-horizontal:absolute;mso-position-vertical-relative:text;margin-top:-5.45pt;mso-position-vertical:absolute;width:123.75pt;height:92.95pt;mso-wrap-distance-left:9.00pt;mso-wrap-distance-top:0.00pt;mso-wrap-distance-right:9.00pt;mso-wrap-distance-bottom:0.00pt;v-text-anchor:top;visibility:visible;" filled="f" stroked="f" strokeweight="0.75pt">
                <v:textbox inset="0,0,0,0">
                  <w:txbxContent>
                    <w:p>
                      <w:pPr>
                        <w:contextualSpacing/>
                        <w:jc w:val="center"/>
                        <w:rPr>
                          <w:rFonts w:ascii="PT Astra Serif" w:hAnsi="PT Astra Serif"/>
                          <w:b/>
                          <w:i/>
                          <w:sz w:val="24"/>
                        </w:rPr>
                      </w:pPr>
                      <w:r>
                        <w:rPr>
                          <w:rFonts w:ascii="PT Astra Serif" w:hAnsi="PT Astra Serif"/>
                          <w:b/>
                          <w:i/>
                          <w:sz w:val="24"/>
                        </w:rPr>
                      </w:r>
                      <w:r>
                        <w:rPr>
                          <w:rFonts w:ascii="PT Astra Serif" w:hAnsi="PT Astra Serif"/>
                          <w:b/>
                          <w:i/>
                          <w:sz w:val="24"/>
                        </w:rPr>
                      </w:r>
                      <w:r>
                        <w:rPr>
                          <w:rFonts w:ascii="PT Astra Serif" w:hAnsi="PT Astra Serif"/>
                          <w:b/>
                          <w:i/>
                          <w:sz w:val="24"/>
                        </w:rPr>
                      </w:r>
                    </w:p>
                    <w:p>
                      <w:pPr>
                        <w:contextualSpacing/>
                        <w:jc w:val="center"/>
                        <w:rPr>
                          <w:rFonts w:ascii="PT Astra Serif" w:hAnsi="PT Astra Serif"/>
                          <w:b/>
                          <w:color w:val="000000" w:themeColor="text1"/>
                          <w:sz w:val="32"/>
                        </w:rPr>
                      </w:pPr>
                      <w:r>
                        <w:rPr>
                          <w:rFonts w:ascii="PT Astra Serif" w:hAnsi="PT Astra Serif"/>
                          <w:b/>
                          <w:color w:val="000000" w:themeColor="text1"/>
                          <w:sz w:val="36"/>
                          <w:szCs w:val="36"/>
                        </w:rPr>
                        <w:t xml:space="preserve">4 860</w:t>
                      </w:r>
                      <w:r>
                        <w:rPr>
                          <w:rFonts w:ascii="PT Astra Serif" w:hAnsi="PT Astra Serif"/>
                          <w:b/>
                          <w:color w:val="000000" w:themeColor="text1"/>
                          <w:sz w:val="32"/>
                        </w:rPr>
                        <w:t xml:space="preserve"> </w:t>
                      </w:r>
                      <w:r>
                        <w:rPr>
                          <w:rFonts w:ascii="PT Astra Serif" w:hAnsi="PT Astra Serif"/>
                          <w:b/>
                          <w:i/>
                          <w:color w:val="000000" w:themeColor="text1"/>
                          <w:sz w:val="24"/>
                        </w:rPr>
                        <w:t xml:space="preserve">человек</w:t>
                      </w:r>
                      <w:r>
                        <w:rPr>
                          <w:rFonts w:ascii="PT Astra Serif" w:hAnsi="PT Astra Serif"/>
                          <w:b/>
                          <w:color w:val="000000" w:themeColor="text1"/>
                          <w:sz w:val="32"/>
                        </w:rPr>
                      </w:r>
                      <w:r>
                        <w:rPr>
                          <w:rFonts w:ascii="PT Astra Serif" w:hAnsi="PT Astra Serif"/>
                          <w:b/>
                          <w:color w:val="000000" w:themeColor="text1"/>
                          <w:sz w:val="32"/>
                        </w:rPr>
                      </w:r>
                    </w:p>
                    <w:p>
                      <w:pPr>
                        <w:contextualSpacing/>
                        <w:jc w:val="center"/>
                        <w:rPr>
                          <w:rFonts w:ascii="PT Astra Serif" w:hAnsi="PT Astra Serif"/>
                          <w:b/>
                          <w:i/>
                          <w:color w:val="000000" w:themeColor="text1"/>
                          <w:sz w:val="24"/>
                        </w:rPr>
                      </w:pPr>
                      <w:r>
                        <w:rPr>
                          <w:rFonts w:ascii="PT Astra Serif" w:hAnsi="PT Astra Serif"/>
                          <w:b/>
                          <w:i/>
                          <w:color w:val="000000" w:themeColor="text1"/>
                          <w:sz w:val="24"/>
                        </w:rPr>
                        <w:t xml:space="preserve">миграционный отток</w:t>
                      </w:r>
                      <w:r>
                        <w:rPr>
                          <w:rFonts w:ascii="PT Astra Serif" w:hAnsi="PT Astra Serif"/>
                          <w:b/>
                          <w:i/>
                          <w:color w:val="000000" w:themeColor="text1"/>
                          <w:sz w:val="24"/>
                        </w:rPr>
                      </w:r>
                      <w:r>
                        <w:rPr>
                          <w:rFonts w:ascii="PT Astra Serif" w:hAnsi="PT Astra Serif"/>
                          <w:b/>
                          <w:i/>
                          <w:color w:val="000000" w:themeColor="text1"/>
                          <w:sz w:val="24"/>
                        </w:rPr>
                      </w:r>
                    </w:p>
                    <w:p>
                      <w:pPr>
                        <w:contextualSpacing/>
                        <w:jc w:val="center"/>
                        <w:rPr>
                          <w:rFonts w:ascii="PT Astra Serif" w:hAnsi="PT Astra Serif"/>
                          <w:b/>
                          <w:i/>
                          <w:color w:val="000000" w:themeColor="text1"/>
                          <w:sz w:val="24"/>
                        </w:rPr>
                      </w:pPr>
                      <w:r>
                        <w:rPr>
                          <w:rFonts w:ascii="PT Astra Serif" w:hAnsi="PT Astra Serif"/>
                          <w:b/>
                          <w:i/>
                          <w:color w:val="000000" w:themeColor="text1"/>
                          <w:sz w:val="24"/>
                        </w:rPr>
                        <w:t xml:space="preserve">населения</w:t>
                      </w:r>
                      <w:r>
                        <w:rPr>
                          <w:rFonts w:ascii="PT Astra Serif" w:hAnsi="PT Astra Serif"/>
                          <w:b/>
                          <w:i/>
                          <w:color w:val="000000" w:themeColor="text1"/>
                          <w:sz w:val="24"/>
                        </w:rPr>
                      </w:r>
                      <w:r>
                        <w:rPr>
                          <w:rFonts w:ascii="PT Astra Serif" w:hAnsi="PT Astra Serif"/>
                          <w:b/>
                          <w:i/>
                          <w:color w:val="000000" w:themeColor="text1"/>
                          <w:sz w:val="24"/>
                        </w:rPr>
                      </w:r>
                    </w:p>
                  </w:txbxContent>
                </v:textbox>
              </v:shape>
            </w:pict>
          </mc:Fallback>
        </mc:AlternateContent>
      </w:r>
      <w:r>
        <w:rPr>
          <w:rFonts w:ascii="PT Astra Serif" w:hAnsi="PT Astra Serif" w:eastAsia="PT Astra Serif"/>
          <w:sz w:val="24"/>
          <w:szCs w:val="24"/>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36146</wp:posOffset>
                </wp:positionH>
                <wp:positionV relativeFrom="paragraph">
                  <wp:posOffset>116230</wp:posOffset>
                </wp:positionV>
                <wp:extent cx="2101932" cy="534010"/>
                <wp:effectExtent l="0" t="0" r="0" b="0"/>
                <wp:wrapNone/>
                <wp:docPr id="9" name="Стрелка вправо 74"/>
                <wp:cNvGraphicFramePr/>
                <a:graphic xmlns:a="http://schemas.openxmlformats.org/drawingml/2006/main">
                  <a:graphicData uri="http://schemas.microsoft.com/office/word/2010/wordprocessingShape">
                    <wps:wsp>
                      <wps:cNvPr id="0" name=""/>
                      <wps:cNvSpPr/>
                      <wps:spPr bwMode="auto">
                        <a:xfrm>
                          <a:off x="0" y="0"/>
                          <a:ext cx="2101932" cy="534010"/>
                        </a:xfrm>
                        <a:prstGeom prst="rightArrow">
                          <a:avLst>
                            <a:gd name="adj1" fmla="val 60022"/>
                            <a:gd name="adj2" fmla="val 50000"/>
                          </a:avLst>
                        </a:prstGeom>
                        <a:solidFill>
                          <a:srgbClr val="96C8BE"/>
                        </a:solidFill>
                        <a:ln w="25400" cap="flat" cmpd="sng" algn="ctr">
                          <a:noFill/>
                          <a:prstDash val="solid"/>
                        </a:ln>
                        <a:effectLst/>
                      </wps:spPr>
                      <wps:txbx>
                        <w:txbxContent>
                          <w:p>
                            <w:pPr>
                              <w:jc w:val="center"/>
                              <w:rPr>
                                <w:rFonts w:ascii="PT Astra Serif" w:hAnsi="PT Astra Serif"/>
                                <w:b/>
                                <w:color w:val="ffffff" w:themeColor="background1"/>
                                <w:sz w:val="28"/>
                              </w:rPr>
                            </w:pPr>
                            <w:r>
                              <w:rPr>
                                <w:rFonts w:ascii="PT Astra Serif" w:hAnsi="PT Astra Serif"/>
                                <w:b/>
                                <w:color w:val="ffffff" w:themeColor="background1"/>
                                <w:sz w:val="28"/>
                                <w:szCs w:val="28"/>
                              </w:rPr>
                              <w:t xml:space="preserve">Прибывшие </w:t>
                            </w:r>
                            <w:r>
                              <w:rPr>
                                <w:rFonts w:ascii="PT Astra Serif" w:hAnsi="PT Astra Serif"/>
                                <w:b/>
                                <w:color w:val="ffffff" w:themeColor="background1"/>
                                <w:sz w:val="28"/>
                                <w:szCs w:val="28"/>
                              </w:rPr>
                              <w:t xml:space="preserve">25 847</w:t>
                            </w:r>
                            <w:r>
                              <w:rPr>
                                <w:rFonts w:ascii="PT Astra Serif" w:hAnsi="PT Astra Serif"/>
                                <w:b/>
                                <w:color w:val="ffffff" w:themeColor="background1"/>
                                <w:sz w:val="28"/>
                              </w:rPr>
                            </w:r>
                            <w:r>
                              <w:rPr>
                                <w:rFonts w:ascii="PT Astra Serif" w:hAnsi="PT Astra Serif"/>
                                <w:b/>
                                <w:color w:val="ffffff" w:themeColor="background1"/>
                                <w:sz w:val="28"/>
                              </w:rPr>
                            </w:r>
                          </w:p>
                        </w:txbxContent>
                      </wps:txbx>
                      <wps:bodyPr rot="0" spcFirstLastPara="0" vertOverflow="overflow" horzOverflow="overflow" vert="horz" wrap="square" lIns="91440" tIns="45720" rIns="91440" bIns="45720" numCol="1" spcCol="0" rtlCol="0" fromWordArt="0" anchor="ctr" anchorCtr="0" forceAA="0" compatLnSpc="1">
                        <a:prstTxWarp prst="textNoShape"/>
                        <a:noAutofit/>
                      </wps:bodyPr>
                    </wps:wsp>
                  </a:graphicData>
                </a:graphic>
                <wp14:sizeRelH relativeFrom="margin">
                  <wp14:pctWidth>0</wp14:pctWidth>
                </wp14:sizeRelH>
                <wp14:sizeRelV relativeFrom="margin">
                  <wp14:pctHeight>0</wp14:pctHeight>
                </wp14:sizeRelV>
              </wp:anchor>
            </w:drawing>
          </mc:Choice>
          <mc:Fallback>
            <w:pict>
              <v:shape id="shape 6" o:spid="_x0000_s6" o:spt="13" type="#_x0000_t13" style="position:absolute;z-index:251669504;o:allowoverlap:true;o:allowincell:true;mso-position-horizontal-relative:text;margin-left:2.85pt;mso-position-horizontal:absolute;mso-position-vertical-relative:text;margin-top:9.15pt;mso-position-vertical:absolute;width:165.51pt;height:42.05pt;mso-wrap-distance-left:9.00pt;mso-wrap-distance-top:0.00pt;mso-wrap-distance-right:9.00pt;mso-wrap-distance-bottom:0.00pt;v-text-anchor:middle;visibility:visible;" fillcolor="#96C8BE" stroked="f" strokeweight="2.00pt">
                <v:stroke dashstyle="solid"/>
                <v:textbox inset="0,0,0,0">
                  <w:txbxContent>
                    <w:p>
                      <w:pPr>
                        <w:jc w:val="center"/>
                        <w:rPr>
                          <w:rFonts w:ascii="PT Astra Serif" w:hAnsi="PT Astra Serif"/>
                          <w:b/>
                          <w:color w:val="ffffff" w:themeColor="background1"/>
                          <w:sz w:val="28"/>
                        </w:rPr>
                      </w:pPr>
                      <w:r>
                        <w:rPr>
                          <w:rFonts w:ascii="PT Astra Serif" w:hAnsi="PT Astra Serif"/>
                          <w:b/>
                          <w:color w:val="ffffff" w:themeColor="background1"/>
                          <w:sz w:val="28"/>
                          <w:szCs w:val="28"/>
                        </w:rPr>
                        <w:t xml:space="preserve">Прибывшие </w:t>
                      </w:r>
                      <w:r>
                        <w:rPr>
                          <w:rFonts w:ascii="PT Astra Serif" w:hAnsi="PT Astra Serif"/>
                          <w:b/>
                          <w:color w:val="ffffff" w:themeColor="background1"/>
                          <w:sz w:val="28"/>
                          <w:szCs w:val="28"/>
                        </w:rPr>
                        <w:t xml:space="preserve">25 847</w:t>
                      </w:r>
                      <w:r>
                        <w:rPr>
                          <w:rFonts w:ascii="PT Astra Serif" w:hAnsi="PT Astra Serif"/>
                          <w:b/>
                          <w:color w:val="ffffff" w:themeColor="background1"/>
                          <w:sz w:val="28"/>
                        </w:rPr>
                      </w:r>
                      <w:r>
                        <w:rPr>
                          <w:rFonts w:ascii="PT Astra Serif" w:hAnsi="PT Astra Serif"/>
                          <w:b/>
                          <w:color w:val="ffffff" w:themeColor="background1"/>
                          <w:sz w:val="28"/>
                        </w:rPr>
                      </w:r>
                    </w:p>
                  </w:txbxContent>
                </v:textbox>
              </v:shape>
            </w:pict>
          </mc:Fallback>
        </mc:AlternateContent>
      </w:r>
      <w:r>
        <w:rPr>
          <w:rFonts w:ascii="PT Astra Serif" w:hAnsi="PT Astra Serif" w:eastAsia="PT Astra Serif"/>
          <w:sz w:val="24"/>
          <w:szCs w:val="24"/>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3762375</wp:posOffset>
                </wp:positionH>
                <wp:positionV relativeFrom="paragraph">
                  <wp:posOffset>118745</wp:posOffset>
                </wp:positionV>
                <wp:extent cx="1858010" cy="577850"/>
                <wp:effectExtent l="0" t="0" r="8890" b="0"/>
                <wp:wrapNone/>
                <wp:docPr id="10" name="Стрелка вправо 596"/>
                <wp:cNvGraphicFramePr/>
                <a:graphic xmlns:a="http://schemas.openxmlformats.org/drawingml/2006/main">
                  <a:graphicData uri="http://schemas.microsoft.com/office/word/2010/wordprocessingShape">
                    <wps:wsp>
                      <wps:cNvPr id="0" name=""/>
                      <wps:cNvSpPr/>
                      <wps:spPr bwMode="auto">
                        <a:xfrm>
                          <a:off x="0" y="0"/>
                          <a:ext cx="1858010" cy="577849"/>
                        </a:xfrm>
                        <a:prstGeom prst="rightArrow">
                          <a:avLst>
                            <a:gd name="adj1" fmla="val 60022"/>
                            <a:gd name="adj2" fmla="val 50000"/>
                          </a:avLst>
                        </a:prstGeom>
                        <a:solidFill>
                          <a:srgbClr val="326E8C"/>
                        </a:solidFill>
                        <a:ln w="25400" cap="flat" cmpd="sng" algn="ctr">
                          <a:noFill/>
                          <a:prstDash val="solid"/>
                        </a:ln>
                        <a:effectLst/>
                      </wps:spPr>
                      <wps:txbx>
                        <w:txbxContent>
                          <w:p>
                            <w:pPr>
                              <w:jc w:val="center"/>
                              <w:rPr>
                                <w:rFonts w:ascii="PT Astra Serif" w:hAnsi="PT Astra Serif"/>
                                <w:b/>
                                <w:color w:val="ffffff" w:themeColor="background1"/>
                                <w:sz w:val="28"/>
                                <w:szCs w:val="28"/>
                              </w:rPr>
                            </w:pPr>
                            <w:r>
                              <w:rPr>
                                <w:rFonts w:ascii="PT Astra Serif" w:hAnsi="PT Astra Serif"/>
                                <w:b/>
                                <w:color w:val="ffffff" w:themeColor="background1"/>
                                <w:sz w:val="28"/>
                                <w:szCs w:val="28"/>
                              </w:rPr>
                              <w:t xml:space="preserve">Выбывшие </w:t>
                            </w:r>
                            <w:r>
                              <w:rPr>
                                <w:rFonts w:ascii="PT Astra Serif" w:hAnsi="PT Astra Serif"/>
                                <w:b/>
                                <w:color w:val="ffffff" w:themeColor="background1"/>
                                <w:sz w:val="28"/>
                                <w:szCs w:val="28"/>
                              </w:rPr>
                              <w:t xml:space="preserve">30 707</w:t>
                            </w:r>
                            <w:r>
                              <w:rPr>
                                <w:rFonts w:ascii="PT Astra Serif" w:hAnsi="PT Astra Serif"/>
                                <w:b/>
                                <w:color w:val="ffffff" w:themeColor="background1"/>
                                <w:sz w:val="28"/>
                                <w:szCs w:val="28"/>
                              </w:rPr>
                            </w:r>
                            <w:r>
                              <w:rPr>
                                <w:rFonts w:ascii="PT Astra Serif" w:hAnsi="PT Astra Serif"/>
                                <w:b/>
                                <w:color w:val="ffffff" w:themeColor="background1"/>
                                <w:sz w:val="28"/>
                                <w:szCs w:val="28"/>
                              </w:rPr>
                            </w:r>
                          </w:p>
                          <w:p>
                            <w:pPr>
                              <w:jc w:val="center"/>
                              <w:rPr>
                                <w:color w:val="ffffff" w:themeColor="background1"/>
                              </w:rPr>
                            </w:pPr>
                            <w:r>
                              <w:rPr>
                                <w:color w:val="ffffff" w:themeColor="background1"/>
                              </w:rPr>
                            </w:r>
                            <w:r>
                              <w:rPr>
                                <w:color w:val="ffffff" w:themeColor="background1"/>
                              </w:rPr>
                            </w:r>
                            <w:r>
                              <w:rPr>
                                <w:color w:val="ffffff" w:themeColor="background1"/>
                              </w:rPr>
                            </w:r>
                          </w:p>
                        </w:txbxContent>
                      </wps:txbx>
                      <wps:bodyPr rot="0" spcFirstLastPara="0" vertOverflow="overflow" horzOverflow="overflow" vert="horz" wrap="square" lIns="91440" tIns="45720" rIns="91440" bIns="45720" numCol="1" spcCol="0" rtlCol="0" fromWordArt="0" anchor="ctr" anchorCtr="0" forceAA="0" compatLnSpc="1">
                        <a:prstTxWarp prst="textNoShape"/>
                        <a:noAutofit/>
                      </wps:bodyPr>
                    </wps:wsp>
                  </a:graphicData>
                </a:graphic>
                <wp14:sizeRelH relativeFrom="margin">
                  <wp14:pctWidth>0</wp14:pctWidth>
                </wp14:sizeRelH>
                <wp14:sizeRelV relativeFrom="margin">
                  <wp14:pctHeight>0</wp14:pctHeight>
                </wp14:sizeRelV>
              </wp:anchor>
            </w:drawing>
          </mc:Choice>
          <mc:Fallback>
            <w:pict>
              <v:shape id="shape 7" o:spid="_x0000_s7" o:spt="13" type="#_x0000_t13" style="position:absolute;z-index:251668480;o:allowoverlap:true;o:allowincell:true;mso-position-horizontal-relative:text;margin-left:296.25pt;mso-position-horizontal:absolute;mso-position-vertical-relative:text;margin-top:9.35pt;mso-position-vertical:absolute;width:146.30pt;height:45.50pt;mso-wrap-distance-left:9.00pt;mso-wrap-distance-top:0.00pt;mso-wrap-distance-right:9.00pt;mso-wrap-distance-bottom:0.00pt;v-text-anchor:middle;visibility:visible;" fillcolor="#326E8C" stroked="f" strokeweight="2.00pt">
                <v:stroke dashstyle="solid"/>
                <v:textbox inset="0,0,0,0">
                  <w:txbxContent>
                    <w:p>
                      <w:pPr>
                        <w:jc w:val="center"/>
                        <w:rPr>
                          <w:rFonts w:ascii="PT Astra Serif" w:hAnsi="PT Astra Serif"/>
                          <w:b/>
                          <w:color w:val="ffffff" w:themeColor="background1"/>
                          <w:sz w:val="28"/>
                          <w:szCs w:val="28"/>
                        </w:rPr>
                      </w:pPr>
                      <w:r>
                        <w:rPr>
                          <w:rFonts w:ascii="PT Astra Serif" w:hAnsi="PT Astra Serif"/>
                          <w:b/>
                          <w:color w:val="ffffff" w:themeColor="background1"/>
                          <w:sz w:val="28"/>
                          <w:szCs w:val="28"/>
                        </w:rPr>
                        <w:t xml:space="preserve">Выбывшие </w:t>
                      </w:r>
                      <w:r>
                        <w:rPr>
                          <w:rFonts w:ascii="PT Astra Serif" w:hAnsi="PT Astra Serif"/>
                          <w:b/>
                          <w:color w:val="ffffff" w:themeColor="background1"/>
                          <w:sz w:val="28"/>
                          <w:szCs w:val="28"/>
                        </w:rPr>
                        <w:t xml:space="preserve">30 707</w:t>
                      </w:r>
                      <w:r>
                        <w:rPr>
                          <w:rFonts w:ascii="PT Astra Serif" w:hAnsi="PT Astra Serif"/>
                          <w:b/>
                          <w:color w:val="ffffff" w:themeColor="background1"/>
                          <w:sz w:val="28"/>
                          <w:szCs w:val="28"/>
                        </w:rPr>
                      </w:r>
                      <w:r>
                        <w:rPr>
                          <w:rFonts w:ascii="PT Astra Serif" w:hAnsi="PT Astra Serif"/>
                          <w:b/>
                          <w:color w:val="ffffff" w:themeColor="background1"/>
                          <w:sz w:val="28"/>
                          <w:szCs w:val="28"/>
                        </w:rPr>
                      </w:r>
                    </w:p>
                    <w:p>
                      <w:pPr>
                        <w:jc w:val="center"/>
                        <w:rPr>
                          <w:color w:val="ffffff" w:themeColor="background1"/>
                        </w:rPr>
                      </w:pPr>
                      <w:r>
                        <w:rPr>
                          <w:color w:val="ffffff" w:themeColor="background1"/>
                        </w:rPr>
                      </w:r>
                      <w:r>
                        <w:rPr>
                          <w:color w:val="ffffff" w:themeColor="background1"/>
                        </w:rPr>
                      </w:r>
                      <w:r>
                        <w:rPr>
                          <w:color w:val="ffffff" w:themeColor="background1"/>
                        </w:rPr>
                      </w:r>
                    </w:p>
                  </w:txbxContent>
                </v:textbox>
              </v:shape>
            </w:pict>
          </mc:Fallback>
        </mc:AlternateContent>
      </w:r>
      <w:r>
        <w:rPr>
          <w:rFonts w:ascii="PT Astra Serif" w:hAnsi="PT Astra Serif" w:eastAsia="PT Astra Serif"/>
          <w:sz w:val="24"/>
          <w:szCs w:val="24"/>
        </w:rPr>
      </w:r>
      <w:r>
        <w:rPr>
          <w:rFonts w:ascii="PT Astra Serif" w:hAnsi="PT Astra Serif" w:eastAsia="PT Astra Serif"/>
          <w:sz w:val="24"/>
          <w:szCs w:val="24"/>
        </w:rPr>
      </w:r>
    </w:p>
    <w:p>
      <w:pPr>
        <w:ind w:firstLine="1560"/>
        <w:jc w:val="both"/>
        <w:spacing w:after="0" w:line="240" w:lineRule="auto"/>
        <w:rPr>
          <w:rFonts w:ascii="PT Astra Serif" w:hAnsi="PT Astra Serif" w:eastAsia="PT Astra Serif"/>
          <w:sz w:val="24"/>
          <w:szCs w:val="24"/>
        </w:rPr>
      </w:pPr>
      <w:r>
        <w:rPr>
          <w:rFonts w:ascii="PT Astra Serif" w:hAnsi="PT Astra Serif" w:eastAsia="PT Astra Serif"/>
          <w:sz w:val="24"/>
          <w:szCs w:val="24"/>
        </w:rPr>
      </w:r>
      <w:r>
        <w:rPr>
          <w:rFonts w:ascii="PT Astra Serif" w:hAnsi="PT Astra Serif" w:eastAsia="PT Astra Serif"/>
          <w:sz w:val="24"/>
          <w:szCs w:val="24"/>
        </w:rPr>
      </w:r>
      <w:r>
        <w:rPr>
          <w:rFonts w:ascii="PT Astra Serif" w:hAnsi="PT Astra Serif" w:eastAsia="PT Astra Serif"/>
          <w:sz w:val="24"/>
          <w:szCs w:val="24"/>
        </w:rPr>
      </w:r>
    </w:p>
    <w:p>
      <w:pPr>
        <w:jc w:val="both"/>
        <w:spacing w:after="0" w:line="240" w:lineRule="auto"/>
        <w:rPr>
          <w:rFonts w:ascii="PT Astra Serif" w:hAnsi="PT Astra Serif" w:eastAsia="PT Astra Serif"/>
          <w:sz w:val="24"/>
          <w:szCs w:val="24"/>
        </w:rPr>
      </w:pPr>
      <w:r>
        <w:rPr>
          <w:rFonts w:ascii="PT Astra Serif" w:hAnsi="PT Astra Serif" w:eastAsia="PT Astra Serif"/>
          <w:sz w:val="24"/>
          <w:szCs w:val="24"/>
        </w:rPr>
      </w:r>
      <w:r>
        <w:rPr>
          <w:rFonts w:ascii="PT Astra Serif" w:hAnsi="PT Astra Serif" w:eastAsia="PT Astra Serif"/>
          <w:sz w:val="24"/>
          <w:szCs w:val="24"/>
        </w:rPr>
      </w:r>
      <w:r>
        <w:rPr>
          <w:rFonts w:ascii="PT Astra Serif" w:hAnsi="PT Astra Serif" w:eastAsia="PT Astra Serif"/>
          <w:sz w:val="24"/>
          <w:szCs w:val="24"/>
        </w:rPr>
      </w:r>
    </w:p>
    <w:p>
      <w:pPr>
        <w:jc w:val="both"/>
        <w:spacing w:after="0" w:line="240" w:lineRule="auto"/>
        <w:rPr>
          <w:rFonts w:ascii="PT Astra Serif" w:hAnsi="PT Astra Serif" w:eastAsia="PT Astra Serif"/>
          <w:sz w:val="24"/>
          <w:szCs w:val="24"/>
        </w:rPr>
      </w:pPr>
      <w:r>
        <w:rPr>
          <w:rFonts w:ascii="PT Astra Serif" w:hAnsi="PT Astra Serif" w:eastAsia="PT Astra Serif"/>
          <w:sz w:val="24"/>
          <w:szCs w:val="24"/>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4758690</wp:posOffset>
                </wp:positionH>
                <wp:positionV relativeFrom="paragraph">
                  <wp:posOffset>184150</wp:posOffset>
                </wp:positionV>
                <wp:extent cx="1285875" cy="771525"/>
                <wp:effectExtent l="0" t="0" r="0" b="0"/>
                <wp:wrapNone/>
                <wp:docPr id="11" name="Надпись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85875" cy="771525"/>
                        </a:xfrm>
                        <a:prstGeom prst="rect">
                          <a:avLst/>
                        </a:prstGeom>
                        <a:noFill/>
                        <a:ln w="9525">
                          <a:noFill/>
                          <a:miter lim="800000"/>
                          <a:headEnd/>
                          <a:tailEnd/>
                        </a:ln>
                      </wps:spPr>
                      <wps:txbx>
                        <w:txbxContent>
                          <w:p>
                            <w:pPr>
                              <w:contextualSpacing/>
                              <w:jc w:val="center"/>
                              <w:spacing w:line="240" w:lineRule="auto"/>
                              <w:rPr>
                                <w:rFonts w:ascii="PT Astra Serif" w:hAnsi="PT Astra Serif"/>
                                <w:b/>
                              </w:rPr>
                            </w:pPr>
                            <w:r>
                              <w:rPr>
                                <w:rFonts w:ascii="PT Astra Serif" w:hAnsi="PT Astra Serif"/>
                                <w:b/>
                              </w:rPr>
                              <w:t xml:space="preserve">в страны СНГ</w:t>
                            </w:r>
                            <w:r>
                              <w:rPr>
                                <w:rFonts w:ascii="PT Astra Serif" w:hAnsi="PT Astra Serif"/>
                                <w:b/>
                              </w:rPr>
                            </w:r>
                            <w:r>
                              <w:rPr>
                                <w:rFonts w:ascii="PT Astra Serif" w:hAnsi="PT Astra Serif"/>
                                <w:b/>
                              </w:rPr>
                            </w:r>
                          </w:p>
                          <w:p>
                            <w:pPr>
                              <w:contextualSpacing/>
                              <w:jc w:val="center"/>
                              <w:spacing w:line="240" w:lineRule="auto"/>
                              <w:rPr>
                                <w:rFonts w:ascii="PT Astra Serif" w:hAnsi="PT Astra Serif"/>
                                <w:b/>
                                <w:sz w:val="32"/>
                              </w:rPr>
                            </w:pPr>
                            <w:r>
                              <w:rPr>
                                <w:rFonts w:ascii="PT Astra Serif" w:hAnsi="PT Astra Serif"/>
                                <w:b/>
                                <w:sz w:val="28"/>
                                <w:szCs w:val="28"/>
                              </w:rPr>
                              <w:t xml:space="preserve">8 164</w:t>
                            </w:r>
                            <w:r>
                              <w:rPr>
                                <w:rFonts w:ascii="PT Astra Serif" w:hAnsi="PT Astra Serif"/>
                                <w:b/>
                                <w:sz w:val="32"/>
                              </w:rPr>
                            </w:r>
                            <w:r>
                              <w:rPr>
                                <w:rFonts w:ascii="PT Astra Serif" w:hAnsi="PT Astra Serif"/>
                                <w:b/>
                                <w:sz w:val="32"/>
                              </w:rPr>
                            </w:r>
                          </w:p>
                          <w:p>
                            <w:pPr>
                              <w:contextualSpacing/>
                              <w:jc w:val="center"/>
                              <w:spacing w:line="240" w:lineRule="auto"/>
                              <w:rPr>
                                <w:rFonts w:ascii="PT Astra Serif" w:hAnsi="PT Astra Serif"/>
                                <w:b/>
                              </w:rPr>
                            </w:pPr>
                            <w:r>
                              <w:rPr>
                                <w:rFonts w:ascii="PT Astra Serif" w:hAnsi="PT Astra Serif"/>
                                <w:b/>
                              </w:rPr>
                              <w:t xml:space="preserve">26,6</w:t>
                            </w:r>
                            <w:r>
                              <w:rPr>
                                <w:rFonts w:ascii="PT Astra Serif" w:hAnsi="PT Astra Serif"/>
                                <w:b/>
                              </w:rPr>
                              <w:t xml:space="preserve">%</w:t>
                            </w:r>
                            <w:r>
                              <w:rPr>
                                <w:rFonts w:ascii="PT Astra Serif" w:hAnsi="PT Astra Serif"/>
                                <w:b/>
                              </w:rPr>
                            </w:r>
                            <w:r>
                              <w:rPr>
                                <w:rFonts w:ascii="PT Astra Serif" w:hAnsi="PT Astra Serif"/>
                                <w:b/>
                              </w:rP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shape 8" o:spid="_x0000_s8" o:spt="202" type="#_x0000_t202" style="position:absolute;z-index:251666432;o:allowoverlap:true;o:allowincell:true;mso-position-horizontal-relative:text;margin-left:374.70pt;mso-position-horizontal:absolute;mso-position-vertical-relative:text;margin-top:14.50pt;mso-position-vertical:absolute;width:101.25pt;height:60.75pt;mso-wrap-distance-left:9.00pt;mso-wrap-distance-top:0.00pt;mso-wrap-distance-right:9.00pt;mso-wrap-distance-bottom:0.00pt;v-text-anchor:top;visibility:visible;" filled="f" stroked="f" strokeweight="0.75pt">
                <v:textbox inset="0,0,0,0">
                  <w:txbxContent>
                    <w:p>
                      <w:pPr>
                        <w:contextualSpacing/>
                        <w:jc w:val="center"/>
                        <w:spacing w:line="240" w:lineRule="auto"/>
                        <w:rPr>
                          <w:rFonts w:ascii="PT Astra Serif" w:hAnsi="PT Astra Serif"/>
                          <w:b/>
                        </w:rPr>
                      </w:pPr>
                      <w:r>
                        <w:rPr>
                          <w:rFonts w:ascii="PT Astra Serif" w:hAnsi="PT Astra Serif"/>
                          <w:b/>
                        </w:rPr>
                        <w:t xml:space="preserve">в страны СНГ</w:t>
                      </w:r>
                      <w:r>
                        <w:rPr>
                          <w:rFonts w:ascii="PT Astra Serif" w:hAnsi="PT Astra Serif"/>
                          <w:b/>
                        </w:rPr>
                      </w:r>
                      <w:r>
                        <w:rPr>
                          <w:rFonts w:ascii="PT Astra Serif" w:hAnsi="PT Astra Serif"/>
                          <w:b/>
                        </w:rPr>
                      </w:r>
                    </w:p>
                    <w:p>
                      <w:pPr>
                        <w:contextualSpacing/>
                        <w:jc w:val="center"/>
                        <w:spacing w:line="240" w:lineRule="auto"/>
                        <w:rPr>
                          <w:rFonts w:ascii="PT Astra Serif" w:hAnsi="PT Astra Serif"/>
                          <w:b/>
                          <w:sz w:val="32"/>
                        </w:rPr>
                      </w:pPr>
                      <w:r>
                        <w:rPr>
                          <w:rFonts w:ascii="PT Astra Serif" w:hAnsi="PT Astra Serif"/>
                          <w:b/>
                          <w:sz w:val="28"/>
                          <w:szCs w:val="28"/>
                        </w:rPr>
                        <w:t xml:space="preserve">8 164</w:t>
                      </w:r>
                      <w:r>
                        <w:rPr>
                          <w:rFonts w:ascii="PT Astra Serif" w:hAnsi="PT Astra Serif"/>
                          <w:b/>
                          <w:sz w:val="32"/>
                        </w:rPr>
                      </w:r>
                      <w:r>
                        <w:rPr>
                          <w:rFonts w:ascii="PT Astra Serif" w:hAnsi="PT Astra Serif"/>
                          <w:b/>
                          <w:sz w:val="32"/>
                        </w:rPr>
                      </w:r>
                    </w:p>
                    <w:p>
                      <w:pPr>
                        <w:contextualSpacing/>
                        <w:jc w:val="center"/>
                        <w:spacing w:line="240" w:lineRule="auto"/>
                        <w:rPr>
                          <w:rFonts w:ascii="PT Astra Serif" w:hAnsi="PT Astra Serif"/>
                          <w:b/>
                        </w:rPr>
                      </w:pPr>
                      <w:r>
                        <w:rPr>
                          <w:rFonts w:ascii="PT Astra Serif" w:hAnsi="PT Astra Serif"/>
                          <w:b/>
                        </w:rPr>
                        <w:t xml:space="preserve">26,6</w:t>
                      </w:r>
                      <w:r>
                        <w:rPr>
                          <w:rFonts w:ascii="PT Astra Serif" w:hAnsi="PT Astra Serif"/>
                          <w:b/>
                        </w:rPr>
                        <w:t xml:space="preserve">%</w:t>
                      </w:r>
                      <w:r>
                        <w:rPr>
                          <w:rFonts w:ascii="PT Astra Serif" w:hAnsi="PT Astra Serif"/>
                          <w:b/>
                        </w:rPr>
                      </w:r>
                      <w:r>
                        <w:rPr>
                          <w:rFonts w:ascii="PT Astra Serif" w:hAnsi="PT Astra Serif"/>
                          <w:b/>
                        </w:rPr>
                      </w:r>
                    </w:p>
                  </w:txbxContent>
                </v:textbox>
              </v:shape>
            </w:pict>
          </mc:Fallback>
        </mc:AlternateContent>
      </w:r>
      <w:r>
        <w:rPr>
          <w:rFonts w:ascii="PT Astra Serif" w:hAnsi="PT Astra Serif" w:eastAsia="PT Astra Serif"/>
          <w:sz w:val="24"/>
          <w:szCs w:val="24"/>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-422910</wp:posOffset>
                </wp:positionH>
                <wp:positionV relativeFrom="paragraph">
                  <wp:posOffset>107950</wp:posOffset>
                </wp:positionV>
                <wp:extent cx="1533525" cy="847725"/>
                <wp:effectExtent l="0" t="0" r="0" b="0"/>
                <wp:wrapNone/>
                <wp:docPr id="12" name="Надпись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533525" cy="847725"/>
                        </a:xfrm>
                        <a:prstGeom prst="rect">
                          <a:avLst/>
                        </a:prstGeom>
                        <a:noFill/>
                        <a:ln w="9525">
                          <a:noFill/>
                          <a:miter lim="800000"/>
                          <a:headEnd/>
                          <a:tailEnd/>
                        </a:ln>
                      </wps:spPr>
                      <wps:txbx>
                        <w:txbxContent>
                          <w:p>
                            <w:pPr>
                              <w:contextualSpacing/>
                              <w:jc w:val="center"/>
                              <w:spacing w:line="240" w:lineRule="auto"/>
                              <w:rPr>
                                <w:rFonts w:ascii="PT Astra Serif" w:hAnsi="PT Astra Serif"/>
                                <w:b/>
                              </w:rPr>
                            </w:pPr>
                            <w:r>
                              <w:rPr>
                                <w:rFonts w:ascii="PT Astra Serif" w:hAnsi="PT Astra Serif"/>
                                <w:b/>
                              </w:rPr>
                              <w:t xml:space="preserve">из стран СНГ</w:t>
                            </w:r>
                            <w:r>
                              <w:rPr>
                                <w:rFonts w:ascii="PT Astra Serif" w:hAnsi="PT Astra Serif"/>
                                <w:b/>
                              </w:rPr>
                            </w:r>
                            <w:r>
                              <w:rPr>
                                <w:rFonts w:ascii="PT Astra Serif" w:hAnsi="PT Astra Serif"/>
                                <w:b/>
                              </w:rPr>
                            </w:r>
                          </w:p>
                          <w:p>
                            <w:pPr>
                              <w:contextualSpacing/>
                              <w:jc w:val="center"/>
                              <w:spacing w:line="240" w:lineRule="auto"/>
                              <w:rPr>
                                <w:rFonts w:ascii="PT Astra Serif" w:hAnsi="PT Astra Serif"/>
                                <w:b/>
                                <w:sz w:val="28"/>
                              </w:rPr>
                            </w:pPr>
                            <w:r>
                              <w:rPr>
                                <w:rFonts w:ascii="PT Astra Serif" w:hAnsi="PT Astra Serif"/>
                                <w:b/>
                                <w:sz w:val="28"/>
                              </w:rPr>
                              <w:t xml:space="preserve">5 952</w:t>
                            </w:r>
                            <w:r>
                              <w:rPr>
                                <w:rFonts w:ascii="PT Astra Serif" w:hAnsi="PT Astra Serif"/>
                                <w:b/>
                                <w:sz w:val="28"/>
                              </w:rPr>
                            </w:r>
                            <w:r>
                              <w:rPr>
                                <w:rFonts w:ascii="PT Astra Serif" w:hAnsi="PT Astra Serif"/>
                                <w:b/>
                                <w:sz w:val="28"/>
                              </w:rPr>
                            </w:r>
                          </w:p>
                          <w:p>
                            <w:pPr>
                              <w:contextualSpacing/>
                              <w:jc w:val="center"/>
                              <w:spacing w:line="240" w:lineRule="auto"/>
                              <w:rPr>
                                <w:rFonts w:ascii="PT Astra Serif" w:hAnsi="PT Astra Serif"/>
                                <w:b/>
                              </w:rPr>
                            </w:pPr>
                            <w:r>
                              <w:rPr>
                                <w:rFonts w:ascii="PT Astra Serif" w:hAnsi="PT Astra Serif"/>
                                <w:b/>
                              </w:rPr>
                              <w:t xml:space="preserve">23,0</w:t>
                            </w:r>
                            <w:r>
                              <w:rPr>
                                <w:rFonts w:ascii="PT Astra Serif" w:hAnsi="PT Astra Serif"/>
                                <w:b/>
                              </w:rPr>
                              <w:t xml:space="preserve">%</w:t>
                            </w:r>
                            <w:r>
                              <w:rPr>
                                <w:rFonts w:ascii="PT Astra Serif" w:hAnsi="PT Astra Serif"/>
                                <w:b/>
                              </w:rPr>
                            </w:r>
                            <w:r>
                              <w:rPr>
                                <w:rFonts w:ascii="PT Astra Serif" w:hAnsi="PT Astra Serif"/>
                                <w:b/>
                              </w:rP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shape 9" o:spid="_x0000_s9" o:spt="202" type="#_x0000_t202" style="position:absolute;z-index:251670528;o:allowoverlap:true;o:allowincell:true;mso-position-horizontal-relative:text;margin-left:-33.30pt;mso-position-horizontal:absolute;mso-position-vertical-relative:text;margin-top:8.50pt;mso-position-vertical:absolute;width:120.75pt;height:66.75pt;mso-wrap-distance-left:9.00pt;mso-wrap-distance-top:0.00pt;mso-wrap-distance-right:9.00pt;mso-wrap-distance-bottom:0.00pt;v-text-anchor:top;visibility:visible;" filled="f" stroked="f" strokeweight="0.75pt">
                <v:textbox inset="0,0,0,0">
                  <w:txbxContent>
                    <w:p>
                      <w:pPr>
                        <w:contextualSpacing/>
                        <w:jc w:val="center"/>
                        <w:spacing w:line="240" w:lineRule="auto"/>
                        <w:rPr>
                          <w:rFonts w:ascii="PT Astra Serif" w:hAnsi="PT Astra Serif"/>
                          <w:b/>
                        </w:rPr>
                      </w:pPr>
                      <w:r>
                        <w:rPr>
                          <w:rFonts w:ascii="PT Astra Serif" w:hAnsi="PT Astra Serif"/>
                          <w:b/>
                        </w:rPr>
                        <w:t xml:space="preserve">из стран СНГ</w:t>
                      </w:r>
                      <w:r>
                        <w:rPr>
                          <w:rFonts w:ascii="PT Astra Serif" w:hAnsi="PT Astra Serif"/>
                          <w:b/>
                        </w:rPr>
                      </w:r>
                      <w:r>
                        <w:rPr>
                          <w:rFonts w:ascii="PT Astra Serif" w:hAnsi="PT Astra Serif"/>
                          <w:b/>
                        </w:rPr>
                      </w:r>
                    </w:p>
                    <w:p>
                      <w:pPr>
                        <w:contextualSpacing/>
                        <w:jc w:val="center"/>
                        <w:spacing w:line="240" w:lineRule="auto"/>
                        <w:rPr>
                          <w:rFonts w:ascii="PT Astra Serif" w:hAnsi="PT Astra Serif"/>
                          <w:b/>
                          <w:sz w:val="28"/>
                        </w:rPr>
                      </w:pPr>
                      <w:r>
                        <w:rPr>
                          <w:rFonts w:ascii="PT Astra Serif" w:hAnsi="PT Astra Serif"/>
                          <w:b/>
                          <w:sz w:val="28"/>
                        </w:rPr>
                        <w:t xml:space="preserve">5 952</w:t>
                      </w:r>
                      <w:r>
                        <w:rPr>
                          <w:rFonts w:ascii="PT Astra Serif" w:hAnsi="PT Astra Serif"/>
                          <w:b/>
                          <w:sz w:val="28"/>
                        </w:rPr>
                      </w:r>
                      <w:r>
                        <w:rPr>
                          <w:rFonts w:ascii="PT Astra Serif" w:hAnsi="PT Astra Serif"/>
                          <w:b/>
                          <w:sz w:val="28"/>
                        </w:rPr>
                      </w:r>
                    </w:p>
                    <w:p>
                      <w:pPr>
                        <w:contextualSpacing/>
                        <w:jc w:val="center"/>
                        <w:spacing w:line="240" w:lineRule="auto"/>
                        <w:rPr>
                          <w:rFonts w:ascii="PT Astra Serif" w:hAnsi="PT Astra Serif"/>
                          <w:b/>
                        </w:rPr>
                      </w:pPr>
                      <w:r>
                        <w:rPr>
                          <w:rFonts w:ascii="PT Astra Serif" w:hAnsi="PT Astra Serif"/>
                          <w:b/>
                        </w:rPr>
                        <w:t xml:space="preserve">23,0</w:t>
                      </w:r>
                      <w:r>
                        <w:rPr>
                          <w:rFonts w:ascii="PT Astra Serif" w:hAnsi="PT Astra Serif"/>
                          <w:b/>
                        </w:rPr>
                        <w:t xml:space="preserve">%</w:t>
                      </w:r>
                      <w:r>
                        <w:rPr>
                          <w:rFonts w:ascii="PT Astra Serif" w:hAnsi="PT Astra Serif"/>
                          <w:b/>
                        </w:rPr>
                      </w:r>
                      <w:r>
                        <w:rPr>
                          <w:rFonts w:ascii="PT Astra Serif" w:hAnsi="PT Astra Serif"/>
                          <w:b/>
                        </w:rPr>
                      </w:r>
                    </w:p>
                  </w:txbxContent>
                </v:textbox>
              </v:shape>
            </w:pict>
          </mc:Fallback>
        </mc:AlternateContent>
      </w:r>
      <w:r>
        <w:rPr>
          <w:rFonts w:ascii="PT Astra Serif" w:hAnsi="PT Astra Serif" w:eastAsia="PT Astra Serif"/>
          <w:sz w:val="24"/>
          <w:szCs w:val="24"/>
        </w:rPr>
      </w:r>
      <w:r>
        <w:rPr>
          <w:rFonts w:ascii="PT Astra Serif" w:hAnsi="PT Astra Serif" w:eastAsia="PT Astra Serif"/>
          <w:sz w:val="24"/>
          <w:szCs w:val="24"/>
        </w:rPr>
      </w:r>
    </w:p>
    <w:p>
      <w:pPr>
        <w:jc w:val="both"/>
        <w:spacing w:after="0" w:line="240" w:lineRule="auto"/>
        <w:rPr>
          <w:rFonts w:ascii="PT Astra Serif" w:hAnsi="PT Astra Serif" w:eastAsia="PT Astra Serif"/>
          <w:sz w:val="24"/>
          <w:szCs w:val="24"/>
        </w:rPr>
      </w:pPr>
      <w:r>
        <w:rPr>
          <w:rFonts w:ascii="PT Astra Serif" w:hAnsi="PT Astra Serif" w:eastAsia="PT Astra Serif"/>
          <w:sz w:val="24"/>
          <w:szCs w:val="24"/>
        </w:rPr>
      </w:r>
      <w:r>
        <w:rPr>
          <w:rFonts w:ascii="PT Astra Serif" w:hAnsi="PT Astra Serif" w:eastAsia="PT Astra Serif"/>
          <w:sz w:val="24"/>
          <w:szCs w:val="24"/>
        </w:rPr>
      </w:r>
      <w:r>
        <w:rPr>
          <w:rFonts w:ascii="PT Astra Serif" w:hAnsi="PT Astra Serif" w:eastAsia="PT Astra Serif"/>
          <w:sz w:val="24"/>
          <w:szCs w:val="24"/>
        </w:rPr>
      </w:r>
    </w:p>
    <w:p>
      <w:pPr>
        <w:jc w:val="both"/>
        <w:spacing w:after="0" w:line="240" w:lineRule="auto"/>
        <w:rPr>
          <w:rFonts w:ascii="PT Astra Serif" w:hAnsi="PT Astra Serif" w:eastAsia="PT Astra Serif"/>
          <w:sz w:val="24"/>
          <w:szCs w:val="24"/>
        </w:rPr>
      </w:pPr>
      <w:r>
        <w:rPr>
          <w:rFonts w:ascii="PT Astra Serif" w:hAnsi="PT Astra Serif" w:eastAsia="PT Astra Serif"/>
          <w:sz w:val="24"/>
          <w:szCs w:val="24"/>
        </w:rPr>
      </w:r>
      <w:r>
        <w:rPr>
          <w:rFonts w:ascii="PT Astra Serif" w:hAnsi="PT Astra Serif" w:eastAsia="PT Astra Serif"/>
          <w:sz w:val="24"/>
          <w:szCs w:val="24"/>
        </w:rPr>
      </w:r>
      <w:r>
        <w:rPr>
          <w:rFonts w:ascii="PT Astra Serif" w:hAnsi="PT Astra Serif" w:eastAsia="PT Astra Serif"/>
          <w:sz w:val="24"/>
          <w:szCs w:val="24"/>
        </w:rPr>
      </w:r>
    </w:p>
    <w:p>
      <w:pPr>
        <w:contextualSpacing/>
        <w:ind w:left="-426" w:right="-143"/>
        <w:jc w:val="center"/>
        <w:spacing w:after="0" w:line="240" w:lineRule="auto"/>
        <w:rPr>
          <w:rFonts w:ascii="PT Astra Serif" w:hAnsi="PT Astra Serif" w:eastAsia="PT Astra Serif"/>
          <w:sz w:val="24"/>
          <w:szCs w:val="24"/>
        </w:rPr>
      </w:pPr>
      <w:r>
        <w:rPr>
          <w:rFonts w:ascii="PT Astra Serif" w:hAnsi="PT Astra Serif" w:eastAsia="PT Astra Serif"/>
          <w:sz w:val="24"/>
          <w:szCs w:val="24"/>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669290</wp:posOffset>
                </wp:positionH>
                <wp:positionV relativeFrom="paragraph">
                  <wp:posOffset>438150</wp:posOffset>
                </wp:positionV>
                <wp:extent cx="866775" cy="1403985"/>
                <wp:effectExtent l="0" t="0" r="0" b="2540"/>
                <wp:wrapNone/>
                <wp:docPr id="13" name="Надпись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866775" cy="1403985"/>
                        </a:xfrm>
                        <a:prstGeom prst="rect">
                          <a:avLst/>
                        </a:prstGeom>
                        <a:noFill/>
                        <a:ln w="9525">
                          <a:noFill/>
                          <a:miter lim="800000"/>
                          <a:headEnd/>
                          <a:tailEnd/>
                        </a:ln>
                      </wps:spPr>
                      <wps:txbx>
                        <w:txbxContent>
                          <w:p>
                            <w:pPr>
                              <w:contextualSpacing/>
                              <w:jc w:val="center"/>
                              <w:spacing w:line="240" w:lineRule="auto"/>
                              <w:rPr>
                                <w:rFonts w:ascii="PT Astra Serif" w:hAnsi="PT Astra Serif"/>
                                <w:b/>
                                <w:color w:val="ffffff" w:themeColor="background1"/>
                                <w:sz w:val="32"/>
                              </w:rPr>
                            </w:pPr>
                            <w:r>
                              <w:rPr>
                                <w:rFonts w:ascii="PT Astra Serif" w:hAnsi="PT Astra Serif"/>
                                <w:b/>
                                <w:color w:val="ffffff" w:themeColor="background1"/>
                                <w:sz w:val="32"/>
                              </w:rPr>
                              <w:t xml:space="preserve">7 050</w:t>
                            </w:r>
                            <w:r>
                              <w:rPr>
                                <w:rFonts w:ascii="PT Astra Serif" w:hAnsi="PT Astra Serif"/>
                                <w:b/>
                                <w:color w:val="ffffff" w:themeColor="background1"/>
                                <w:sz w:val="32"/>
                              </w:rPr>
                            </w:r>
                            <w:r>
                              <w:rPr>
                                <w:rFonts w:ascii="PT Astra Serif" w:hAnsi="PT Astra Serif"/>
                                <w:b/>
                                <w:color w:val="ffffff" w:themeColor="background1"/>
                                <w:sz w:val="32"/>
                              </w:rPr>
                            </w:r>
                          </w:p>
                          <w:p>
                            <w:pPr>
                              <w:contextualSpacing/>
                              <w:jc w:val="center"/>
                              <w:spacing w:line="240" w:lineRule="auto"/>
                              <w:rPr>
                                <w:rFonts w:ascii="PT Astra Serif" w:hAnsi="PT Astra Serif"/>
                                <w:b/>
                                <w:color w:val="ffffff" w:themeColor="background1"/>
                              </w:rPr>
                            </w:pPr>
                            <w:r>
                              <w:rPr>
                                <w:rFonts w:ascii="PT Astra Serif" w:hAnsi="PT Astra Serif"/>
                                <w:b/>
                                <w:color w:val="ffffff" w:themeColor="background1"/>
                              </w:rPr>
                              <w:t xml:space="preserve">27,3</w:t>
                            </w:r>
                            <w:r>
                              <w:rPr>
                                <w:rFonts w:ascii="PT Astra Serif" w:hAnsi="PT Astra Serif"/>
                                <w:b/>
                                <w:color w:val="ffffff" w:themeColor="background1"/>
                              </w:rPr>
                              <w:t xml:space="preserve">%</w:t>
                            </w:r>
                            <w:r>
                              <w:rPr>
                                <w:rFonts w:ascii="PT Astra Serif" w:hAnsi="PT Astra Serif"/>
                                <w:b/>
                                <w:color w:val="ffffff" w:themeColor="background1"/>
                              </w:rPr>
                            </w:r>
                            <w:r>
                              <w:rPr>
                                <w:rFonts w:ascii="PT Astra Serif" w:hAnsi="PT Astra Serif"/>
                                <w:b/>
                                <w:color w:val="ffffff" w:themeColor="background1"/>
                              </w:rPr>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shape 10" o:spid="_x0000_s10" o:spt="202" type="#_x0000_t202" style="position:absolute;z-index:251667456;o:allowoverlap:true;o:allowincell:true;mso-position-horizontal-relative:text;margin-left:52.70pt;mso-position-horizontal:absolute;mso-position-vertical-relative:text;margin-top:34.50pt;mso-position-vertical:absolute;width:68.25pt;height:110.55pt;mso-wrap-distance-left:9.00pt;mso-wrap-distance-top:0.00pt;mso-wrap-distance-right:9.00pt;mso-wrap-distance-bottom:0.00pt;v-text-anchor:top;visibility:visible;" filled="f" stroked="f" strokeweight="0.75pt">
                <v:textbox inset="0,0,0,0">
                  <w:txbxContent>
                    <w:p>
                      <w:pPr>
                        <w:contextualSpacing/>
                        <w:jc w:val="center"/>
                        <w:spacing w:line="240" w:lineRule="auto"/>
                        <w:rPr>
                          <w:rFonts w:ascii="PT Astra Serif" w:hAnsi="PT Astra Serif"/>
                          <w:b/>
                          <w:color w:val="ffffff" w:themeColor="background1"/>
                          <w:sz w:val="32"/>
                        </w:rPr>
                      </w:pPr>
                      <w:r>
                        <w:rPr>
                          <w:rFonts w:ascii="PT Astra Serif" w:hAnsi="PT Astra Serif"/>
                          <w:b/>
                          <w:color w:val="ffffff" w:themeColor="background1"/>
                          <w:sz w:val="32"/>
                        </w:rPr>
                        <w:t xml:space="preserve">7 050</w:t>
                      </w:r>
                      <w:r>
                        <w:rPr>
                          <w:rFonts w:ascii="PT Astra Serif" w:hAnsi="PT Astra Serif"/>
                          <w:b/>
                          <w:color w:val="ffffff" w:themeColor="background1"/>
                          <w:sz w:val="32"/>
                        </w:rPr>
                      </w:r>
                      <w:r>
                        <w:rPr>
                          <w:rFonts w:ascii="PT Astra Serif" w:hAnsi="PT Astra Serif"/>
                          <w:b/>
                          <w:color w:val="ffffff" w:themeColor="background1"/>
                          <w:sz w:val="32"/>
                        </w:rPr>
                      </w:r>
                    </w:p>
                    <w:p>
                      <w:pPr>
                        <w:contextualSpacing/>
                        <w:jc w:val="center"/>
                        <w:spacing w:line="240" w:lineRule="auto"/>
                        <w:rPr>
                          <w:rFonts w:ascii="PT Astra Serif" w:hAnsi="PT Astra Serif"/>
                          <w:b/>
                          <w:color w:val="ffffff" w:themeColor="background1"/>
                        </w:rPr>
                      </w:pPr>
                      <w:r>
                        <w:rPr>
                          <w:rFonts w:ascii="PT Astra Serif" w:hAnsi="PT Astra Serif"/>
                          <w:b/>
                          <w:color w:val="ffffff" w:themeColor="background1"/>
                        </w:rPr>
                        <w:t xml:space="preserve">27,3</w:t>
                      </w:r>
                      <w:r>
                        <w:rPr>
                          <w:rFonts w:ascii="PT Astra Serif" w:hAnsi="PT Astra Serif"/>
                          <w:b/>
                          <w:color w:val="ffffff" w:themeColor="background1"/>
                        </w:rPr>
                        <w:t xml:space="preserve">%</w:t>
                      </w:r>
                      <w:r>
                        <w:rPr>
                          <w:rFonts w:ascii="PT Astra Serif" w:hAnsi="PT Astra Serif"/>
                          <w:b/>
                          <w:color w:val="ffffff" w:themeColor="background1"/>
                        </w:rPr>
                      </w:r>
                      <w:r>
                        <w:rPr>
                          <w:rFonts w:ascii="PT Astra Serif" w:hAnsi="PT Astra Serif"/>
                          <w:b/>
                          <w:color w:val="ffffff" w:themeColor="background1"/>
                        </w:rPr>
                      </w:r>
                    </w:p>
                  </w:txbxContent>
                </v:textbox>
              </v:shape>
            </w:pict>
          </mc:Fallback>
        </mc:AlternateContent>
      </w:r>
      <w:r>
        <w:rPr>
          <w:rFonts w:ascii="PT Astra Serif" w:hAnsi="PT Astra Serif" w:eastAsia="PT Astra Serif"/>
          <w:sz w:val="24"/>
          <w:szCs w:val="24"/>
          <w:lang w:eastAsia="ru-RU"/>
        </w:rPr>
        <w:drawing>
          <wp:inline distT="0" distB="0" distL="0" distR="0">
            <wp:extent cx="2505694" cy="1852551"/>
            <wp:effectExtent l="0" t="0" r="0" b="0"/>
            <wp:docPr id="14"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Pr>
          <w:rFonts w:ascii="PT Astra Serif" w:hAnsi="PT Astra Serif" w:eastAsia="PT Astra Serif"/>
          <w:sz w:val="24"/>
          <w:szCs w:val="24"/>
          <w:lang w:eastAsia="ru-RU"/>
        </w:rPr>
        <w:drawing>
          <wp:inline distT="0" distB="0" distL="0" distR="0">
            <wp:extent cx="2303813" cy="1947553"/>
            <wp:effectExtent l="0" t="0" r="1270" b="0"/>
            <wp:docPr id="15"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ascii="PT Astra Serif" w:hAnsi="PT Astra Serif" w:eastAsia="PT Astra Serif"/>
          <w:sz w:val="24"/>
          <w:szCs w:val="24"/>
        </w:rPr>
      </w:r>
      <w:r>
        <w:rPr>
          <w:rFonts w:ascii="PT Astra Serif" w:hAnsi="PT Astra Serif" w:eastAsia="PT Astra Serif"/>
          <w:sz w:val="24"/>
          <w:szCs w:val="24"/>
        </w:rPr>
      </w:r>
    </w:p>
    <w:tbl>
      <w:tblPr>
        <w:tblStyle w:val="1141"/>
        <w:tblW w:w="0" w:type="auto"/>
        <w:jc w:val="center"/>
        <w:tblBorders>
          <w:top w:val="single" w:color="FFFFFF" w:themeColor="background1" w:sz="36" w:space="0"/>
          <w:left w:val="single" w:color="FFFFFF" w:themeColor="background1" w:sz="36" w:space="0"/>
          <w:bottom w:val="single" w:color="FFFFFF" w:themeColor="background1" w:sz="36" w:space="0"/>
          <w:right w:val="single" w:color="FFFFFF" w:themeColor="background1" w:sz="36" w:space="0"/>
          <w:insideH w:val="single" w:color="FFFFFF" w:themeColor="background1" w:sz="36" w:space="0"/>
          <w:insideV w:val="single" w:color="FFFFFF" w:themeColor="background1" w:sz="36" w:space="0"/>
        </w:tblBorders>
        <w:tblLook w:val="04A0" w:firstRow="1" w:lastRow="0" w:firstColumn="1" w:lastColumn="0" w:noHBand="0" w:noVBand="1"/>
      </w:tblPr>
      <w:tblGrid>
        <w:gridCol w:w="281"/>
        <w:gridCol w:w="2405"/>
        <w:gridCol w:w="283"/>
        <w:gridCol w:w="2404"/>
        <w:gridCol w:w="283"/>
        <w:gridCol w:w="2404"/>
      </w:tblGrid>
      <w:tr>
        <w:tblPrEx/>
        <w:trPr>
          <w:jc w:val="center"/>
        </w:trPr>
        <w:tc>
          <w:tcPr>
            <w:shd w:val="clear" w:color="auto" w:fill="96c8be"/>
            <w:tcW w:w="281" w:type="dxa"/>
            <w:textDirection w:val="lrTb"/>
            <w:noWrap w:val="false"/>
          </w:tcPr>
          <w:p>
            <w:pPr>
              <w:contextualSpacing/>
              <w:rPr>
                <w:rFonts w:ascii="PT Astra Serif" w:hAnsi="PT Astra Serif" w:eastAsia="PT Astra Serif"/>
                <w:sz w:val="24"/>
                <w:szCs w:val="24"/>
              </w:rPr>
            </w:pPr>
            <w:r>
              <w:rPr>
                <w:rFonts w:ascii="PT Astra Serif" w:hAnsi="PT Astra Serif" w:eastAsia="PT Astra Serif"/>
                <w:sz w:val="24"/>
                <w:szCs w:val="24"/>
              </w:rPr>
            </w:r>
            <w:r>
              <w:rPr>
                <w:rFonts w:ascii="PT Astra Serif" w:hAnsi="PT Astra Serif" w:eastAsia="PT Astra Serif"/>
                <w:sz w:val="24"/>
                <w:szCs w:val="24"/>
              </w:rPr>
            </w:r>
            <w:r>
              <w:rPr>
                <w:rFonts w:ascii="PT Astra Serif" w:hAnsi="PT Astra Serif" w:eastAsia="PT Astra Serif"/>
                <w:sz w:val="24"/>
                <w:szCs w:val="24"/>
              </w:rPr>
            </w:r>
          </w:p>
        </w:tc>
        <w:tc>
          <w:tcPr>
            <w:tcW w:w="2405" w:type="dxa"/>
            <w:textDirection w:val="lrTb"/>
            <w:noWrap w:val="false"/>
          </w:tcPr>
          <w:p>
            <w:pPr>
              <w:contextualSpacing/>
              <w:rPr>
                <w:rFonts w:ascii="PT Astra Serif" w:hAnsi="PT Astra Serif" w:eastAsia="PT Astra Serif"/>
                <w:sz w:val="24"/>
                <w:szCs w:val="24"/>
              </w:rPr>
            </w:pPr>
            <w:r>
              <w:rPr>
                <w:rFonts w:ascii="PT Astra Serif" w:hAnsi="PT Astra Serif" w:eastAsia="PT Astra Serif"/>
                <w:sz w:val="24"/>
                <w:szCs w:val="24"/>
              </w:rPr>
              <w:t xml:space="preserve">внутрирегиональная</w:t>
            </w:r>
            <w:r>
              <w:rPr>
                <w:rFonts w:ascii="PT Astra Serif" w:hAnsi="PT Astra Serif" w:eastAsia="PT Astra Serif"/>
                <w:sz w:val="24"/>
                <w:szCs w:val="24"/>
              </w:rPr>
            </w:r>
            <w:r>
              <w:rPr>
                <w:rFonts w:ascii="PT Astra Serif" w:hAnsi="PT Astra Serif" w:eastAsia="PT Astra Serif"/>
                <w:sz w:val="24"/>
                <w:szCs w:val="24"/>
              </w:rPr>
            </w:r>
          </w:p>
          <w:p>
            <w:pPr>
              <w:contextualSpacing/>
              <w:rPr>
                <w:rFonts w:ascii="PT Astra Serif" w:hAnsi="PT Astra Serif" w:eastAsia="PT Astra Serif"/>
                <w:sz w:val="24"/>
                <w:szCs w:val="24"/>
              </w:rPr>
            </w:pPr>
            <w:r>
              <w:rPr>
                <w:rFonts w:ascii="PT Astra Serif" w:hAnsi="PT Astra Serif" w:eastAsia="PT Astra Serif"/>
                <w:sz w:val="24"/>
                <w:szCs w:val="24"/>
              </w:rPr>
              <w:t xml:space="preserve">миграция</w:t>
            </w:r>
            <w:r>
              <w:rPr>
                <w:rFonts w:ascii="PT Astra Serif" w:hAnsi="PT Astra Serif" w:eastAsia="PT Astra Serif"/>
                <w:sz w:val="24"/>
                <w:szCs w:val="24"/>
              </w:rPr>
            </w:r>
            <w:r>
              <w:rPr>
                <w:rFonts w:ascii="PT Astra Serif" w:hAnsi="PT Astra Serif" w:eastAsia="PT Astra Serif"/>
                <w:sz w:val="24"/>
                <w:szCs w:val="24"/>
              </w:rPr>
            </w:r>
          </w:p>
        </w:tc>
        <w:tc>
          <w:tcPr>
            <w:shd w:val="clear" w:color="auto" w:fill="9bbb59" w:themeFill="accent3"/>
            <w:tcW w:w="283" w:type="dxa"/>
            <w:textDirection w:val="lrTb"/>
            <w:noWrap w:val="false"/>
          </w:tcPr>
          <w:p>
            <w:pPr>
              <w:contextualSpacing/>
              <w:rPr>
                <w:rFonts w:ascii="PT Astra Serif" w:hAnsi="PT Astra Serif" w:eastAsia="PT Astra Serif"/>
                <w:sz w:val="24"/>
                <w:szCs w:val="24"/>
              </w:rPr>
            </w:pPr>
            <w:r>
              <w:rPr>
                <w:rFonts w:ascii="PT Astra Serif" w:hAnsi="PT Astra Serif" w:eastAsia="PT Astra Serif"/>
                <w:sz w:val="24"/>
                <w:szCs w:val="24"/>
              </w:rPr>
            </w:r>
            <w:r>
              <w:rPr>
                <w:rFonts w:ascii="PT Astra Serif" w:hAnsi="PT Astra Serif" w:eastAsia="PT Astra Serif"/>
                <w:sz w:val="24"/>
                <w:szCs w:val="24"/>
              </w:rPr>
            </w:r>
            <w:r>
              <w:rPr>
                <w:rFonts w:ascii="PT Astra Serif" w:hAnsi="PT Astra Serif" w:eastAsia="PT Astra Serif"/>
                <w:sz w:val="24"/>
                <w:szCs w:val="24"/>
              </w:rPr>
            </w:r>
          </w:p>
        </w:tc>
        <w:tc>
          <w:tcPr>
            <w:tcW w:w="2404" w:type="dxa"/>
            <w:textDirection w:val="lrTb"/>
            <w:noWrap w:val="false"/>
          </w:tcPr>
          <w:p>
            <w:pPr>
              <w:contextualSpacing/>
              <w:rPr>
                <w:rFonts w:ascii="PT Astra Serif" w:hAnsi="PT Astra Serif" w:eastAsia="PT Astra Serif"/>
                <w:sz w:val="24"/>
                <w:szCs w:val="24"/>
              </w:rPr>
            </w:pPr>
            <w:r>
              <w:rPr>
                <w:rFonts w:ascii="PT Astra Serif" w:hAnsi="PT Astra Serif" w:eastAsia="PT Astra Serif"/>
                <w:sz w:val="24"/>
                <w:szCs w:val="24"/>
              </w:rPr>
              <w:t xml:space="preserve">межрегиональная</w:t>
            </w:r>
            <w:r>
              <w:rPr>
                <w:rFonts w:ascii="PT Astra Serif" w:hAnsi="PT Astra Serif" w:eastAsia="PT Astra Serif"/>
                <w:sz w:val="24"/>
                <w:szCs w:val="24"/>
              </w:rPr>
            </w:r>
            <w:r>
              <w:rPr>
                <w:rFonts w:ascii="PT Astra Serif" w:hAnsi="PT Astra Serif" w:eastAsia="PT Astra Serif"/>
                <w:sz w:val="24"/>
                <w:szCs w:val="24"/>
              </w:rPr>
            </w:r>
          </w:p>
          <w:p>
            <w:pPr>
              <w:contextualSpacing/>
              <w:rPr>
                <w:rFonts w:ascii="PT Astra Serif" w:hAnsi="PT Astra Serif" w:eastAsia="PT Astra Serif"/>
                <w:sz w:val="24"/>
                <w:szCs w:val="24"/>
              </w:rPr>
            </w:pPr>
            <w:r>
              <w:rPr>
                <w:rFonts w:ascii="PT Astra Serif" w:hAnsi="PT Astra Serif" w:eastAsia="PT Astra Serif"/>
                <w:sz w:val="24"/>
                <w:szCs w:val="24"/>
              </w:rPr>
              <w:t xml:space="preserve">миграция</w:t>
            </w:r>
            <w:r>
              <w:rPr>
                <w:rFonts w:ascii="PT Astra Serif" w:hAnsi="PT Astra Serif" w:eastAsia="PT Astra Serif"/>
                <w:sz w:val="24"/>
                <w:szCs w:val="24"/>
              </w:rPr>
            </w:r>
            <w:r>
              <w:rPr>
                <w:rFonts w:ascii="PT Astra Serif" w:hAnsi="PT Astra Serif" w:eastAsia="PT Astra Serif"/>
                <w:sz w:val="24"/>
                <w:szCs w:val="24"/>
              </w:rPr>
            </w:r>
          </w:p>
        </w:tc>
        <w:tc>
          <w:tcPr>
            <w:shd w:val="clear" w:color="auto" w:fill="326e8c"/>
            <w:tcW w:w="283" w:type="dxa"/>
            <w:textDirection w:val="lrTb"/>
            <w:noWrap w:val="false"/>
          </w:tcPr>
          <w:p>
            <w:pPr>
              <w:contextualSpacing/>
              <w:rPr>
                <w:rFonts w:ascii="PT Astra Serif" w:hAnsi="PT Astra Serif" w:eastAsia="PT Astra Serif"/>
                <w:sz w:val="24"/>
                <w:szCs w:val="24"/>
              </w:rPr>
            </w:pPr>
            <w:r>
              <w:rPr>
                <w:rFonts w:ascii="PT Astra Serif" w:hAnsi="PT Astra Serif" w:eastAsia="PT Astra Serif"/>
                <w:sz w:val="24"/>
                <w:szCs w:val="24"/>
              </w:rPr>
            </w:r>
            <w:r>
              <w:rPr>
                <w:rFonts w:ascii="PT Astra Serif" w:hAnsi="PT Astra Serif" w:eastAsia="PT Astra Serif"/>
                <w:sz w:val="24"/>
                <w:szCs w:val="24"/>
              </w:rPr>
            </w:r>
            <w:r>
              <w:rPr>
                <w:rFonts w:ascii="PT Astra Serif" w:hAnsi="PT Astra Serif" w:eastAsia="PT Astra Serif"/>
                <w:sz w:val="24"/>
                <w:szCs w:val="24"/>
              </w:rPr>
            </w:r>
          </w:p>
        </w:tc>
        <w:tc>
          <w:tcPr>
            <w:tcW w:w="2404" w:type="dxa"/>
            <w:textDirection w:val="lrTb"/>
            <w:noWrap w:val="false"/>
          </w:tcPr>
          <w:p>
            <w:pPr>
              <w:contextualSpacing/>
              <w:rPr>
                <w:rFonts w:ascii="PT Astra Serif" w:hAnsi="PT Astra Serif" w:eastAsia="PT Astra Serif"/>
                <w:sz w:val="24"/>
                <w:szCs w:val="24"/>
              </w:rPr>
            </w:pPr>
            <w:r>
              <w:rPr>
                <w:rFonts w:ascii="PT Astra Serif" w:hAnsi="PT Astra Serif" w:eastAsia="PT Astra Serif"/>
                <w:sz w:val="24"/>
                <w:szCs w:val="24"/>
              </w:rPr>
              <w:t xml:space="preserve">международная</w:t>
            </w:r>
            <w:r>
              <w:rPr>
                <w:rFonts w:ascii="PT Astra Serif" w:hAnsi="PT Astra Serif" w:eastAsia="PT Astra Serif"/>
                <w:sz w:val="24"/>
                <w:szCs w:val="24"/>
              </w:rPr>
            </w:r>
            <w:r>
              <w:rPr>
                <w:rFonts w:ascii="PT Astra Serif" w:hAnsi="PT Astra Serif" w:eastAsia="PT Astra Serif"/>
                <w:sz w:val="24"/>
                <w:szCs w:val="24"/>
              </w:rPr>
            </w:r>
          </w:p>
          <w:p>
            <w:pPr>
              <w:contextualSpacing/>
              <w:rPr>
                <w:rFonts w:ascii="PT Astra Serif" w:hAnsi="PT Astra Serif" w:eastAsia="PT Astra Serif"/>
                <w:sz w:val="24"/>
                <w:szCs w:val="24"/>
              </w:rPr>
            </w:pPr>
            <w:r>
              <w:rPr>
                <w:rFonts w:ascii="PT Astra Serif" w:hAnsi="PT Astra Serif" w:eastAsia="PT Astra Serif"/>
                <w:sz w:val="24"/>
                <w:szCs w:val="24"/>
              </w:rPr>
              <w:t xml:space="preserve">миграция</w:t>
            </w:r>
            <w:r>
              <w:rPr>
                <w:rFonts w:ascii="PT Astra Serif" w:hAnsi="PT Astra Serif" w:eastAsia="PT Astra Serif"/>
                <w:sz w:val="24"/>
                <w:szCs w:val="24"/>
              </w:rPr>
            </w:r>
            <w:r>
              <w:rPr>
                <w:rFonts w:ascii="PT Astra Serif" w:hAnsi="PT Astra Serif" w:eastAsia="PT Astra Serif"/>
                <w:sz w:val="24"/>
                <w:szCs w:val="24"/>
              </w:rPr>
            </w:r>
          </w:p>
        </w:tc>
      </w:tr>
    </w:tbl>
    <w:p>
      <w:pPr>
        <w:ind w:firstLine="709"/>
        <w:jc w:val="both"/>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jc w:val="center"/>
        <w:spacing w:after="0" w:line="240" w:lineRule="auto"/>
        <w:tabs>
          <w:tab w:val="left" w:pos="567" w:leader="none"/>
          <w:tab w:val="left" w:pos="4962" w:leader="none"/>
        </w:tabs>
        <w:rPr>
          <w:rFonts w:ascii="PT Astra Serif" w:hAnsi="PT Astra Serif" w:eastAsia="Calibri"/>
          <w:sz w:val="24"/>
          <w:szCs w:val="24"/>
        </w:rPr>
      </w:pPr>
      <w:r>
        <w:rPr>
          <w:rFonts w:ascii="PT Astra Serif" w:hAnsi="PT Astra Serif" w:eastAsia="Calibri"/>
          <w:sz w:val="24"/>
          <w:szCs w:val="24"/>
        </w:rPr>
        <w:t xml:space="preserve">Рисунок 3 </w:t>
      </w:r>
      <w:r>
        <w:rPr>
          <w:rFonts w:ascii="PT Astra Serif" w:hAnsi="PT Astra Serif"/>
          <w:sz w:val="24"/>
          <w:szCs w:val="24"/>
        </w:rPr>
        <w:t xml:space="preserve">–</w:t>
      </w:r>
      <w:r>
        <w:rPr>
          <w:rFonts w:ascii="PT Astra Serif" w:hAnsi="PT Astra Serif" w:eastAsia="Calibri"/>
          <w:sz w:val="24"/>
          <w:szCs w:val="24"/>
        </w:rPr>
        <w:t xml:space="preserve"> Динамика показателей миграции в 2023 году, человек</w:t>
      </w:r>
      <w:r>
        <w:rPr>
          <w:rFonts w:ascii="PT Astra Serif" w:hAnsi="PT Astra Serif" w:eastAsia="Calibri"/>
          <w:sz w:val="24"/>
          <w:szCs w:val="24"/>
        </w:rPr>
      </w:r>
      <w:r>
        <w:rPr>
          <w:rFonts w:ascii="PT Astra Serif" w:hAnsi="PT Astra Serif" w:eastAsia="Calibri"/>
          <w:sz w:val="24"/>
          <w:szCs w:val="24"/>
        </w:rPr>
      </w:r>
    </w:p>
    <w:p>
      <w:pPr>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spacing w:after="0" w:line="240" w:lineRule="auto"/>
        <w:shd w:val="clear" w:color="auto" w:fill="eaf1dd" w:themeFill="accent3" w:themeFillTint="33"/>
        <w:tabs>
          <w:tab w:val="left" w:pos="567" w:leader="none"/>
          <w:tab w:val="left" w:pos="4962" w:leader="none"/>
        </w:tabs>
        <w:rPr>
          <w:rFonts w:ascii="PT Astra Serif" w:hAnsi="PT Astra Serif" w:eastAsia="Calibri"/>
          <w:b/>
          <w:sz w:val="24"/>
          <w:szCs w:val="24"/>
        </w:rPr>
      </w:pPr>
      <w:r>
        <w:rPr>
          <w:rFonts w:ascii="PT Astra Serif" w:hAnsi="PT Astra Serif" w:eastAsia="Calibri"/>
          <w:b/>
          <w:sz w:val="24"/>
          <w:szCs w:val="24"/>
        </w:rPr>
        <w:t xml:space="preserve">Уровень жизни населения</w:t>
      </w:r>
      <w:r>
        <w:rPr>
          <w:rFonts w:ascii="PT Astra Serif" w:hAnsi="PT Astra Serif" w:eastAsia="Calibri"/>
          <w:b/>
          <w:sz w:val="24"/>
          <w:szCs w:val="24"/>
        </w:rPr>
      </w:r>
      <w:r>
        <w:rPr>
          <w:rFonts w:ascii="PT Astra Serif" w:hAnsi="PT Astra Serif" w:eastAsia="Calibri"/>
          <w:b/>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t xml:space="preserve">По итогам 2023 года среднемесячная номинальная начисленная заработная плата работников организаций, по предварительной оценке Росстата, увеличилась по сравнению с 2022 годом на 8 тыс. рублей (в 1,14 раза) и составила 64,8 тыс. рублей.</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jc w:val="center"/>
        <w:spacing w:after="0" w:line="240" w:lineRule="auto"/>
        <w:rPr>
          <w:rFonts w:ascii="PT Astra Serif" w:hAnsi="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По величине среднемесячной номинальной начисленной заработной платы работников организаций 64,8 тыс. рублей Томская область, по предварительным итогам 2023 года, занимает 4-е место в СФО</w:t>
      </w:r>
      <w:r>
        <w:rPr>
          <w:rFonts w:ascii="PT Astra Serif" w:hAnsi="PT Astra Serif"/>
          <w:b/>
          <w:sz w:val="24"/>
          <w:szCs w:val="24"/>
        </w:rPr>
      </w:r>
      <w:r>
        <w:rPr>
          <w:rFonts w:ascii="PT Astra Serif" w:hAnsi="PT Astra Serif"/>
          <w:b/>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t xml:space="preserve">В структуре денежных доходов населения наибольшую долю (65,7%) составляет оплата труда.</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lang w:eastAsia="ru-RU"/>
        </w:rPr>
        <w:drawing>
          <wp:anchor xmlns:wp="http://schemas.openxmlformats.org/drawingml/2006/wordprocessingDrawing" xmlns:wp14="http://schemas.microsoft.com/office/word/2010/wordprocessingDrawing" distT="0" distB="0" distL="114300" distR="114300" simplePos="0" relativeHeight="251767808" behindDoc="1" locked="0" layoutInCell="1" allowOverlap="1">
            <wp:simplePos x="0" y="0"/>
            <wp:positionH relativeFrom="column">
              <wp:posOffset>424815</wp:posOffset>
            </wp:positionH>
            <wp:positionV relativeFrom="paragraph">
              <wp:posOffset>-148590</wp:posOffset>
            </wp:positionV>
            <wp:extent cx="4400550" cy="2828925"/>
            <wp:effectExtent l="0" t="0" r="0" b="0"/>
            <wp:wrapNone/>
            <wp:docPr id="16" name="Диаграмма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jc w:val="center"/>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jc w:val="center"/>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jc w:val="center"/>
        <w:spacing w:after="0" w:line="240" w:lineRule="auto"/>
        <w:rPr>
          <w:rFonts w:ascii="PT Astra Serif" w:hAnsi="PT Astra Serif"/>
          <w:sz w:val="24"/>
          <w:szCs w:val="24"/>
        </w:rPr>
      </w:pPr>
      <w:r>
        <w:rPr>
          <w:rFonts w:ascii="PT Astra Serif" w:hAnsi="PT Astra Serif"/>
          <w:sz w:val="24"/>
          <w:szCs w:val="24"/>
        </w:rPr>
        <w:t xml:space="preserve">Рисунок 4 </w:t>
      </w:r>
      <w:r>
        <w:rPr>
          <w:rFonts w:ascii="PT Astra Serif" w:hAnsi="PT Astra Serif"/>
          <w:sz w:val="24"/>
          <w:szCs w:val="24"/>
        </w:rPr>
        <w:t xml:space="preserve">–</w:t>
      </w:r>
      <w:r>
        <w:rPr>
          <w:rFonts w:ascii="PT Astra Serif" w:hAnsi="PT Astra Serif"/>
          <w:sz w:val="24"/>
          <w:szCs w:val="24"/>
        </w:rPr>
        <w:t xml:space="preserve"> Структура фонда заработной платы работников организаций по видам экономической деятельности в 2023 году, %</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shd w:val="clear" w:color="auto" w:fill="9197cf"/>
          <w:lang w:eastAsia="ru-RU"/>
        </w:rPr>
        <w:drawing>
          <wp:anchor xmlns:wp="http://schemas.openxmlformats.org/drawingml/2006/wordprocessingDrawing" xmlns:wp14="http://schemas.microsoft.com/office/word/2010/wordprocessingDrawing" distT="0" distB="0" distL="114300" distR="114300" simplePos="0" relativeHeight="251769856" behindDoc="1" locked="0" layoutInCell="1" allowOverlap="1">
            <wp:simplePos x="0" y="0"/>
            <wp:positionH relativeFrom="column">
              <wp:posOffset>374015</wp:posOffset>
            </wp:positionH>
            <wp:positionV relativeFrom="paragraph">
              <wp:posOffset>128270</wp:posOffset>
            </wp:positionV>
            <wp:extent cx="4837430" cy="3625215"/>
            <wp:effectExtent l="0" t="0" r="0" b="0"/>
            <wp:wrapNone/>
            <wp:docPr id="17" name="Диаграмма 6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jc w:val="center"/>
        <w:spacing w:after="0" w:line="240" w:lineRule="auto"/>
        <w:rPr>
          <w:rFonts w:ascii="PT Astra Serif" w:hAnsi="PT Astra Serif"/>
          <w:sz w:val="24"/>
          <w:szCs w:val="24"/>
        </w:rPr>
      </w:pPr>
      <w:r>
        <w:rPr>
          <w:rFonts w:ascii="PT Astra Serif" w:hAnsi="PT Astra Serif"/>
          <w:sz w:val="24"/>
          <w:szCs w:val="24"/>
        </w:rPr>
        <w:t xml:space="preserve">Рисунок 5 </w:t>
      </w:r>
      <w:r>
        <w:rPr>
          <w:rFonts w:ascii="PT Astra Serif" w:hAnsi="PT Astra Serif"/>
          <w:sz w:val="24"/>
          <w:szCs w:val="24"/>
        </w:rPr>
        <w:t xml:space="preserve">–</w:t>
      </w:r>
      <w:r>
        <w:rPr>
          <w:rFonts w:ascii="PT Astra Serif" w:hAnsi="PT Astra Serif"/>
          <w:sz w:val="24"/>
          <w:szCs w:val="24"/>
        </w:rPr>
        <w:t xml:space="preserve"> Динамика номинальной и реальной заработной платы</w:t>
      </w:r>
      <w:r>
        <w:rPr>
          <w:rFonts w:ascii="PT Astra Serif" w:hAnsi="PT Astra Serif"/>
          <w:sz w:val="24"/>
          <w:szCs w:val="24"/>
        </w:rPr>
        <w:br/>
        <w:t xml:space="preserve">работников организаций в 2021 </w:t>
      </w:r>
      <w:r>
        <w:rPr>
          <w:rFonts w:ascii="PT Astra Serif" w:hAnsi="PT Astra Serif"/>
          <w:sz w:val="24"/>
          <w:szCs w:val="24"/>
        </w:rPr>
        <w:t xml:space="preserve">–</w:t>
      </w:r>
      <w:r>
        <w:rPr>
          <w:rFonts w:ascii="PT Astra Serif" w:hAnsi="PT Astra Serif"/>
          <w:sz w:val="24"/>
          <w:szCs w:val="24"/>
        </w:rPr>
        <w:t xml:space="preserve"> 2023 годах</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t xml:space="preserve">Темп роста сред</w:t>
      </w:r>
      <w:r>
        <w:rPr>
          <w:rFonts w:ascii="PT Astra Serif" w:hAnsi="PT Astra Serif"/>
          <w:sz w:val="24"/>
          <w:szCs w:val="24"/>
        </w:rPr>
        <w:t xml:space="preserve">немесячной номинальной начисленной заработной платы работников организаций в 2023 году выше темпа роста среднегодового индекса потребительских цен (105,8%) на 8,4 процентного пункта. С учетом инфляции реальная заработная плата в 2023 году составила 107,9%.</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t xml:space="preserve">В реальном секторе экономики наибольший темп роста (126,4%) номинальной заработной платы работников организаций в 2023 году отмечен в строительстве</w:t>
      </w:r>
      <w:r>
        <w:rPr>
          <w:rFonts w:ascii="PT Astra Serif" w:hAnsi="PT Astra Serif"/>
          <w:sz w:val="24"/>
          <w:szCs w:val="24"/>
        </w:rPr>
        <w:t xml:space="preserve">,</w:t>
      </w:r>
      <w:r>
        <w:rPr>
          <w:rFonts w:ascii="PT Astra Serif" w:hAnsi="PT Astra Serif"/>
          <w:sz w:val="24"/>
          <w:szCs w:val="24"/>
        </w:rPr>
        <w:t xml:space="preserve"> наименьший (102,7%) – в сфере информационных технологий и связи.</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t xml:space="preserve">Самая высокооплачиваемая отрасль региона «Добыча полезн</w:t>
      </w:r>
      <w:r>
        <w:rPr>
          <w:rFonts w:ascii="PT Astra Serif" w:hAnsi="PT Astra Serif"/>
          <w:sz w:val="24"/>
          <w:szCs w:val="24"/>
        </w:rPr>
        <w:t xml:space="preserve">ых ископаемых», в которой по итогам 2023 года среднемесячная номинальная начисленная заработная плата работников организаций составила 120,1 тыс. рублей. Самая низкая средняя заработная плата в гостиничном бизнесе и общественном питании – 37,6 тыс. рублей.</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t xml:space="preserve">Рост средней заработн</w:t>
      </w:r>
      <w:r>
        <w:rPr>
          <w:rFonts w:ascii="PT Astra Serif" w:hAnsi="PT Astra Serif"/>
          <w:sz w:val="24"/>
          <w:szCs w:val="24"/>
        </w:rPr>
        <w:t xml:space="preserve">ой платы в отраслях бюджетного сектора экономики во многом обусловлен доведением до целевых значений уровня заработной платы отдельных категорий работников социальной сферы и науки, подпадающих под действие «майских» указов Президента Российской Федерации.</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t xml:space="preserve">В течение 2023 года на повышение заработной платы как «указных» категорий, так и остальных работников бюджетного сектора экономики из областного бюджета было выделено 6,3 </w:t>
      </w:r>
      <w:r>
        <w:rPr>
          <w:rFonts w:ascii="PT Astra Serif" w:hAnsi="PT Astra Serif"/>
          <w:sz w:val="24"/>
          <w:szCs w:val="24"/>
        </w:rPr>
        <w:t xml:space="preserve">млрд</w:t>
      </w:r>
      <w:r>
        <w:rPr>
          <w:rFonts w:ascii="PT Astra Serif" w:hAnsi="PT Astra Serif"/>
          <w:sz w:val="24"/>
          <w:szCs w:val="24"/>
        </w:rPr>
        <w:t xml:space="preserve"> </w:t>
      </w:r>
      <w:r>
        <w:rPr>
          <w:rFonts w:ascii="PT Astra Serif" w:hAnsi="PT Astra Serif"/>
          <w:sz w:val="24"/>
          <w:szCs w:val="24"/>
        </w:rPr>
        <w:t xml:space="preserve">рублей в целях достижения целевых значений с уч</w:t>
      </w:r>
      <w:r>
        <w:rPr>
          <w:rFonts w:ascii="PT Astra Serif" w:hAnsi="PT Astra Serif"/>
          <w:sz w:val="24"/>
          <w:szCs w:val="24"/>
        </w:rPr>
        <w:t xml:space="preserve">е</w:t>
      </w:r>
      <w:r>
        <w:rPr>
          <w:rFonts w:ascii="PT Astra Serif" w:hAnsi="PT Astra Serif"/>
          <w:sz w:val="24"/>
          <w:szCs w:val="24"/>
        </w:rPr>
        <w:t xml:space="preserve">том накопленного эффекта неисполнения указов в 2021</w:t>
      </w:r>
      <w:r>
        <w:rPr>
          <w:rFonts w:ascii="PT Astra Serif" w:hAnsi="PT Astra Serif"/>
          <w:sz w:val="24"/>
          <w:szCs w:val="24"/>
        </w:rPr>
        <w:t xml:space="preserve"> </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2022 годах.</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t xml:space="preserve">В результате в сфере образования рост среднемесячной заработной платы составил 115,5%, в здравоохранении и предоставлении социальных услуг» </w:t>
      </w:r>
      <w:r>
        <w:rPr>
          <w:rFonts w:ascii="PT Astra Serif" w:hAnsi="PT Astra Serif"/>
          <w:sz w:val="24"/>
          <w:szCs w:val="24"/>
        </w:rPr>
        <w:t xml:space="preserve">–</w:t>
      </w:r>
      <w:r>
        <w:rPr>
          <w:rFonts w:ascii="PT Astra Serif" w:hAnsi="PT Astra Serif"/>
          <w:sz w:val="24"/>
          <w:szCs w:val="24"/>
        </w:rPr>
        <w:t xml:space="preserve"> 113,1%, культуры и спорта </w:t>
      </w:r>
      <w:r>
        <w:rPr>
          <w:rFonts w:ascii="PT Astra Serif" w:hAnsi="PT Astra Serif"/>
          <w:sz w:val="24"/>
          <w:szCs w:val="24"/>
        </w:rPr>
        <w:t xml:space="preserve">–</w:t>
      </w:r>
      <w:r>
        <w:rPr>
          <w:rFonts w:ascii="PT Astra Serif" w:hAnsi="PT Astra Serif"/>
          <w:sz w:val="24"/>
          <w:szCs w:val="24"/>
        </w:rPr>
        <w:t xml:space="preserve"> 120%.</w:t>
      </w:r>
      <w:r>
        <w:rPr>
          <w:rFonts w:ascii="PT Astra Serif" w:hAnsi="PT Astra Serif"/>
          <w:sz w:val="24"/>
          <w:szCs w:val="24"/>
        </w:rPr>
      </w:r>
      <w:r>
        <w:rPr>
          <w:rFonts w:ascii="PT Astra Serif" w:hAnsi="PT Astra Serif"/>
          <w:sz w:val="24"/>
          <w:szCs w:val="24"/>
        </w:rPr>
      </w:r>
    </w:p>
    <w:p>
      <w:pPr>
        <w:spacing w:after="0" w:line="240" w:lineRule="auto"/>
        <w:rPr>
          <w:rFonts w:ascii="PT Astra Serif" w:hAnsi="PT Astra Serif"/>
          <w:sz w:val="24"/>
          <w:szCs w:val="24"/>
        </w:rPr>
      </w:pPr>
      <w:r>
        <w:rPr>
          <w:rFonts w:ascii="PT Astra Serif" w:hAnsi="PT Astra Serif"/>
          <w:sz w:val="24"/>
          <w:szCs w:val="24"/>
        </w:rPr>
        <w:br w:type="page" w:clear="all"/>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sectPr>
          <w:footerReference w:type="default" r:id="rId9"/>
          <w:footnotePr/>
          <w:endnotePr/>
          <w:type w:val="nextPage"/>
          <w:pgSz w:w="11906" w:h="16838" w:orient="portrait"/>
          <w:pgMar w:top="1134" w:right="850" w:bottom="1134" w:left="1701" w:header="708" w:footer="708" w:gutter="0"/>
          <w:cols w:num="1" w:sep="0" w:space="708" w:equalWidth="1"/>
          <w:docGrid w:linePitch="360"/>
          <w:titlePg/>
        </w:sect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left="-142"/>
        <w:rPr>
          <w:rFonts w:ascii="PT Astra Serif" w:hAnsi="PT Astra Serif"/>
          <w:sz w:val="24"/>
          <w:szCs w:val="24"/>
        </w:rPr>
      </w:pP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598170</wp:posOffset>
                </wp:positionH>
                <wp:positionV relativeFrom="paragraph">
                  <wp:posOffset>189865</wp:posOffset>
                </wp:positionV>
                <wp:extent cx="3009900" cy="453390"/>
                <wp:effectExtent l="0" t="0" r="0" b="0"/>
                <wp:wrapNone/>
                <wp:docPr id="18" name="Поле 77"/>
                <wp:cNvGraphicFramePr/>
                <a:graphic xmlns:a="http://schemas.openxmlformats.org/drawingml/2006/main">
                  <a:graphicData uri="http://schemas.microsoft.com/office/word/2010/wordprocessingShape">
                    <wps:wsp>
                      <wps:cNvPr id="0" name=""/>
                      <wps:cNvSpPr txBox="1"/>
                      <wps:spPr bwMode="auto">
                        <a:xfrm>
                          <a:off x="0" y="0"/>
                          <a:ext cx="3009900" cy="441960"/>
                        </a:xfrm>
                        <a:prstGeom prst="rect">
                          <a:avLst/>
                        </a:prstGeom>
                        <a:noFill/>
                      </wps:spPr>
                      <wps:txbx>
                        <w:txbxContent>
                          <w:p>
                            <w:pPr>
                              <w:pStyle w:val="1149"/>
                              <w:spacing w:before="0" w:beforeAutospacing="0" w:after="0" w:afterAutospacing="0"/>
                            </w:pPr>
                            <w:r>
                              <w:rPr>
                                <w:rFonts w:ascii="PT Astra Serif" w:hAnsi="PT Astra Serif" w:eastAsia="PT Astra Serif" w:cs="Arial"/>
                                <w:b/>
                                <w:bCs/>
                                <w:color w:val="1e883a"/>
                              </w:rPr>
                              <w:t xml:space="preserve">Среднесписочная численность работников </w:t>
                            </w:r>
                            <w:r>
                              <w:rPr>
                                <w:rFonts w:ascii="PT Astra Serif" w:hAnsi="PT Astra Serif" w:eastAsia="PT Astra Serif" w:cs="Arial"/>
                                <w:b/>
                                <w:bCs/>
                                <w:color w:val="1e883a"/>
                              </w:rPr>
                              <w:t xml:space="preserve">организаций, тыс. человек</w:t>
                            </w:r>
                            <w:r/>
                          </w:p>
                        </w:txbxContent>
                      </wps:txbx>
                      <wps:bodyPr wrap="square" rtlCol="0">
                        <a:spAutoFit/>
                      </wps:bodyPr>
                    </wps:wsp>
                  </a:graphicData>
                </a:graphic>
                <wp14:sizeRelH relativeFrom="margin">
                  <wp14:pctWidth>0</wp14:pctWidth>
                </wp14:sizeRelH>
                <wp14:sizeRelV relativeFrom="page">
                  <wp14:pctHeight>0</wp14:pctHeight>
                </wp14:sizeRelV>
              </wp:anchor>
            </w:drawing>
          </mc:Choice>
          <mc:Fallback>
            <w:pict>
              <v:shape id="shape 11" o:spid="_x0000_s11" o:spt="202" type="#_x0000_t202" style="position:absolute;z-index:251729920;o:allowoverlap:true;o:allowincell:true;mso-position-horizontal-relative:text;margin-left:47.10pt;mso-position-horizontal:absolute;mso-position-vertical-relative:text;margin-top:14.95pt;mso-position-vertical:absolute;width:237.00pt;height:35.70pt;mso-wrap-distance-left:9.00pt;mso-wrap-distance-top:0.00pt;mso-wrap-distance-right:9.00pt;mso-wrap-distance-bottom:0.00pt;visibility:visible;" filled="f">
                <v:textbox inset="0,0,0,0">
                  <w:txbxContent>
                    <w:p>
                      <w:pPr>
                        <w:pStyle w:val="1149"/>
                        <w:spacing w:before="0" w:beforeAutospacing="0" w:after="0" w:afterAutospacing="0"/>
                      </w:pPr>
                      <w:r>
                        <w:rPr>
                          <w:rFonts w:ascii="PT Astra Serif" w:hAnsi="PT Astra Serif" w:eastAsia="PT Astra Serif" w:cs="Arial"/>
                          <w:b/>
                          <w:bCs/>
                          <w:color w:val="1e883a"/>
                        </w:rPr>
                        <w:t xml:space="preserve">Среднесписочная численность работников </w:t>
                      </w:r>
                      <w:r>
                        <w:rPr>
                          <w:rFonts w:ascii="PT Astra Serif" w:hAnsi="PT Astra Serif" w:eastAsia="PT Astra Serif" w:cs="Arial"/>
                          <w:b/>
                          <w:bCs/>
                          <w:color w:val="1e883a"/>
                        </w:rPr>
                        <w:t xml:space="preserve">организаций, тыс. человек</w:t>
                      </w:r>
                      <w:r/>
                    </w:p>
                  </w:txbxContent>
                </v:textbox>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262890</wp:posOffset>
                </wp:positionH>
                <wp:positionV relativeFrom="paragraph">
                  <wp:posOffset>810895</wp:posOffset>
                </wp:positionV>
                <wp:extent cx="215900" cy="215900"/>
                <wp:effectExtent l="0" t="0" r="12700" b="12700"/>
                <wp:wrapNone/>
                <wp:docPr id="19" name="Прямоугольник 75"/>
                <wp:cNvGraphicFramePr/>
                <a:graphic xmlns:a="http://schemas.openxmlformats.org/drawingml/2006/main">
                  <a:graphicData uri="http://schemas.microsoft.com/office/word/2010/wordprocessingShape">
                    <wps:wsp>
                      <wps:cNvPr id="0" name=""/>
                      <wps:cNvSpPr/>
                      <wps:spPr bwMode="auto">
                        <a:xfrm>
                          <a:off x="0" y="0"/>
                          <a:ext cx="215899" cy="215899"/>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hape 12" o:spid="_x0000_s12" o:spt="1" type="#_x0000_t1" style="position:absolute;z-index:251753472;o:allowoverlap:true;o:allowincell:true;mso-position-horizontal-relative:text;margin-left:20.70pt;mso-position-horizontal:absolute;mso-position-vertical-relative:text;margin-top:63.85pt;mso-position-vertical:absolute;width:17.00pt;height:17.00pt;mso-wrap-distance-left:9.00pt;mso-wrap-distance-top:0.00pt;mso-wrap-distance-right:9.00pt;mso-wrap-distance-bottom:0.00pt;visibility:visible;" fillcolor="#FFFFFF" strokecolor="#000000" strokeweight="0.25pt">
                <v:stroke dashstyle="solid"/>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92075</wp:posOffset>
                </wp:positionH>
                <wp:positionV relativeFrom="paragraph">
                  <wp:posOffset>720725</wp:posOffset>
                </wp:positionV>
                <wp:extent cx="4715510" cy="786765"/>
                <wp:effectExtent l="0" t="0" r="0" b="0"/>
                <wp:wrapNone/>
                <wp:docPr id="20" name="Поле 73"/>
                <wp:cNvGraphicFramePr/>
                <a:graphic xmlns:a="http://schemas.openxmlformats.org/drawingml/2006/main">
                  <a:graphicData uri="http://schemas.microsoft.com/office/word/2010/wordprocessingShape">
                    <wps:wsp>
                      <wps:cNvPr id="0" name=""/>
                      <wps:cNvSpPr txBox="1"/>
                      <wps:spPr bwMode="auto">
                        <a:xfrm>
                          <a:off x="0" y="0"/>
                          <a:ext cx="4715510" cy="704850"/>
                        </a:xfrm>
                        <a:prstGeom prst="rect">
                          <a:avLst/>
                        </a:prstGeom>
                        <a:noFill/>
                      </wps:spPr>
                      <wps:txbx>
                        <w:txbxContent>
                          <w:p>
                            <w:pPr>
                              <w:pStyle w:val="1149"/>
                              <w:spacing w:before="0" w:beforeAutospacing="0" w:after="0" w:afterAutospacing="0"/>
                              <w:rPr>
                                <w:sz w:val="22"/>
                              </w:rPr>
                            </w:pPr>
                            <w:r>
                              <w:rPr>
                                <w:rFonts w:ascii="PT Astra Serif" w:hAnsi="PT Astra Serif" w:eastAsia="PT Astra Serif" w:cs="Arial"/>
                                <w:b/>
                                <w:bCs/>
                                <w:color w:val="000000" w:themeColor="text1"/>
                                <w:sz w:val="22"/>
                              </w:rPr>
                              <w:t xml:space="preserve">              Среднемесячная номинальная начисленная </w:t>
                            </w:r>
                            <w:r>
                              <w:rPr>
                                <w:sz w:val="22"/>
                              </w:rPr>
                            </w:r>
                            <w:r>
                              <w:rPr>
                                <w:sz w:val="22"/>
                              </w:rPr>
                            </w:r>
                          </w:p>
                          <w:p>
                            <w:pPr>
                              <w:pStyle w:val="1149"/>
                              <w:spacing w:before="0" w:beforeAutospacing="0" w:after="0" w:afterAutospacing="0"/>
                              <w:rPr>
                                <w:rFonts w:ascii="PT Astra Serif" w:hAnsi="PT Astra Serif" w:eastAsia="PT Astra Serif" w:cs="Arial"/>
                                <w:b/>
                                <w:bCs/>
                                <w:color w:val="000000" w:themeColor="text1"/>
                                <w:sz w:val="22"/>
                              </w:rPr>
                            </w:pPr>
                            <w:r>
                              <w:rPr>
                                <w:rFonts w:ascii="PT Astra Serif" w:hAnsi="PT Astra Serif" w:eastAsia="PT Astra Serif" w:cs="Arial"/>
                                <w:b/>
                                <w:bCs/>
                                <w:color w:val="000000" w:themeColor="text1"/>
                                <w:sz w:val="22"/>
                              </w:rPr>
                              <w:t xml:space="preserve">              заработная плата работников организаций, тыс. рублей</w:t>
                            </w:r>
                            <w:r>
                              <w:rPr>
                                <w:rFonts w:ascii="PT Astra Serif" w:hAnsi="PT Astra Serif" w:eastAsia="PT Astra Serif" w:cs="Arial"/>
                                <w:b/>
                                <w:bCs/>
                                <w:color w:val="000000" w:themeColor="text1"/>
                                <w:sz w:val="22"/>
                              </w:rPr>
                            </w:r>
                            <w:r>
                              <w:rPr>
                                <w:rFonts w:ascii="PT Astra Serif" w:hAnsi="PT Astra Serif" w:eastAsia="PT Astra Serif" w:cs="Arial"/>
                                <w:b/>
                                <w:bCs/>
                                <w:color w:val="000000" w:themeColor="text1"/>
                                <w:sz w:val="22"/>
                              </w:rPr>
                            </w:r>
                          </w:p>
                          <w:p>
                            <w:pPr>
                              <w:pStyle w:val="1149"/>
                              <w:spacing w:before="0" w:beforeAutospacing="0" w:after="0" w:afterAutospacing="0"/>
                              <w:rPr>
                                <w:rFonts w:ascii="PT Astra Serif" w:hAnsi="PT Astra Serif" w:eastAsia="PT Astra Serif" w:cs="Arial"/>
                                <w:b/>
                                <w:bCs/>
                                <w:color w:val="000000" w:themeColor="text1"/>
                                <w:sz w:val="12"/>
                                <w:szCs w:val="12"/>
                              </w:rPr>
                            </w:pPr>
                            <w:r>
                              <w:rPr>
                                <w:rFonts w:ascii="PT Astra Serif" w:hAnsi="PT Astra Serif" w:eastAsia="PT Astra Serif" w:cs="Arial"/>
                                <w:b/>
                                <w:bCs/>
                                <w:color w:val="000000" w:themeColor="text1"/>
                                <w:sz w:val="22"/>
                              </w:rPr>
                              <w:t xml:space="preserve">   </w:t>
                            </w:r>
                            <w:r>
                              <w:rPr>
                                <w:rFonts w:ascii="PT Astra Serif" w:hAnsi="PT Astra Serif" w:eastAsia="PT Astra Serif" w:cs="Arial"/>
                                <w:b/>
                                <w:bCs/>
                                <w:color w:val="000000" w:themeColor="text1"/>
                                <w:sz w:val="12"/>
                                <w:szCs w:val="12"/>
                              </w:rPr>
                            </w:r>
                            <w:r>
                              <w:rPr>
                                <w:rFonts w:ascii="PT Astra Serif" w:hAnsi="PT Astra Serif" w:eastAsia="PT Astra Serif" w:cs="Arial"/>
                                <w:b/>
                                <w:bCs/>
                                <w:color w:val="000000" w:themeColor="text1"/>
                                <w:sz w:val="12"/>
                                <w:szCs w:val="12"/>
                              </w:rPr>
                            </w:r>
                          </w:p>
                          <w:p>
                            <w:pPr>
                              <w:pStyle w:val="1149"/>
                              <w:spacing w:before="0" w:beforeAutospacing="0" w:after="0" w:afterAutospacing="0"/>
                            </w:pPr>
                            <w:r>
                              <w:rPr>
                                <w:rFonts w:ascii="PT Astra Serif" w:hAnsi="PT Astra Serif" w:eastAsia="PT Astra Serif" w:cs="Arial"/>
                                <w:b/>
                                <w:bCs/>
                                <w:color w:val="1e883a"/>
                                <w:sz w:val="28"/>
                                <w:szCs w:val="28"/>
                              </w:rPr>
                              <w:t xml:space="preserve">64,8</w:t>
                            </w:r>
                            <w:r>
                              <w:rPr>
                                <w:rFonts w:ascii="PT Astra Serif" w:hAnsi="PT Astra Serif" w:eastAsia="PT Astra Serif" w:cs="Arial"/>
                                <w:b/>
                                <w:bCs/>
                                <w:color w:val="1e883a"/>
                                <w:sz w:val="22"/>
                                <w:szCs w:val="22"/>
                              </w:rPr>
                              <w:t xml:space="preserve"> </w:t>
                            </w:r>
                            <w:r>
                              <w:rPr>
                                <w:rFonts w:ascii="PT Astra Serif" w:hAnsi="PT Astra Serif" w:eastAsia="PT Astra Serif" w:cs="Arial"/>
                                <w:b/>
                                <w:bCs/>
                                <w:color w:val="1e883a"/>
                                <w:sz w:val="28"/>
                                <w:szCs w:val="28"/>
                              </w:rPr>
                              <w:t xml:space="preserve">тыс. рублей</w:t>
                            </w:r>
                            <w:r/>
                          </w:p>
                        </w:txbxContent>
                      </wps:txbx>
                      <wps:bodyPr wrap="square" rtlCol="0">
                        <a:spAutoFit/>
                      </wps:bodyPr>
                    </wps:wsp>
                  </a:graphicData>
                </a:graphic>
                <wp14:sizeRelH relativeFrom="margin">
                  <wp14:pctWidth>0</wp14:pctWidth>
                </wp14:sizeRelH>
                <wp14:sizeRelV relativeFrom="page">
                  <wp14:pctHeight>0</wp14:pctHeight>
                </wp14:sizeRelV>
              </wp:anchor>
            </w:drawing>
          </mc:Choice>
          <mc:Fallback>
            <w:pict>
              <v:shape id="shape 13" o:spid="_x0000_s13" o:spt="202" type="#_x0000_t202" style="position:absolute;z-index:251746304;o:allowoverlap:true;o:allowincell:true;mso-position-horizontal-relative:text;margin-left:7.25pt;mso-position-horizontal:absolute;mso-position-vertical-relative:text;margin-top:56.75pt;mso-position-vertical:absolute;width:371.30pt;height:61.95pt;mso-wrap-distance-left:9.00pt;mso-wrap-distance-top:0.00pt;mso-wrap-distance-right:9.00pt;mso-wrap-distance-bottom:0.00pt;visibility:visible;" filled="f">
                <v:textbox inset="0,0,0,0">
                  <w:txbxContent>
                    <w:p>
                      <w:pPr>
                        <w:pStyle w:val="1149"/>
                        <w:spacing w:before="0" w:beforeAutospacing="0" w:after="0" w:afterAutospacing="0"/>
                        <w:rPr>
                          <w:sz w:val="22"/>
                        </w:rPr>
                      </w:pPr>
                      <w:r>
                        <w:rPr>
                          <w:rFonts w:ascii="PT Astra Serif" w:hAnsi="PT Astra Serif" w:eastAsia="PT Astra Serif" w:cs="Arial"/>
                          <w:b/>
                          <w:bCs/>
                          <w:color w:val="000000" w:themeColor="text1"/>
                          <w:sz w:val="22"/>
                        </w:rPr>
                        <w:t xml:space="preserve">              Среднемесячная номинальная начисленная </w:t>
                      </w:r>
                      <w:r>
                        <w:rPr>
                          <w:sz w:val="22"/>
                        </w:rPr>
                      </w:r>
                      <w:r>
                        <w:rPr>
                          <w:sz w:val="22"/>
                        </w:rPr>
                      </w:r>
                    </w:p>
                    <w:p>
                      <w:pPr>
                        <w:pStyle w:val="1149"/>
                        <w:spacing w:before="0" w:beforeAutospacing="0" w:after="0" w:afterAutospacing="0"/>
                        <w:rPr>
                          <w:rFonts w:ascii="PT Astra Serif" w:hAnsi="PT Astra Serif" w:eastAsia="PT Astra Serif" w:cs="Arial"/>
                          <w:b/>
                          <w:bCs/>
                          <w:color w:val="000000" w:themeColor="text1"/>
                          <w:sz w:val="22"/>
                        </w:rPr>
                      </w:pPr>
                      <w:r>
                        <w:rPr>
                          <w:rFonts w:ascii="PT Astra Serif" w:hAnsi="PT Astra Serif" w:eastAsia="PT Astra Serif" w:cs="Arial"/>
                          <w:b/>
                          <w:bCs/>
                          <w:color w:val="000000" w:themeColor="text1"/>
                          <w:sz w:val="22"/>
                        </w:rPr>
                        <w:t xml:space="preserve">              заработная плата работников организаций, тыс. рублей</w:t>
                      </w:r>
                      <w:r>
                        <w:rPr>
                          <w:rFonts w:ascii="PT Astra Serif" w:hAnsi="PT Astra Serif" w:eastAsia="PT Astra Serif" w:cs="Arial"/>
                          <w:b/>
                          <w:bCs/>
                          <w:color w:val="000000" w:themeColor="text1"/>
                          <w:sz w:val="22"/>
                        </w:rPr>
                      </w:r>
                      <w:r>
                        <w:rPr>
                          <w:rFonts w:ascii="PT Astra Serif" w:hAnsi="PT Astra Serif" w:eastAsia="PT Astra Serif" w:cs="Arial"/>
                          <w:b/>
                          <w:bCs/>
                          <w:color w:val="000000" w:themeColor="text1"/>
                          <w:sz w:val="22"/>
                        </w:rPr>
                      </w:r>
                    </w:p>
                    <w:p>
                      <w:pPr>
                        <w:pStyle w:val="1149"/>
                        <w:spacing w:before="0" w:beforeAutospacing="0" w:after="0" w:afterAutospacing="0"/>
                        <w:rPr>
                          <w:rFonts w:ascii="PT Astra Serif" w:hAnsi="PT Astra Serif" w:eastAsia="PT Astra Serif" w:cs="Arial"/>
                          <w:b/>
                          <w:bCs/>
                          <w:color w:val="000000" w:themeColor="text1"/>
                          <w:sz w:val="12"/>
                          <w:szCs w:val="12"/>
                        </w:rPr>
                      </w:pPr>
                      <w:r>
                        <w:rPr>
                          <w:rFonts w:ascii="PT Astra Serif" w:hAnsi="PT Astra Serif" w:eastAsia="PT Astra Serif" w:cs="Arial"/>
                          <w:b/>
                          <w:bCs/>
                          <w:color w:val="000000" w:themeColor="text1"/>
                          <w:sz w:val="22"/>
                        </w:rPr>
                        <w:t xml:space="preserve">   </w:t>
                      </w:r>
                      <w:r>
                        <w:rPr>
                          <w:rFonts w:ascii="PT Astra Serif" w:hAnsi="PT Astra Serif" w:eastAsia="PT Astra Serif" w:cs="Arial"/>
                          <w:b/>
                          <w:bCs/>
                          <w:color w:val="000000" w:themeColor="text1"/>
                          <w:sz w:val="12"/>
                          <w:szCs w:val="12"/>
                        </w:rPr>
                      </w:r>
                      <w:r>
                        <w:rPr>
                          <w:rFonts w:ascii="PT Astra Serif" w:hAnsi="PT Astra Serif" w:eastAsia="PT Astra Serif" w:cs="Arial"/>
                          <w:b/>
                          <w:bCs/>
                          <w:color w:val="000000" w:themeColor="text1"/>
                          <w:sz w:val="12"/>
                          <w:szCs w:val="12"/>
                        </w:rPr>
                      </w:r>
                    </w:p>
                    <w:p>
                      <w:pPr>
                        <w:pStyle w:val="1149"/>
                        <w:spacing w:before="0" w:beforeAutospacing="0" w:after="0" w:afterAutospacing="0"/>
                      </w:pPr>
                      <w:r>
                        <w:rPr>
                          <w:rFonts w:ascii="PT Astra Serif" w:hAnsi="PT Astra Serif" w:eastAsia="PT Astra Serif" w:cs="Arial"/>
                          <w:b/>
                          <w:bCs/>
                          <w:color w:val="1e883a"/>
                          <w:sz w:val="28"/>
                          <w:szCs w:val="28"/>
                        </w:rPr>
                        <w:t xml:space="preserve">64,8</w:t>
                      </w:r>
                      <w:r>
                        <w:rPr>
                          <w:rFonts w:ascii="PT Astra Serif" w:hAnsi="PT Astra Serif" w:eastAsia="PT Astra Serif" w:cs="Arial"/>
                          <w:b/>
                          <w:bCs/>
                          <w:color w:val="1e883a"/>
                          <w:sz w:val="22"/>
                          <w:szCs w:val="22"/>
                        </w:rPr>
                        <w:t xml:space="preserve"> </w:t>
                      </w:r>
                      <w:r>
                        <w:rPr>
                          <w:rFonts w:ascii="PT Astra Serif" w:hAnsi="PT Astra Serif" w:eastAsia="PT Astra Serif" w:cs="Arial"/>
                          <w:b/>
                          <w:bCs/>
                          <w:color w:val="1e883a"/>
                          <w:sz w:val="28"/>
                          <w:szCs w:val="28"/>
                        </w:rPr>
                        <w:t xml:space="preserve">тыс. рублей</w:t>
                      </w:r>
                      <w:r/>
                    </w:p>
                  </w:txbxContent>
                </v:textbox>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154940</wp:posOffset>
                </wp:positionH>
                <wp:positionV relativeFrom="paragraph">
                  <wp:posOffset>363220</wp:posOffset>
                </wp:positionV>
                <wp:extent cx="407670" cy="107950"/>
                <wp:effectExtent l="0" t="0" r="11430" b="6350"/>
                <wp:wrapNone/>
                <wp:docPr id="21" name="Группа 72"/>
                <wp:cNvGraphicFramePr/>
                <a:graphic xmlns:a="http://schemas.openxmlformats.org/drawingml/2006/main">
                  <a:graphicData uri="http://schemas.microsoft.com/office/word/2010/wordprocessingGroup">
                    <wpg:wgp>
                      <wpg:cNvGrpSpPr/>
                      <wpg:grpSpPr bwMode="auto">
                        <a:xfrm>
                          <a:off x="0" y="0"/>
                          <a:ext cx="407670" cy="107949"/>
                          <a:chOff x="0" y="0"/>
                          <a:chExt cx="306017" cy="85920"/>
                        </a:xfrm>
                      </wpg:grpSpPr>
                      <wps:wsp>
                        <wps:cNvPr id="0" name=""/>
                        <wps:cNvSpPr/>
                        <wps:spPr bwMode="auto">
                          <a:xfrm>
                            <a:off x="0" y="35939"/>
                            <a:ext cx="306017"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wps:wsp>
                        <wps:cNvPr id="1" name=""/>
                        <wps:cNvSpPr/>
                        <wps:spPr bwMode="auto">
                          <a:xfrm>
                            <a:off x="104666" y="0"/>
                            <a:ext cx="81070" cy="85920"/>
                          </a:xfrm>
                          <a:prstGeom prst="ellipse">
                            <a:avLst/>
                          </a:prstGeom>
                          <a:solidFill>
                            <a:schemeClr val="bg1"/>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r>
                                <w:rPr>
                                  <w:rFonts w:eastAsia="Times New Roman"/>
                                </w:rPr>
                              </w:r>
                              <w:r>
                                <w:rPr>
                                  <w:rFonts w:eastAsia="Times New Roman"/>
                                </w:rPr>
                              </w:r>
                              <w:r>
                                <w:rPr>
                                  <w:rFonts w:eastAsia="Times New Roman"/>
                                </w:rPr>
                              </w:r>
                            </w:p>
                          </w:txbxContent>
                        </wps:txbx>
                        <wps:bodyPr rtlCol="0" anchor="ctr"/>
                      </wps:wsp>
                    </wpg:wgp>
                  </a:graphicData>
                </a:graphic>
                <wp14:sizeRelH relativeFrom="page">
                  <wp14:pctWidth>0</wp14:pctWidth>
                </wp14:sizeRelH>
                <wp14:sizeRelV relativeFrom="margin">
                  <wp14:pctHeight>0</wp14:pctHeight>
                </wp14:sizeRelV>
              </wp:anchor>
            </w:drawing>
          </mc:Choice>
          <mc:Fallback>
            <w:pict>
              <v:group id="group 14" o:spid="_x0000_s0000" style="position:absolute;z-index:251744256;o:allowoverlap:true;o:allowincell:true;mso-position-horizontal-relative:text;margin-left:12.20pt;mso-position-horizontal:absolute;mso-position-vertical-relative:text;margin-top:28.60pt;mso-position-vertical:absolute;width:32.10pt;height:8.50pt;mso-wrap-distance-left:9.00pt;mso-wrap-distance-top:0.00pt;mso-wrap-distance-right:9.00pt;mso-wrap-distance-bottom:0.00pt;" coordorigin="0,0" coordsize="3060,859">
                <v:line id="shape 15" o:spid="_x0000_s15" style="position:absolute;left:0;text-align:left;z-index:251744256;visibility:visible;" from="12.2pt,28.6pt" to="44.3pt,37.1pt" filled="f" strokecolor="#595959" strokeweight="1.50pt">
                  <v:stroke dashstyle="solid"/>
                </v:line>
                <v:shape id="shape 16" o:spid="_x0000_s16" o:spt="3" type="#_x0000_t3" style="position:absolute;left:1046;top:0;width:810;height:859;v-text-anchor:middle;visibility:visible;" fillcolor="#FFFFFF" strokecolor="#595959" strokeweight="2.00pt">
                  <v:stroke dashstyle="solid"/>
                  <v:textbox inset="0,0,0,0">
                    <w:txbxContent>
                      <w:p>
                        <w:pPr>
                          <w:rPr>
                            <w:rFonts w:eastAsia="Times New Roman"/>
                          </w:rPr>
                        </w:pPr>
                        <w:r>
                          <w:rPr>
                            <w:rFonts w:eastAsia="Times New Roman"/>
                          </w:rPr>
                        </w:r>
                        <w:r>
                          <w:rPr>
                            <w:rFonts w:eastAsia="Times New Roman"/>
                          </w:rPr>
                        </w:r>
                        <w:r>
                          <w:rPr>
                            <w:rFonts w:eastAsia="Times New Roman"/>
                          </w:rPr>
                        </w:r>
                      </w:p>
                    </w:txbxContent>
                  </v:textbox>
                </v:shape>
              </v:group>
            </w:pict>
          </mc:Fallback>
        </mc:AlternateContent>
      </w:r>
      <w:r>
        <w:rPr>
          <w:lang w:eastAsia="ru-RU"/>
        </w:rPr>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-99695</wp:posOffset>
            </wp:positionH>
            <wp:positionV relativeFrom="paragraph">
              <wp:posOffset>1223645</wp:posOffset>
            </wp:positionV>
            <wp:extent cx="9928860" cy="1257300"/>
            <wp:effectExtent l="0" t="0" r="0" b="0"/>
            <wp:wrapNone/>
            <wp:docPr id="22" name="Диаграмма 7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7856855</wp:posOffset>
                </wp:positionH>
                <wp:positionV relativeFrom="paragraph">
                  <wp:posOffset>2191385</wp:posOffset>
                </wp:positionV>
                <wp:extent cx="266700" cy="301625"/>
                <wp:effectExtent l="0" t="0" r="0" b="3175"/>
                <wp:wrapNone/>
                <wp:docPr id="23"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pic:cNvPicPr>
                        <pic:nvPr/>
                      </pic:nvPicPr>
                      <pic:blipFill>
                        <a:blip r:embed="rId18"/>
                        <a:stretch/>
                      </pic:blipFill>
                      <pic:spPr bwMode="auto">
                        <a:xfrm>
                          <a:off x="0" y="0"/>
                          <a:ext cx="266700" cy="30162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732992;o:allowoverlap:true;o:allowincell:true;mso-position-horizontal-relative:text;margin-left:618.65pt;mso-position-horizontal:absolute;mso-position-vertical-relative:text;margin-top:172.55pt;mso-position-vertical:absolute;width:21.00pt;height:23.75pt;mso-wrap-distance-left:9.00pt;mso-wrap-distance-top:0.00pt;mso-wrap-distance-right:9.00pt;mso-wrap-distance-bottom:0.00pt;" stroked="false">
                <v:path textboxrect="0,0,0,0"/>
                <v:imagedata r:id="rId18"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7317105</wp:posOffset>
                </wp:positionH>
                <wp:positionV relativeFrom="paragraph">
                  <wp:posOffset>2242820</wp:posOffset>
                </wp:positionV>
                <wp:extent cx="312420" cy="272415"/>
                <wp:effectExtent l="0" t="0" r="0" b="0"/>
                <wp:wrapNone/>
                <wp:docPr id="24"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pic:cNvPicPr>
                        <pic:nvPr/>
                      </pic:nvPicPr>
                      <pic:blipFill>
                        <a:blip r:embed="rId19"/>
                        <a:stretch/>
                      </pic:blipFill>
                      <pic:spPr bwMode="auto">
                        <a:xfrm>
                          <a:off x="0" y="0"/>
                          <a:ext cx="312420" cy="27241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731968;o:allowoverlap:true;o:allowincell:true;mso-position-horizontal-relative:text;margin-left:576.15pt;mso-position-horizontal:absolute;mso-position-vertical-relative:text;margin-top:176.60pt;mso-position-vertical:absolute;width:24.60pt;height:21.45pt;mso-wrap-distance-left:9.00pt;mso-wrap-distance-top:0.00pt;mso-wrap-distance-right:9.00pt;mso-wrap-distance-bottom:0.00pt;" stroked="false">
                <v:path textboxrect="0,0,0,0"/>
                <v:imagedata r:id="rId19"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5812790</wp:posOffset>
                </wp:positionH>
                <wp:positionV relativeFrom="paragraph">
                  <wp:posOffset>2118995</wp:posOffset>
                </wp:positionV>
                <wp:extent cx="393700" cy="342265"/>
                <wp:effectExtent l="0" t="0" r="6350" b="635"/>
                <wp:wrapNone/>
                <wp:docPr id="25"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pic:cNvPicPr>
                        <pic:nvPr/>
                      </pic:nvPicPr>
                      <pic:blipFill>
                        <a:blip r:embed="rId20"/>
                        <a:stretch/>
                      </pic:blipFill>
                      <pic:spPr bwMode="auto">
                        <a:xfrm>
                          <a:off x="0" y="0"/>
                          <a:ext cx="393700" cy="34226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742208;o:allowoverlap:true;o:allowincell:true;mso-position-horizontal-relative:text;margin-left:457.70pt;mso-position-horizontal:absolute;mso-position-vertical-relative:text;margin-top:166.85pt;mso-position-vertical:absolute;width:31.00pt;height:26.95pt;mso-wrap-distance-left:9.00pt;mso-wrap-distance-top:0.00pt;mso-wrap-distance-right:9.00pt;mso-wrap-distance-bottom:0.00pt;" stroked="false">
                <v:path textboxrect="0,0,0,0"/>
                <v:imagedata r:id="rId20"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5303520</wp:posOffset>
                </wp:positionH>
                <wp:positionV relativeFrom="paragraph">
                  <wp:posOffset>2219960</wp:posOffset>
                </wp:positionV>
                <wp:extent cx="287655" cy="205740"/>
                <wp:effectExtent l="0" t="0" r="0" b="3810"/>
                <wp:wrapNone/>
                <wp:docPr id="26"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pic:cNvPicPr>
                        <pic:nvPr/>
                      </pic:nvPicPr>
                      <pic:blipFill>
                        <a:blip r:embed="rId21"/>
                        <a:stretch/>
                      </pic:blipFill>
                      <pic:spPr bwMode="auto">
                        <a:xfrm>
                          <a:off x="0" y="0"/>
                          <a:ext cx="287655" cy="20574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734016;o:allowoverlap:true;o:allowincell:true;mso-position-horizontal-relative:text;margin-left:417.60pt;mso-position-horizontal:absolute;mso-position-vertical-relative:text;margin-top:174.80pt;mso-position-vertical:absolute;width:22.65pt;height:16.20pt;mso-wrap-distance-left:9.00pt;mso-wrap-distance-top:0.00pt;mso-wrap-distance-right:9.00pt;mso-wrap-distance-bottom:0.00pt;" stroked="false">
                <v:path textboxrect="0,0,0,0"/>
                <v:imagedata r:id="rId21"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4769485</wp:posOffset>
                </wp:positionH>
                <wp:positionV relativeFrom="paragraph">
                  <wp:posOffset>2214880</wp:posOffset>
                </wp:positionV>
                <wp:extent cx="391160" cy="273685"/>
                <wp:effectExtent l="0" t="0" r="8890" b="0"/>
                <wp:wrapNone/>
                <wp:docPr id="27"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pic:cNvPicPr>
                        <pic:nvPr/>
                      </pic:nvPicPr>
                      <pic:blipFill>
                        <a:blip r:embed="rId22"/>
                        <a:stretch/>
                      </pic:blipFill>
                      <pic:spPr bwMode="auto">
                        <a:xfrm>
                          <a:off x="0" y="0"/>
                          <a:ext cx="391160" cy="27368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738112;o:allowoverlap:true;o:allowincell:true;mso-position-horizontal-relative:text;margin-left:375.55pt;mso-position-horizontal:absolute;mso-position-vertical-relative:text;margin-top:174.40pt;mso-position-vertical:absolute;width:30.80pt;height:21.55pt;mso-wrap-distance-left:9.00pt;mso-wrap-distance-top:0.00pt;mso-wrap-distance-right:9.00pt;mso-wrap-distance-bottom:0.00pt;" stroked="false">
                <v:path textboxrect="0,0,0,0"/>
                <v:imagedata r:id="rId22"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4279900</wp:posOffset>
                </wp:positionH>
                <wp:positionV relativeFrom="paragraph">
                  <wp:posOffset>2182495</wp:posOffset>
                </wp:positionV>
                <wp:extent cx="310515" cy="314960"/>
                <wp:effectExtent l="0" t="0" r="0" b="8890"/>
                <wp:wrapNone/>
                <wp:docPr id="28"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pic:cNvPicPr>
                        <pic:nvPr/>
                      </pic:nvPicPr>
                      <pic:blipFill>
                        <a:blip r:embed="rId23"/>
                        <a:stretch/>
                      </pic:blipFill>
                      <pic:spPr bwMode="auto">
                        <a:xfrm>
                          <a:off x="0" y="0"/>
                          <a:ext cx="310515" cy="31496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737088;o:allowoverlap:true;o:allowincell:true;mso-position-horizontal-relative:text;margin-left:337.00pt;mso-position-horizontal:absolute;mso-position-vertical-relative:text;margin-top:171.85pt;mso-position-vertical:absolute;width:24.45pt;height:24.80pt;mso-wrap-distance-left:9.00pt;mso-wrap-distance-top:0.00pt;mso-wrap-distance-right:9.00pt;mso-wrap-distance-bottom:0.00pt;" stroked="false">
                <v:path textboxrect="0,0,0,0"/>
                <v:imagedata r:id="rId23"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3765550</wp:posOffset>
                </wp:positionH>
                <wp:positionV relativeFrom="paragraph">
                  <wp:posOffset>2200910</wp:posOffset>
                </wp:positionV>
                <wp:extent cx="289560" cy="291465"/>
                <wp:effectExtent l="0" t="0" r="0" b="0"/>
                <wp:wrapNone/>
                <wp:docPr id="29"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pic:cNvPicPr>
                        <pic:nvPr/>
                      </pic:nvPicPr>
                      <pic:blipFill>
                        <a:blip r:embed="rId24"/>
                        <a:stretch/>
                      </pic:blipFill>
                      <pic:spPr bwMode="auto">
                        <a:xfrm>
                          <a:off x="0" y="0"/>
                          <a:ext cx="289560" cy="29146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740160;o:allowoverlap:true;o:allowincell:true;mso-position-horizontal-relative:text;margin-left:296.50pt;mso-position-horizontal:absolute;mso-position-vertical-relative:text;margin-top:173.30pt;mso-position-vertical:absolute;width:22.80pt;height:22.95pt;mso-wrap-distance-left:9.00pt;mso-wrap-distance-top:0.00pt;mso-wrap-distance-right:9.00pt;mso-wrap-distance-bottom:0.00pt;" stroked="false">
                <v:path textboxrect="0,0,0,0"/>
                <v:imagedata r:id="rId24"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3188970</wp:posOffset>
                </wp:positionH>
                <wp:positionV relativeFrom="paragraph">
                  <wp:posOffset>2254250</wp:posOffset>
                </wp:positionV>
                <wp:extent cx="410210" cy="263525"/>
                <wp:effectExtent l="0" t="0" r="8890" b="3175"/>
                <wp:wrapNone/>
                <wp:docPr id="30" name="Рисунок 62"/>
                <wp:cNvGraphicFramePr/>
                <a:graphic xmlns:a="http://schemas.openxmlformats.org/drawingml/2006/main">
                  <a:graphicData uri="http://schemas.openxmlformats.org/drawingml/2006/picture">
                    <pic:pic xmlns:pic="http://schemas.openxmlformats.org/drawingml/2006/picture">
                      <pic:nvPicPr>
                        <pic:cNvPr id="8" name="Рисунок 7"/>
                        <pic:cNvPicPr/>
                        <pic:nvPr/>
                      </pic:nvPicPr>
                      <pic:blipFill>
                        <a:blip r:embed="rId25">
                          <a:duotone>
                            <a:prstClr val="black"/>
                            <a:schemeClr val="bg1">
                              <a:lumMod val="65000"/>
                              <a:tint val="45000"/>
                              <a:satMod val="400000"/>
                            </a:schemeClr>
                          </a:duotone>
                        </a:blip>
                        <a:stretch/>
                      </pic:blipFill>
                      <pic:spPr bwMode="auto">
                        <a:xfrm>
                          <a:off x="0" y="0"/>
                          <a:ext cx="410210" cy="263525"/>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730944;o:allowoverlap:true;o:allowincell:true;mso-position-horizontal-relative:text;margin-left:251.10pt;mso-position-horizontal:absolute;mso-position-vertical-relative:text;margin-top:177.50pt;mso-position-vertical:absolute;width:32.30pt;height:20.75pt;mso-wrap-distance-left:9.00pt;mso-wrap-distance-top:0.00pt;mso-wrap-distance-right:9.00pt;mso-wrap-distance-bottom:0.00pt;" stroked="false">
                <v:path textboxrect="0,0,0,0"/>
                <v:imagedata r:id="rId25"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2717800</wp:posOffset>
                </wp:positionH>
                <wp:positionV relativeFrom="paragraph">
                  <wp:posOffset>2157095</wp:posOffset>
                </wp:positionV>
                <wp:extent cx="357505" cy="334010"/>
                <wp:effectExtent l="0" t="0" r="4445" b="8890"/>
                <wp:wrapNone/>
                <wp:docPr id="31" name="Рисунок 61" descr="free-icon-real-estate-18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ree-icon-real-estate-182661"/>
                        <pic:cNvPicPr>
                          <a:picLocks noChangeAspect="1"/>
                        </pic:cNvPicPr>
                        <pic:nvPr/>
                      </pic:nvPicPr>
                      <pic:blipFill>
                        <a:blip r:embed="rId26"/>
                        <a:stretch/>
                      </pic:blipFill>
                      <pic:spPr bwMode="auto">
                        <a:xfrm>
                          <a:off x="0" y="0"/>
                          <a:ext cx="357505" cy="33401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749376;o:allowoverlap:true;o:allowincell:true;mso-position-horizontal-relative:text;margin-left:214.00pt;mso-position-horizontal:absolute;mso-position-vertical-relative:text;margin-top:169.85pt;mso-position-vertical:absolute;width:28.15pt;height:26.30pt;mso-wrap-distance-left:9.00pt;mso-wrap-distance-top:0.00pt;mso-wrap-distance-right:9.00pt;mso-wrap-distance-bottom:0.00pt;" stroked="false">
                <v:path textboxrect="0,0,0,0"/>
                <v:imagedata r:id="rId26"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1752600</wp:posOffset>
                </wp:positionH>
                <wp:positionV relativeFrom="paragraph">
                  <wp:posOffset>2231390</wp:posOffset>
                </wp:positionV>
                <wp:extent cx="321310" cy="290195"/>
                <wp:effectExtent l="0" t="0" r="2540" b="0"/>
                <wp:wrapNone/>
                <wp:docPr id="32"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pic:cNvPicPr>
                        <pic:nvPr/>
                      </pic:nvPicPr>
                      <pic:blipFill>
                        <a:blip r:embed="rId27"/>
                        <a:stretch/>
                      </pic:blipFill>
                      <pic:spPr bwMode="auto">
                        <a:xfrm>
                          <a:off x="0" y="0"/>
                          <a:ext cx="321310" cy="29019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739136;o:allowoverlap:true;o:allowincell:true;mso-position-horizontal-relative:text;margin-left:138.00pt;mso-position-horizontal:absolute;mso-position-vertical-relative:text;margin-top:175.70pt;mso-position-vertical:absolute;width:25.30pt;height:22.85pt;mso-wrap-distance-left:9.00pt;mso-wrap-distance-top:0.00pt;mso-wrap-distance-right:9.00pt;mso-wrap-distance-bottom:0.00pt;" stroked="false">
                <v:path textboxrect="0,0,0,0"/>
                <v:imagedata r:id="rId27"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1250950</wp:posOffset>
                </wp:positionH>
                <wp:positionV relativeFrom="paragraph">
                  <wp:posOffset>2227580</wp:posOffset>
                </wp:positionV>
                <wp:extent cx="311150" cy="311150"/>
                <wp:effectExtent l="0" t="0" r="0" b="0"/>
                <wp:wrapNone/>
                <wp:docPr id="33" name="Рисунок 59" descr="Администрация – Бесплатные иконки: файлы и папки"/>
                <wp:cNvGraphicFramePr/>
                <a:graphic xmlns:a="http://schemas.openxmlformats.org/drawingml/2006/main">
                  <a:graphicData uri="http://schemas.openxmlformats.org/drawingml/2006/picture">
                    <pic:pic xmlns:pic="http://schemas.openxmlformats.org/drawingml/2006/picture">
                      <pic:nvPicPr>
                        <pic:cNvPr id="2056" name="Picture 8" descr="Администрация – Бесплатные иконки: файлы и папки"/>
                        <pic:cNvPicPr/>
                        <pic:nvPr/>
                      </pic:nvPicPr>
                      <pic:blipFill>
                        <a:blip r:embed="rId28">
                          <a:duotone>
                            <a:prstClr val="black"/>
                            <a:schemeClr val="bg1">
                              <a:lumMod val="85000"/>
                              <a:tint val="45000"/>
                              <a:satMod val="400000"/>
                            </a:schemeClr>
                          </a:duotone>
                        </a:blip>
                        <a:stretch/>
                      </pic:blipFill>
                      <pic:spPr bwMode="auto">
                        <a:xfrm>
                          <a:off x="0" y="0"/>
                          <a:ext cx="307975" cy="30797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747328;o:allowoverlap:true;o:allowincell:true;mso-position-horizontal-relative:text;margin-left:98.50pt;mso-position-horizontal:absolute;mso-position-vertical-relative:text;margin-top:175.40pt;mso-position-vertical:absolute;width:24.50pt;height:24.50pt;mso-wrap-distance-left:9.00pt;mso-wrap-distance-top:0.00pt;mso-wrap-distance-right:9.00pt;mso-wrap-distance-bottom:0.00pt;" stroked="false">
                <v:path textboxrect="0,0,0,0"/>
                <v:imagedata r:id="rId28"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240665</wp:posOffset>
                </wp:positionH>
                <wp:positionV relativeFrom="paragraph">
                  <wp:posOffset>2228850</wp:posOffset>
                </wp:positionV>
                <wp:extent cx="353695" cy="297180"/>
                <wp:effectExtent l="0" t="0" r="0" b="7620"/>
                <wp:wrapNone/>
                <wp:docPr id="34" name="Рисунок 58"/>
                <wp:cNvGraphicFramePr/>
                <a:graphic xmlns:a="http://schemas.openxmlformats.org/drawingml/2006/main">
                  <a:graphicData uri="http://schemas.openxmlformats.org/drawingml/2006/picture">
                    <pic:pic xmlns:pic="http://schemas.openxmlformats.org/drawingml/2006/picture">
                      <pic:nvPicPr>
                        <pic:cNvPr id="5" name="Рисунок 39"/>
                        <pic:cNvPicPr/>
                        <pic:nvPr/>
                      </pic:nvPicPr>
                      <pic:blipFill>
                        <a:blip r:embed="rId29">
                          <a:duotone>
                            <a:schemeClr val="bg2">
                              <a:shade val="45000"/>
                              <a:satMod val="135000"/>
                            </a:schemeClr>
                            <a:prstClr val="white"/>
                          </a:duotone>
                        </a:blip>
                        <a:stretch/>
                      </pic:blipFill>
                      <pic:spPr bwMode="auto">
                        <a:xfrm>
                          <a:off x="0" y="0"/>
                          <a:ext cx="350520" cy="297180"/>
                        </a:xfrm>
                        <a:prstGeom prst="rect">
                          <a:avLst/>
                        </a:prstGeom>
                      </pic:spPr>
                    </pic:pic>
                  </a:graphicData>
                </a:graphic>
                <wp14:sizeRelH relativeFrom="page">
                  <wp14:pctWidth>0</wp14:pctWidth>
                </wp14:sizeRelH>
                <wp14:sizeRelV relativeFrom="margin">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750400;o:allowoverlap:true;o:allowincell:true;mso-position-horizontal-relative:text;margin-left:18.95pt;mso-position-horizontal:absolute;mso-position-vertical-relative:text;margin-top:175.50pt;mso-position-vertical:absolute;width:27.85pt;height:23.40pt;mso-wrap-distance-left:9.00pt;mso-wrap-distance-top:0.00pt;mso-wrap-distance-right:9.00pt;mso-wrap-distance-bottom:0.00pt;" stroked="false">
                <v:path textboxrect="0,0,0,0"/>
                <v:imagedata r:id="rId29"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8345170</wp:posOffset>
                </wp:positionH>
                <wp:positionV relativeFrom="paragraph">
                  <wp:posOffset>2192655</wp:posOffset>
                </wp:positionV>
                <wp:extent cx="332105" cy="332105"/>
                <wp:effectExtent l="0" t="0" r="0" b="0"/>
                <wp:wrapNone/>
                <wp:docPr id="35" name="Рисунок 57" descr="Без име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ез имени"/>
                        <pic:cNvPicPr>
                          <a:picLocks noChangeAspect="1"/>
                        </pic:cNvPicPr>
                        <pic:nvPr/>
                      </pic:nvPicPr>
                      <pic:blipFill>
                        <a:blip r:embed="rId30">
                          <a:grayscl/>
                        </a:blip>
                        <a:stretch/>
                      </pic:blipFill>
                      <pic:spPr bwMode="auto">
                        <a:xfrm>
                          <a:off x="0" y="0"/>
                          <a:ext cx="332105" cy="33210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751424;o:allowoverlap:true;o:allowincell:true;mso-position-horizontal-relative:text;margin-left:657.10pt;mso-position-horizontal:absolute;mso-position-vertical-relative:text;margin-top:172.65pt;mso-position-vertical:absolute;width:26.15pt;height:26.15pt;mso-wrap-distance-left:9.00pt;mso-wrap-distance-top:0.00pt;mso-wrap-distance-right:9.00pt;mso-wrap-distance-bottom:0.00pt;" stroked="false">
                <v:path textboxrect="0,0,0,0"/>
                <v:imagedata r:id="rId30"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123190</wp:posOffset>
                </wp:positionH>
                <wp:positionV relativeFrom="paragraph">
                  <wp:posOffset>1419225</wp:posOffset>
                </wp:positionV>
                <wp:extent cx="9770110" cy="0"/>
                <wp:effectExtent l="0" t="0" r="21590" b="19050"/>
                <wp:wrapNone/>
                <wp:docPr id="36" name="Прямая соединительная линия 56"/>
                <wp:cNvGraphicFramePr/>
                <a:graphic xmlns:a="http://schemas.openxmlformats.org/drawingml/2006/main">
                  <a:graphicData uri="http://schemas.microsoft.com/office/word/2010/wordprocessingShape">
                    <wps:wsp>
                      <wps:cNvPr id="0" name=""/>
                      <wps:cNvSpPr/>
                      <wps:spPr bwMode="auto">
                        <a:xfrm>
                          <a:off x="0" y="0"/>
                          <a:ext cx="9770110" cy="0"/>
                        </a:xfrm>
                        <a:prstGeom prst="line">
                          <a:avLst/>
                        </a:prstGeom>
                        <a:ln w="19050">
                          <a:solidFill>
                            <a:srgbClr val="1E883A"/>
                          </a:solidFill>
                        </a:ln>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line id="shape 30" o:spid="_x0000_s30" style="position:absolute;left:0;text-align:left;z-index:251745280;mso-wrap-distance-left:9.00pt;mso-wrap-distance-top:0.00pt;mso-wrap-distance-right:9.00pt;mso-wrap-distance-bottom:0.00pt;visibility:visible;" from="9.7pt,111.8pt" to="779.0pt,111.8pt" filled="f" strokecolor="#1E883A" strokeweight="1.50pt">
                <v:stroke dashstyle="solid"/>
              </v:lin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6853555</wp:posOffset>
                </wp:positionH>
                <wp:positionV relativeFrom="paragraph">
                  <wp:posOffset>2212975</wp:posOffset>
                </wp:positionV>
                <wp:extent cx="335280" cy="236220"/>
                <wp:effectExtent l="0" t="0" r="7620" b="0"/>
                <wp:wrapNone/>
                <wp:docPr id="37"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pic:cNvPicPr>
                        <pic:nvPr/>
                      </pic:nvPicPr>
                      <pic:blipFill>
                        <a:blip r:embed="rId31"/>
                        <a:stretch/>
                      </pic:blipFill>
                      <pic:spPr bwMode="auto">
                        <a:xfrm>
                          <a:off x="0" y="0"/>
                          <a:ext cx="335280" cy="23622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743232;o:allowoverlap:true;o:allowincell:true;mso-position-horizontal-relative:text;margin-left:539.65pt;mso-position-horizontal:absolute;mso-position-vertical-relative:text;margin-top:174.25pt;mso-position-vertical:absolute;width:26.40pt;height:18.60pt;mso-wrap-distance-left:9.00pt;mso-wrap-distance-top:0.00pt;mso-wrap-distance-right:9.00pt;mso-wrap-distance-bottom:0.00pt;" stroked="false">
                <v:path textboxrect="0,0,0,0"/>
                <v:imagedata r:id="rId31"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6317615</wp:posOffset>
                </wp:positionH>
                <wp:positionV relativeFrom="paragraph">
                  <wp:posOffset>2165350</wp:posOffset>
                </wp:positionV>
                <wp:extent cx="342900" cy="287020"/>
                <wp:effectExtent l="0" t="0" r="0" b="0"/>
                <wp:wrapNone/>
                <wp:docPr id="38"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pic:cNvPicPr>
                        <pic:nvPr/>
                      </pic:nvPicPr>
                      <pic:blipFill>
                        <a:blip r:embed="rId32"/>
                        <a:stretch/>
                      </pic:blipFill>
                      <pic:spPr bwMode="auto">
                        <a:xfrm>
                          <a:off x="0" y="0"/>
                          <a:ext cx="342900" cy="287020"/>
                        </a:xfrm>
                        <a:prstGeom prst="rect">
                          <a:avLst/>
                        </a:prstGeom>
                        <a:noFill/>
                      </pic:spPr>
                    </pic:pic>
                  </a:graphicData>
                </a:graphic>
                <wp14:sizeRelH relativeFrom="margin">
                  <wp14:pctWidth>0</wp14:pctWidth>
                </wp14:sizeRelH>
                <wp14:sizeRelV relativeFrom="margin">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736064;o:allowoverlap:true;o:allowincell:true;mso-position-horizontal-relative:text;margin-left:497.45pt;mso-position-horizontal:absolute;mso-position-vertical-relative:text;margin-top:170.50pt;mso-position-vertical:absolute;width:27.00pt;height:22.60pt;mso-wrap-distance-left:9.00pt;mso-wrap-distance-top:0.00pt;mso-wrap-distance-right:9.00pt;mso-wrap-distance-bottom:0.00pt;" stroked="false">
                <v:path textboxrect="0,0,0,0"/>
                <v:imagedata r:id="rId32"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2256155</wp:posOffset>
                </wp:positionH>
                <wp:positionV relativeFrom="paragraph">
                  <wp:posOffset>2142490</wp:posOffset>
                </wp:positionV>
                <wp:extent cx="381000" cy="381000"/>
                <wp:effectExtent l="0" t="0" r="0" b="0"/>
                <wp:wrapNone/>
                <wp:docPr id="39" name="Рисунок 52" descr="pngwing.co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ngwing.com (3)"/>
                        <pic:cNvPicPr>
                          <a:picLocks noChangeAspect="1"/>
                        </pic:cNvPicPr>
                        <pic:nvPr/>
                      </pic:nvPicPr>
                      <pic:blipFill>
                        <a:blip r:embed="rId33"/>
                        <a:stretch/>
                      </pic:blipFill>
                      <pic:spPr bwMode="auto">
                        <a:xfrm>
                          <a:off x="0" y="0"/>
                          <a:ext cx="381000" cy="381000"/>
                        </a:xfrm>
                        <a:prstGeom prst="rect">
                          <a:avLst/>
                        </a:prstGeom>
                        <a:noFill/>
                      </pic:spPr>
                    </pic:pic>
                  </a:graphicData>
                </a:graphic>
                <wp14:sizeRelH relativeFrom="margin">
                  <wp14:pctWidth>0</wp14:pctWidth>
                </wp14:sizeRelH>
                <wp14:sizeRelV relativeFrom="margin">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748352;o:allowoverlap:true;o:allowincell:true;mso-position-horizontal-relative:text;margin-left:177.65pt;mso-position-horizontal:absolute;mso-position-vertical-relative:text;margin-top:168.70pt;mso-position-vertical:absolute;width:30.00pt;height:30.00pt;mso-wrap-distance-left:9.00pt;mso-wrap-distance-top:0.00pt;mso-wrap-distance-right:9.00pt;mso-wrap-distance-bottom:0.00pt;" stroked="false">
                <v:path textboxrect="0,0,0,0"/>
                <v:imagedata r:id="rId33"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731520</wp:posOffset>
                </wp:positionH>
                <wp:positionV relativeFrom="paragraph">
                  <wp:posOffset>2166620</wp:posOffset>
                </wp:positionV>
                <wp:extent cx="375285" cy="346710"/>
                <wp:effectExtent l="0" t="0" r="5715" b="0"/>
                <wp:wrapNone/>
                <wp:docPr id="40" name="Рисунок 51" descr="pngwing.co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ngwing.com (2)"/>
                        <pic:cNvPicPr>
                          <a:picLocks noChangeAspect="1"/>
                        </pic:cNvPicPr>
                        <pic:nvPr/>
                      </pic:nvPicPr>
                      <pic:blipFill>
                        <a:blip r:embed="rId34">
                          <a:lum bright="70000" contrast="-70000"/>
                        </a:blip>
                        <a:stretch/>
                      </pic:blipFill>
                      <pic:spPr bwMode="auto">
                        <a:xfrm>
                          <a:off x="0" y="0"/>
                          <a:ext cx="375285" cy="34671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741184;o:allowoverlap:true;o:allowincell:true;mso-position-horizontal-relative:text;margin-left:57.60pt;mso-position-horizontal:absolute;mso-position-vertical-relative:text;margin-top:170.60pt;mso-position-vertical:absolute;width:29.55pt;height:27.30pt;mso-wrap-distance-left:9.00pt;mso-wrap-distance-top:0.00pt;mso-wrap-distance-right:9.00pt;mso-wrap-distance-bottom:0.00pt;" stroked="false">
                <v:path textboxrect="0,0,0,0"/>
                <v:imagedata r:id="rId34" o:title=""/>
              </v:shape>
            </w:pict>
          </mc:Fallback>
        </mc:AlternateContent>
      </w:r>
      <w:r>
        <w:rPr>
          <w:rFonts w:ascii="PT Astra Serif" w:hAnsi="PT Astra Serif"/>
          <w:sz w:val="24"/>
          <w:szCs w:val="24"/>
          <w:shd w:val="clear" w:color="auto" w:fill="c2d69b" w:themeFill="accent3" w:themeFillTint="99"/>
          <w:lang w:eastAsia="ru-RU"/>
        </w:rPr>
        <w:drawing>
          <wp:inline distT="0" distB="0" distL="0" distR="0">
            <wp:extent cx="10115550" cy="2743200"/>
            <wp:effectExtent l="0" t="0" r="0" b="0"/>
            <wp:docPr id="41" name="Диаграмма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rPr>
          <w:rFonts w:ascii="PT Astra Serif" w:hAnsi="PT Astra Serif"/>
          <w:sz w:val="24"/>
          <w:szCs w:val="24"/>
        </w:rPr>
      </w:r>
      <w:r>
        <w:rPr>
          <w:rFonts w:ascii="PT Astra Serif" w:hAnsi="PT Astra Serif"/>
          <w:sz w:val="24"/>
          <w:szCs w:val="24"/>
        </w:rPr>
      </w:r>
    </w:p>
    <w:p>
      <w:pPr>
        <w:rPr>
          <w:rFonts w:ascii="PT Astra Serif" w:hAnsi="PT Astra Serif"/>
          <w:sz w:val="24"/>
          <w:szCs w:val="24"/>
        </w:rPr>
      </w:pPr>
      <w:r>
        <w:rPr>
          <w:rFonts w:ascii="PT Astra Serif" w:hAnsi="PT Astra Serif"/>
          <w:sz w:val="24"/>
          <w:szCs w:val="24"/>
          <w:lang w:eastAsia="ru-RU"/>
        </w:rPr>
        <mc:AlternateContent>
          <mc:Choice Requires="wpg">
            <w:drawing>
              <wp:inline xmlns:wp="http://schemas.openxmlformats.org/drawingml/2006/wordprocessingDrawing" distT="0" distB="0" distL="0" distR="0">
                <wp:extent cx="9827812" cy="1494845"/>
                <wp:effectExtent l="0" t="0" r="2540" b="0"/>
                <wp:docPr id="4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трасли.png"/>
                        <pic:cNvPicPr>
                          <a:picLocks noChangeAspect="1"/>
                        </pic:cNvPicPr>
                        <pic:nvPr/>
                      </pic:nvPicPr>
                      <pic:blipFill>
                        <a:blip r:embed="rId36"/>
                        <a:stretch/>
                      </pic:blipFill>
                      <pic:spPr bwMode="auto">
                        <a:xfrm>
                          <a:off x="0" y="0"/>
                          <a:ext cx="9847982" cy="149791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73.84pt;height:117.70pt;mso-wrap-distance-left:0.00pt;mso-wrap-distance-top:0.00pt;mso-wrap-distance-right:0.00pt;mso-wrap-distance-bottom:0.00pt;" stroked="false">
                <v:path textboxrect="0,0,0,0"/>
                <v:imagedata r:id="rId36" o:title=""/>
              </v:shape>
            </w:pict>
          </mc:Fallback>
        </mc:AlternateContent>
      </w:r>
      <w:r>
        <w:rPr>
          <w:rFonts w:ascii="PT Astra Serif" w:hAnsi="PT Astra Serif"/>
          <w:sz w:val="24"/>
          <w:szCs w:val="24"/>
        </w:rPr>
      </w:r>
      <w:r>
        <w:rPr>
          <w:rFonts w:ascii="PT Astra Serif" w:hAnsi="PT Astra Serif"/>
          <w:sz w:val="24"/>
          <w:szCs w:val="24"/>
        </w:rPr>
      </w:r>
    </w:p>
    <w:p>
      <w:pPr>
        <w:contextualSpacing/>
        <w:jc w:val="center"/>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jc w:val="center"/>
        <w:spacing w:after="0" w:line="240" w:lineRule="auto"/>
        <w:rPr>
          <w:rFonts w:ascii="PT Astra Serif" w:hAnsi="PT Astra Serif"/>
          <w:sz w:val="24"/>
          <w:szCs w:val="24"/>
        </w:rPr>
      </w:pPr>
      <w:r>
        <w:rPr>
          <w:rFonts w:ascii="PT Astra Serif" w:hAnsi="PT Astra Serif"/>
          <w:sz w:val="24"/>
          <w:szCs w:val="24"/>
        </w:rPr>
        <w:t xml:space="preserve">Рисунок </w:t>
      </w:r>
      <w:r>
        <w:rPr>
          <w:rFonts w:ascii="PT Astra Serif" w:hAnsi="PT Astra Serif"/>
          <w:sz w:val="24"/>
          <w:szCs w:val="24"/>
        </w:rPr>
        <w:t xml:space="preserve">6</w:t>
      </w:r>
      <w:r>
        <w:rPr>
          <w:rFonts w:ascii="PT Astra Serif" w:hAnsi="PT Astra Serif"/>
          <w:sz w:val="24"/>
          <w:szCs w:val="24"/>
        </w:rPr>
        <w:t xml:space="preserve"> – Среднемесячная заработная плата и среднесписочная численность работников организаций по отраслям экономики </w:t>
      </w:r>
      <w:r>
        <w:rPr>
          <w:rFonts w:ascii="PT Astra Serif" w:hAnsi="PT Astra Serif"/>
          <w:sz w:val="24"/>
          <w:szCs w:val="24"/>
        </w:rPr>
      </w:r>
      <w:r>
        <w:rPr>
          <w:rFonts w:ascii="PT Astra Serif" w:hAnsi="PT Astra Serif"/>
          <w:sz w:val="24"/>
          <w:szCs w:val="24"/>
        </w:rPr>
      </w:r>
    </w:p>
    <w:p>
      <w:pPr>
        <w:contextualSpacing/>
        <w:jc w:val="center"/>
        <w:spacing w:after="0" w:line="240" w:lineRule="auto"/>
        <w:rPr>
          <w:rFonts w:ascii="PT Astra Serif" w:hAnsi="PT Astra Serif"/>
          <w:sz w:val="24"/>
          <w:szCs w:val="24"/>
        </w:rPr>
      </w:pPr>
      <w:r>
        <w:rPr>
          <w:rFonts w:ascii="PT Astra Serif" w:hAnsi="PT Astra Serif"/>
          <w:sz w:val="24"/>
          <w:szCs w:val="24"/>
        </w:rPr>
        <w:t xml:space="preserve">Томской области</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sectPr>
          <w:footnotePr/>
          <w:endnotePr/>
          <w:type w:val="nextPage"/>
          <w:pgSz w:w="16838" w:h="11906" w:orient="landscape"/>
          <w:pgMar w:top="1701" w:right="1134" w:bottom="850" w:left="851" w:header="708" w:footer="708" w:gutter="0"/>
          <w:cols w:num="1" w:sep="0" w:space="708" w:equalWidth="1"/>
          <w:docGrid w:linePitch="360"/>
        </w:sect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t xml:space="preserve">В структуре денежных доходов населения социальные выплаты, индексируемые в порядке, установленном действующим законодательством, формируют 24,7%, в том числе пенсии - 16,5%.</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t xml:space="preserve">За 2021 </w:t>
      </w:r>
      <w:r>
        <w:rPr>
          <w:rFonts w:ascii="PT Astra Serif" w:hAnsi="PT Astra Serif"/>
          <w:sz w:val="24"/>
          <w:szCs w:val="24"/>
        </w:rPr>
        <w:t xml:space="preserve">–</w:t>
      </w:r>
      <w:r>
        <w:rPr>
          <w:rFonts w:ascii="PT Astra Serif" w:hAnsi="PT Astra Serif"/>
          <w:sz w:val="24"/>
          <w:szCs w:val="24"/>
        </w:rPr>
        <w:t xml:space="preserve"> 2023 год</w:t>
      </w:r>
      <w:r>
        <w:rPr>
          <w:rFonts w:ascii="PT Astra Serif" w:hAnsi="PT Astra Serif"/>
          <w:sz w:val="24"/>
          <w:szCs w:val="24"/>
        </w:rPr>
        <w:t xml:space="preserve">ы</w:t>
      </w:r>
      <w:r>
        <w:rPr>
          <w:rFonts w:ascii="PT Astra Serif" w:hAnsi="PT Astra Serif"/>
          <w:sz w:val="24"/>
          <w:szCs w:val="24"/>
        </w:rPr>
        <w:t xml:space="preserve"> средний размер назначенных пенсий в Томской области увеличился </w:t>
      </w:r>
      <w:r>
        <w:rPr>
          <w:rFonts w:ascii="PT Astra Serif" w:hAnsi="PT Astra Serif"/>
          <w:sz w:val="24"/>
          <w:szCs w:val="24"/>
        </w:rPr>
        <w:t xml:space="preserve">в </w:t>
      </w:r>
      <w:r>
        <w:rPr>
          <w:rFonts w:ascii="PT Astra Serif" w:hAnsi="PT Astra Serif"/>
          <w:sz w:val="24"/>
          <w:szCs w:val="24"/>
        </w:rPr>
        <w:t xml:space="preserve">1,2 раза (на 4,3 тыс. рублей), в том числе за 2023 год на 8%, и по состоянию на 1 января 2024 года составил 22 728 рублей (в целом по </w:t>
      </w:r>
      <w:r>
        <w:rPr>
          <w:rFonts w:ascii="PT Astra Serif" w:hAnsi="PT Astra Serif"/>
          <w:sz w:val="24"/>
          <w:szCs w:val="24"/>
        </w:rPr>
        <w:t xml:space="preserve">РФ – 20 782 рубля</w:t>
      </w:r>
      <w:r>
        <w:rPr>
          <w:rFonts w:ascii="PT Astra Serif" w:hAnsi="PT Astra Serif"/>
          <w:sz w:val="24"/>
          <w:szCs w:val="24"/>
        </w:rPr>
        <w:t xml:space="preserve">, по СФО – 20</w:t>
      </w:r>
      <w:r>
        <w:rPr>
          <w:rFonts w:ascii="PT Astra Serif" w:hAnsi="PT Astra Serif"/>
          <w:sz w:val="24"/>
          <w:szCs w:val="24"/>
        </w:rPr>
        <w:t xml:space="preserve"> </w:t>
      </w:r>
      <w:r>
        <w:rPr>
          <w:rFonts w:ascii="PT Astra Serif" w:hAnsi="PT Astra Serif"/>
          <w:sz w:val="24"/>
          <w:szCs w:val="24"/>
        </w:rPr>
        <w:t xml:space="preserve">767 рублей). </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jc w:val="center"/>
        <w:spacing w:after="0" w:line="240" w:lineRule="auto"/>
        <w:rPr>
          <w:rFonts w:ascii="PT Astra Serif" w:hAnsi="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По размеру назначенных пенсий Томская область сохраняет лидирующую позицию среди регионов СФО и входит в ТОП-15 среди всех субъектов Российской Федерации</w:t>
      </w:r>
      <w:r>
        <w:rPr>
          <w:rFonts w:ascii="PT Astra Serif" w:hAnsi="PT Astra Serif"/>
          <w:b/>
          <w:sz w:val="24"/>
          <w:szCs w:val="24"/>
        </w:rPr>
      </w:r>
      <w:r>
        <w:rPr>
          <w:rFonts w:ascii="PT Astra Serif" w:hAnsi="PT Astra Serif"/>
          <w:b/>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t xml:space="preserve">С учетом уровня инфляции (107,9%) темп роста пенсий в реальном выражении составил 100%. Величина прожиточного минимума на 2023 год установлена в размере  14 466 рублей.</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t xml:space="preserve">Таким образом, по основным источникам денежных доходов населения в 2023 году наблюдалась положительная динамика. Объем денежных доходов на душу населения в номинальном выражении за год увеличился, по предварительной оценке Росстата</w:t>
      </w:r>
      <w:r>
        <w:rPr>
          <w:rFonts w:ascii="PT Astra Serif" w:hAnsi="PT Astra Serif"/>
          <w:sz w:val="24"/>
          <w:szCs w:val="24"/>
        </w:rPr>
        <w:t xml:space="preserve">,</w:t>
      </w:r>
      <w:r>
        <w:rPr>
          <w:rFonts w:ascii="PT Astra Serif" w:hAnsi="PT Astra Serif"/>
          <w:sz w:val="24"/>
          <w:szCs w:val="24"/>
        </w:rPr>
        <w:t xml:space="preserve"> на 12,4% в сравнении с 2022 годом. По предварительной оценке Росстата</w:t>
      </w:r>
      <w:r>
        <w:rPr>
          <w:rFonts w:ascii="PT Astra Serif" w:hAnsi="PT Astra Serif"/>
          <w:sz w:val="24"/>
          <w:szCs w:val="24"/>
        </w:rPr>
        <w:t xml:space="preserve">,</w:t>
      </w:r>
      <w:r>
        <w:rPr>
          <w:rFonts w:ascii="PT Astra Serif" w:hAnsi="PT Astra Serif"/>
          <w:sz w:val="24"/>
          <w:szCs w:val="24"/>
        </w:rPr>
        <w:t xml:space="preserve"> реальные денежные доходы на душу населения составили 106,2%</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r>
      <w:r>
        <w:rPr>
          <w:rFonts w:ascii="PT Astra Serif" w:hAnsi="PT Astra Serif"/>
          <w:sz w:val="24"/>
          <w:szCs w:val="24"/>
        </w:rPr>
      </w:r>
    </w:p>
    <w:p>
      <w:pPr>
        <w:spacing w:after="0" w:line="240" w:lineRule="auto"/>
        <w:rPr>
          <w:rFonts w:ascii="PT Astra Serif" w:hAnsi="PT Astra Serif"/>
          <w:sz w:val="24"/>
          <w:szCs w:val="24"/>
        </w:rPr>
      </w:pPr>
      <w:r>
        <w:rPr>
          <w:rFonts w:ascii="PT Astra Serif" w:hAnsi="PT Astra Serif"/>
          <w:sz w:val="24"/>
          <w:szCs w:val="24"/>
        </w:rPr>
        <w:br w:type="page" w:clear="all"/>
      </w:r>
      <w:r>
        <w:rPr>
          <w:rFonts w:ascii="PT Astra Serif" w:hAnsi="PT Astra Serif"/>
          <w:sz w:val="24"/>
          <w:szCs w:val="24"/>
        </w:rPr>
      </w:r>
      <w:r>
        <w:rPr>
          <w:rFonts w:ascii="PT Astra Serif" w:hAnsi="PT Astra Serif"/>
          <w:sz w:val="24"/>
          <w:szCs w:val="24"/>
        </w:rPr>
      </w:r>
    </w:p>
    <w:p>
      <w:pPr>
        <w:pStyle w:val="1132"/>
        <w:rPr>
          <w:rFonts w:eastAsia="Times New Roman"/>
          <w:caps/>
        </w:rPr>
        <w:outlineLvl w:val="0"/>
      </w:pPr>
      <w:r/>
      <w:bookmarkStart w:id="4" w:name="_Toc134630394"/>
      <w:r/>
      <w:bookmarkStart w:id="5" w:name="_Toc134630396"/>
      <w:r>
        <w:t xml:space="preserve">РАЗДЕЛ </w:t>
      </w:r>
      <w:hyperlink r:id="rId37" w:tooltip="consultantplus://offline/ref=556F33B6F03A1F9FB0AD35A5ED64A320B53B1CEF8C01C9A7D81EBCE6AD897785C15F825301A8322F4ACFF7O4P3M" w:history="1">
        <w:r>
          <w:rPr>
            <w:rFonts w:eastAsia="Times New Roman"/>
            <w:caps/>
          </w:rPr>
          <w:t xml:space="preserve">I</w:t>
        </w:r>
      </w:hyperlink>
      <w:r>
        <w:rPr>
          <w:rFonts w:eastAsia="Times New Roman"/>
          <w:caps/>
        </w:rPr>
        <w:t xml:space="preserve"> Реализация модели интенсивного развития, создание условий для инвестиций, развитие предпринимательства</w:t>
      </w:r>
      <w:bookmarkEnd w:id="4"/>
      <w:r>
        <w:rPr>
          <w:rFonts w:eastAsia="Times New Roman"/>
          <w:caps/>
        </w:rPr>
      </w:r>
      <w:r>
        <w:rPr>
          <w:rFonts w:eastAsia="Times New Roman"/>
          <w:caps/>
        </w:rPr>
      </w:r>
    </w:p>
    <w:p>
      <w:pPr>
        <w:jc w:val="both"/>
        <w:spacing w:after="0" w:line="240" w:lineRule="auto"/>
        <w:tabs>
          <w:tab w:val="left" w:pos="4962" w:leader="none"/>
        </w:tabs>
        <w:rPr>
          <w:rFonts w:ascii="PT Astra Serif" w:hAnsi="PT Astra Serif" w:eastAsia="Times New Roman"/>
          <w:b/>
          <w:caps/>
          <w:sz w:val="24"/>
          <w:szCs w:val="24"/>
        </w:rPr>
      </w:pPr>
      <w:r>
        <w:rPr>
          <w:rFonts w:ascii="PT Astra Serif" w:hAnsi="PT Astra Serif" w:eastAsia="Times New Roman"/>
          <w:b/>
          <w:caps/>
          <w:sz w:val="24"/>
          <w:szCs w:val="24"/>
        </w:rPr>
      </w:r>
      <w:r>
        <w:rPr>
          <w:rFonts w:ascii="PT Astra Serif" w:hAnsi="PT Astra Serif" w:eastAsia="Times New Roman"/>
          <w:b/>
          <w:caps/>
          <w:sz w:val="24"/>
          <w:szCs w:val="24"/>
        </w:rPr>
      </w:r>
      <w:r>
        <w:rPr>
          <w:rFonts w:ascii="PT Astra Serif" w:hAnsi="PT Astra Serif" w:eastAsia="Times New Roman"/>
          <w:b/>
          <w:caps/>
          <w:sz w:val="24"/>
          <w:szCs w:val="24"/>
        </w:rPr>
      </w:r>
    </w:p>
    <w:p>
      <w:pPr>
        <w:pStyle w:val="1146"/>
        <w:outlineLvl w:val="1"/>
      </w:pPr>
      <w:r/>
      <w:bookmarkStart w:id="6" w:name="_Toc134630395"/>
      <w:r>
        <w:t xml:space="preserve">1.1. Обеспечение развития промышленности</w:t>
      </w:r>
      <w:bookmarkEnd w:id="6"/>
      <w:r/>
      <w:r/>
    </w:p>
    <w:p>
      <w:pPr>
        <w:jc w:val="both"/>
        <w:spacing w:after="0" w:line="240" w:lineRule="auto"/>
        <w:tabs>
          <w:tab w:val="left" w:pos="4962" w:leader="none"/>
        </w:tabs>
        <w:rPr>
          <w:rFonts w:ascii="PT Astra Serif" w:hAnsi="PT Astra Serif" w:eastAsia="Times New Roman"/>
          <w:b/>
          <w:sz w:val="24"/>
          <w:szCs w:val="24"/>
        </w:rPr>
      </w:pPr>
      <w:r>
        <w:rPr>
          <w:rFonts w:ascii="PT Astra Serif" w:hAnsi="PT Astra Serif" w:eastAsia="Times New Roman"/>
          <w:b/>
          <w:sz w:val="24"/>
          <w:szCs w:val="24"/>
        </w:rPr>
      </w:r>
      <w:r>
        <w:rPr>
          <w:rFonts w:ascii="PT Astra Serif" w:hAnsi="PT Astra Serif" w:eastAsia="Times New Roman"/>
          <w:b/>
          <w:sz w:val="24"/>
          <w:szCs w:val="24"/>
        </w:rPr>
      </w:r>
      <w:r>
        <w:rPr>
          <w:rFonts w:ascii="PT Astra Serif" w:hAnsi="PT Astra Serif" w:eastAsia="Times New Roman"/>
          <w:b/>
          <w:sz w:val="24"/>
          <w:szCs w:val="24"/>
        </w:rPr>
      </w:r>
    </w:p>
    <w:p>
      <w:pPr>
        <w:jc w:val="both"/>
        <w:spacing w:after="0" w:line="240" w:lineRule="auto"/>
        <w:shd w:val="clear" w:color="auto" w:fill="eaf1dd" w:themeFill="accent3" w:themeFillTint="33"/>
        <w:tabs>
          <w:tab w:val="left" w:pos="4962" w:leader="none"/>
        </w:tabs>
        <w:rPr>
          <w:rFonts w:ascii="PT Astra Serif" w:hAnsi="PT Astra Serif" w:eastAsia="Times New Roman"/>
          <w:b/>
          <w:sz w:val="24"/>
          <w:szCs w:val="24"/>
        </w:rPr>
      </w:pPr>
      <w:r>
        <w:rPr>
          <w:rFonts w:ascii="PT Astra Serif" w:hAnsi="PT Astra Serif" w:eastAsia="Times New Roman"/>
          <w:b/>
          <w:sz w:val="24"/>
          <w:szCs w:val="24"/>
          <w:shd w:val="clear" w:color="auto" w:fill="eaf1dd" w:themeFill="accent3" w:themeFillTint="33"/>
        </w:rPr>
        <w:t xml:space="preserve">Промышленное производство</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Основу </w:t>
      </w:r>
      <w:r>
        <w:rPr>
          <w:rFonts w:ascii="PT Astra Serif" w:hAnsi="PT Astra Serif" w:eastAsia="Times New Roman"/>
          <w:b/>
          <w:sz w:val="24"/>
          <w:szCs w:val="24"/>
        </w:rPr>
        <w:t xml:space="preserve">экономики </w:t>
      </w:r>
      <w:r>
        <w:rPr>
          <w:rFonts w:ascii="PT Astra Serif" w:hAnsi="PT Astra Serif" w:eastAsia="Times New Roman"/>
          <w:sz w:val="24"/>
          <w:szCs w:val="24"/>
        </w:rPr>
        <w:t xml:space="preserve">Томской области составляет промышленное производство, которое занимает 37,5% в ВРП (</w:t>
      </w:r>
      <w:r>
        <w:rPr>
          <w:rFonts w:ascii="PT Astra Serif" w:hAnsi="PT Astra Serif" w:eastAsia="Times New Roman"/>
          <w:i/>
          <w:sz w:val="24"/>
          <w:szCs w:val="24"/>
        </w:rPr>
        <w:t xml:space="preserve">по данным за 2022 год</w:t>
      </w:r>
      <w:r>
        <w:rPr>
          <w:rFonts w:ascii="PT Astra Serif" w:hAnsi="PT Astra Serif" w:eastAsia="Times New Roman"/>
          <w:sz w:val="24"/>
          <w:szCs w:val="24"/>
        </w:rPr>
        <w:t xml:space="preserve">), в том числе сектор добычи полезных ископаемых – 24,9%, обрабатывающие производства – 10%.</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Основа </w:t>
      </w:r>
      <w:r>
        <w:rPr>
          <w:rFonts w:ascii="PT Astra Serif" w:hAnsi="PT Astra Serif" w:eastAsia="Times New Roman"/>
          <w:b/>
          <w:sz w:val="24"/>
          <w:szCs w:val="24"/>
        </w:rPr>
        <w:t xml:space="preserve">промышленности</w:t>
      </w:r>
      <w:r>
        <w:rPr>
          <w:rFonts w:ascii="PT Astra Serif" w:hAnsi="PT Astra Serif" w:eastAsia="Times New Roman"/>
          <w:sz w:val="24"/>
          <w:szCs w:val="24"/>
        </w:rPr>
        <w:t xml:space="preserve"> Томской области – добыча полезных ископаемых и обрабатывающие производства, их доля по итогам 2023 года – 91% в общем объеме отгруженных промышленных товаров и услуг (в том числе 51,6% </w:t>
      </w:r>
      <w:r>
        <w:rPr>
          <w:rFonts w:ascii="PT Astra Serif" w:hAnsi="PT Astra Serif"/>
          <w:sz w:val="24"/>
          <w:szCs w:val="24"/>
        </w:rPr>
        <w:t xml:space="preserve">–</w:t>
      </w:r>
      <w:r>
        <w:rPr>
          <w:rFonts w:ascii="PT Astra Serif" w:hAnsi="PT Astra Serif" w:eastAsia="Times New Roman"/>
          <w:sz w:val="24"/>
          <w:szCs w:val="24"/>
        </w:rPr>
        <w:t xml:space="preserve"> обрабатывающая промышленность, 39,4% </w:t>
      </w:r>
      <w:r>
        <w:rPr>
          <w:rFonts w:ascii="PT Astra Serif" w:hAnsi="PT Astra Serif"/>
          <w:sz w:val="24"/>
          <w:szCs w:val="24"/>
        </w:rPr>
        <w:t xml:space="preserve">–</w:t>
      </w:r>
      <w:r>
        <w:rPr>
          <w:rFonts w:ascii="PT Astra Serif" w:hAnsi="PT Astra Serif" w:eastAsia="Times New Roman"/>
          <w:sz w:val="24"/>
          <w:szCs w:val="24"/>
        </w:rPr>
        <w:t xml:space="preserve"> добыча).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По итогам 2023 года зафиксирован рост индекса промышленного производства (ИПП) - 102% за счет обрабатывающих производств (ИПП – 106,7%)</w:t>
      </w:r>
      <w:r>
        <w:rPr>
          <w:rFonts w:ascii="PT Astra Serif" w:hAnsi="PT Astra Serif" w:eastAsia="Times New Roman"/>
          <w:sz w:val="24"/>
          <w:szCs w:val="24"/>
        </w:rPr>
        <w:t xml:space="preserve">,</w:t>
      </w:r>
      <w:r>
        <w:rPr>
          <w:rFonts w:ascii="PT Astra Serif" w:hAnsi="PT Astra Serif" w:eastAsia="Times New Roman"/>
          <w:sz w:val="24"/>
          <w:szCs w:val="24"/>
        </w:rPr>
        <w:t xml:space="preserve"> благодаря росту пищевой промышленности (105,8%), производства напитков (102,9%), электроники </w:t>
      </w:r>
      <w:r>
        <w:rPr>
          <w:rFonts w:ascii="PT Astra Serif" w:hAnsi="PT Astra Serif" w:eastAsia="Times New Roman"/>
          <w:sz w:val="24"/>
          <w:szCs w:val="24"/>
        </w:rPr>
        <w:t xml:space="preserve">(125,2%), машиностроения (в том числе</w:t>
      </w:r>
      <w:r>
        <w:rPr>
          <w:rFonts w:ascii="PT Astra Serif" w:hAnsi="PT Astra Serif" w:eastAsia="Times New Roman"/>
          <w:sz w:val="24"/>
          <w:szCs w:val="24"/>
        </w:rPr>
        <w:t xml:space="preserve"> электрооборудование – 108,5%) и нефтехимии (нефтепродукты – 109,9%, химия – 105,2%).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Замедление темпов развития промышленности наблюдалось по следующим показателям:</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b/>
          <w:i/>
          <w:sz w:val="24"/>
          <w:szCs w:val="24"/>
        </w:rPr>
      </w:pPr>
      <w:r>
        <w:rPr>
          <w:rFonts w:ascii="PT Astra Serif" w:hAnsi="PT Astra Serif"/>
          <w:sz w:val="24"/>
          <w:szCs w:val="24"/>
        </w:rPr>
        <w:t xml:space="preserve">–</w:t>
      </w:r>
      <w:r>
        <w:rPr>
          <w:rFonts w:ascii="PT Astra Serif" w:hAnsi="PT Astra Serif" w:eastAsia="Times New Roman"/>
          <w:sz w:val="24"/>
          <w:szCs w:val="24"/>
        </w:rPr>
        <w:t xml:space="preserve"> добыча полезных ископаемых (ИПП – 97,6%) из-за сокращения добычи нефти вследствие высокой степени выработанности запасов из традиционных залежей, а также из-за  добровольного снижения добычи нефти (на уровне РФ);</w:t>
      </w:r>
      <w:r>
        <w:rPr>
          <w:rFonts w:ascii="PT Astra Serif" w:hAnsi="PT Astra Serif" w:eastAsia="Times New Roman"/>
          <w:b/>
          <w:i/>
          <w:sz w:val="24"/>
          <w:szCs w:val="24"/>
        </w:rPr>
      </w:r>
      <w:r>
        <w:rPr>
          <w:rFonts w:ascii="PT Astra Serif" w:hAnsi="PT Astra Serif" w:eastAsia="Times New Roman"/>
          <w:b/>
          <w:i/>
          <w:sz w:val="24"/>
          <w:szCs w:val="24"/>
        </w:rPr>
      </w:r>
    </w:p>
    <w:p>
      <w:pPr>
        <w:ind w:firstLine="709"/>
        <w:jc w:val="both"/>
        <w:spacing w:after="0" w:line="240" w:lineRule="auto"/>
        <w:rPr>
          <w:rFonts w:ascii="PT Astra Serif" w:hAnsi="PT Astra Serif" w:eastAsia="Times New Roman"/>
          <w:b/>
          <w:sz w:val="24"/>
          <w:szCs w:val="24"/>
        </w:rPr>
      </w:pPr>
      <w:r>
        <w:rPr>
          <w:rFonts w:ascii="PT Astra Serif" w:hAnsi="PT Astra Serif"/>
          <w:sz w:val="24"/>
          <w:szCs w:val="24"/>
        </w:rPr>
        <w:t xml:space="preserve">–</w:t>
      </w:r>
      <w:r>
        <w:rPr>
          <w:rFonts w:ascii="PT Astra Serif" w:hAnsi="PT Astra Serif" w:eastAsia="Times New Roman"/>
          <w:sz w:val="24"/>
          <w:szCs w:val="24"/>
        </w:rPr>
        <w:t xml:space="preserve"> сферы обеспечения электрической энергией, газом и паром (ИПП – 99,6%) за счет снижения объемов производства, передачи и распределения пара и горячей воды на 4,3%;</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tabs>
          <w:tab w:val="left" w:pos="1418" w:leader="none"/>
          <w:tab w:val="left" w:pos="4253" w:leader="none"/>
        </w:tabs>
        <w:rPr>
          <w:rFonts w:ascii="PT Astra Serif" w:hAnsi="PT Astra Serif" w:eastAsia="Times New Roman"/>
          <w:sz w:val="24"/>
          <w:szCs w:val="24"/>
        </w:rPr>
      </w:pPr>
      <w:r>
        <w:rPr>
          <w:rFonts w:ascii="PT Astra Serif" w:hAnsi="PT Astra Serif"/>
          <w:sz w:val="24"/>
          <w:szCs w:val="24"/>
        </w:rPr>
        <w:t xml:space="preserve">–</w:t>
      </w:r>
      <w:r>
        <w:rPr>
          <w:rFonts w:ascii="PT Astra Serif" w:hAnsi="PT Astra Serif" w:eastAsia="Times New Roman"/>
          <w:sz w:val="24"/>
          <w:szCs w:val="24"/>
        </w:rPr>
        <w:t xml:space="preserve"> водоснабжени</w:t>
      </w:r>
      <w:r>
        <w:rPr>
          <w:rFonts w:ascii="PT Astra Serif" w:hAnsi="PT Astra Serif" w:eastAsia="Times New Roman"/>
          <w:sz w:val="24"/>
          <w:szCs w:val="24"/>
        </w:rPr>
        <w:t xml:space="preserve">е</w:t>
      </w:r>
      <w:r>
        <w:rPr>
          <w:rFonts w:ascii="PT Astra Serif" w:hAnsi="PT Astra Serif" w:eastAsia="Times New Roman"/>
          <w:sz w:val="24"/>
          <w:szCs w:val="24"/>
        </w:rPr>
        <w:t xml:space="preserve">, водоотведени</w:t>
      </w:r>
      <w:r>
        <w:rPr>
          <w:rFonts w:ascii="PT Astra Serif" w:hAnsi="PT Astra Serif" w:eastAsia="Times New Roman"/>
          <w:sz w:val="24"/>
          <w:szCs w:val="24"/>
        </w:rPr>
        <w:t xml:space="preserve">е</w:t>
      </w:r>
      <w:r>
        <w:rPr>
          <w:rFonts w:ascii="PT Astra Serif" w:hAnsi="PT Astra Serif" w:eastAsia="Times New Roman"/>
          <w:sz w:val="24"/>
          <w:szCs w:val="24"/>
        </w:rPr>
        <w:t xml:space="preserve">, организаци</w:t>
      </w:r>
      <w:r>
        <w:rPr>
          <w:rFonts w:ascii="PT Astra Serif" w:hAnsi="PT Astra Serif" w:eastAsia="Times New Roman"/>
          <w:sz w:val="24"/>
          <w:szCs w:val="24"/>
        </w:rPr>
        <w:t xml:space="preserve">я</w:t>
      </w:r>
      <w:r>
        <w:rPr>
          <w:rFonts w:ascii="PT Astra Serif" w:hAnsi="PT Astra Serif" w:eastAsia="Times New Roman"/>
          <w:sz w:val="24"/>
          <w:szCs w:val="24"/>
        </w:rPr>
        <w:t xml:space="preserve"> сбора и утилизации отходов (ИПП – 87,2%) за счет снижения объемов по сбору, обработке и утилизации отходов, сбору и обработке сточных вод, по забору, очистке и распределению воды.</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Переход на современные технологии и модернизация производственной деятельности, которые осуществлялись в обрабатывающей промышленности Томской области в последние годы, обусловили ее опережающее развитие.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За последние 5 лет структура промышленности изменилась следующим образом.</w:t>
      </w:r>
      <w:r>
        <w:rPr>
          <w:rFonts w:ascii="PT Astra Serif" w:hAnsi="PT Astra Serif"/>
          <w:sz w:val="24"/>
          <w:szCs w:val="24"/>
        </w:rPr>
        <w:t xml:space="preserve">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rPr>
          <w:rFonts w:ascii="PT Astra Serif" w:hAnsi="PT Astra Serif"/>
          <w:sz w:val="24"/>
          <w:szCs w:val="24"/>
        </w:rPr>
      </w:pPr>
      <w:r>
        <w:rPr>
          <w:rFonts w:ascii="PT Astra Serif" w:hAnsi="PT Astra Serif"/>
          <w:sz w:val="24"/>
          <w:szCs w:val="24"/>
          <w:lang w:eastAsia="ru-RU"/>
        </w:rPr>
        <w:drawing>
          <wp:inline distT="0" distB="0" distL="0" distR="0">
            <wp:extent cx="6082748" cy="2441051"/>
            <wp:effectExtent l="0" t="0" r="0" b="0"/>
            <wp:docPr id="43"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r>
        <w:rPr>
          <w:rFonts w:ascii="PT Astra Serif" w:hAnsi="PT Astra Serif"/>
          <w:sz w:val="24"/>
          <w:szCs w:val="24"/>
        </w:rPr>
      </w:r>
      <w:r>
        <w:rPr>
          <w:rFonts w:ascii="PT Astra Serif" w:hAnsi="PT Astra Serif"/>
          <w:sz w:val="24"/>
          <w:szCs w:val="24"/>
        </w:rPr>
      </w:r>
    </w:p>
    <w:p>
      <w:pPr>
        <w:ind w:firstLine="708"/>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center"/>
        <w:spacing w:after="0" w:line="240" w:lineRule="auto"/>
        <w:tabs>
          <w:tab w:val="left" w:pos="4962" w:leader="none"/>
        </w:tabs>
        <w:rPr>
          <w:rFonts w:ascii="PT Astra Serif" w:hAnsi="PT Astra Serif" w:cstheme="minorBidi"/>
          <w:sz w:val="24"/>
          <w:szCs w:val="24"/>
        </w:rPr>
      </w:pPr>
      <w:r>
        <w:rPr>
          <w:rFonts w:ascii="PT Astra Serif" w:hAnsi="PT Astra Serif" w:cstheme="minorBidi"/>
          <w:sz w:val="24"/>
          <w:szCs w:val="24"/>
        </w:rPr>
        <w:t xml:space="preserve">Рисунок </w:t>
      </w:r>
      <w:r>
        <w:rPr>
          <w:rFonts w:ascii="PT Astra Serif" w:hAnsi="PT Astra Serif" w:cstheme="minorBidi"/>
          <w:sz w:val="24"/>
          <w:szCs w:val="24"/>
        </w:rPr>
        <w:t xml:space="preserve">7</w:t>
      </w:r>
      <w:r>
        <w:rPr>
          <w:rFonts w:ascii="PT Astra Serif" w:hAnsi="PT Astra Serif"/>
          <w:sz w:val="24"/>
          <w:szCs w:val="24"/>
        </w:rPr>
        <w:t xml:space="preserve"> – </w:t>
      </w:r>
      <w:r>
        <w:rPr>
          <w:rFonts w:ascii="PT Astra Serif" w:hAnsi="PT Astra Serif" w:cstheme="minorBidi"/>
          <w:sz w:val="24"/>
          <w:szCs w:val="24"/>
        </w:rPr>
        <w:t xml:space="preserve">Структура промышленности Томской области, %</w:t>
      </w:r>
      <w:r>
        <w:rPr>
          <w:rFonts w:ascii="PT Astra Serif" w:hAnsi="PT Astra Serif" w:cstheme="minorBidi"/>
          <w:sz w:val="24"/>
          <w:szCs w:val="24"/>
        </w:rPr>
      </w:r>
      <w:r>
        <w:rPr>
          <w:rFonts w:ascii="PT Astra Serif" w:hAnsi="PT Astra Serif" w:cstheme="minorBidi"/>
          <w:sz w:val="24"/>
          <w:szCs w:val="24"/>
        </w:rPr>
      </w:r>
    </w:p>
    <w:p>
      <w:pPr>
        <w:jc w:val="center"/>
        <w:spacing w:after="0" w:line="240" w:lineRule="auto"/>
        <w:tabs>
          <w:tab w:val="left" w:pos="4962"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567"/>
        <w:jc w:val="both"/>
        <w:spacing w:after="0" w:line="240" w:lineRule="auto"/>
        <w:tabs>
          <w:tab w:val="left" w:pos="993"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567"/>
        <w:jc w:val="both"/>
        <w:spacing w:after="0" w:line="240" w:lineRule="auto"/>
        <w:tabs>
          <w:tab w:val="left" w:pos="993"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shd w:val="clear" w:color="auto" w:fill="eaf1dd" w:themeFill="accent3" w:themeFillTint="33"/>
        <w:tabs>
          <w:tab w:val="left" w:pos="4962" w:leader="none"/>
        </w:tabs>
        <w:rPr>
          <w:rFonts w:ascii="PT Astra Serif" w:hAnsi="PT Astra Serif"/>
          <w:b/>
          <w:bCs/>
          <w:sz w:val="24"/>
          <w:szCs w:val="24"/>
        </w:rPr>
      </w:pPr>
      <w:r>
        <w:rPr>
          <w:rFonts w:ascii="PT Astra Serif" w:hAnsi="PT Astra Serif"/>
          <w:b/>
          <w:bCs/>
          <w:sz w:val="24"/>
          <w:szCs w:val="24"/>
          <w:shd w:val="clear" w:color="auto" w:fill="eaf1dd" w:themeFill="accent3" w:themeFillTint="33"/>
        </w:rPr>
        <w:t xml:space="preserve">Технологическое развитие промышленного производства</w:t>
      </w:r>
      <w:r>
        <w:rPr>
          <w:rFonts w:ascii="PT Astra Serif" w:hAnsi="PT Astra Serif"/>
          <w:b/>
          <w:bCs/>
          <w:sz w:val="24"/>
          <w:szCs w:val="24"/>
        </w:rPr>
      </w:r>
      <w:r>
        <w:rPr>
          <w:rFonts w:ascii="PT Astra Serif" w:hAnsi="PT Astra Serif"/>
          <w:b/>
          <w:bCs/>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Ключевыми задачами региона являются создание исследовательских и технологических заделов для развития новых специализаций экономики региона на основе масштабирования технологической повестки действующих кластеров, </w:t>
      </w:r>
      <w:r>
        <w:rPr>
          <w:rFonts w:ascii="PT Astra Serif" w:hAnsi="PT Astra Serif"/>
          <w:sz w:val="24"/>
          <w:szCs w:val="24"/>
        </w:rPr>
        <w:t xml:space="preserve">применения механизмов федеральной научной, технологической и промышленной политики, создания технологической инфраструктуры для развития «глубоких технологий» и цифровых решений, а также переход на гибкие форматы кадрового обеспечения новых специализаций.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Совместно с Минпромторгом России в 2023 году велась работа по созданию промышленных кластеров по направлениям «Цветные и редкоземельные металлы», «Лес, лесопереработка и лесохимия», химическ</w:t>
      </w:r>
      <w:r>
        <w:rPr>
          <w:rFonts w:ascii="PT Astra Serif" w:hAnsi="PT Astra Serif"/>
          <w:sz w:val="24"/>
          <w:szCs w:val="24"/>
        </w:rPr>
        <w:t xml:space="preserve">ого</w:t>
      </w:r>
      <w:r>
        <w:rPr>
          <w:rFonts w:ascii="PT Astra Serif" w:hAnsi="PT Astra Serif"/>
          <w:sz w:val="24"/>
          <w:szCs w:val="24"/>
        </w:rPr>
        <w:t xml:space="preserve"> кластер</w:t>
      </w:r>
      <w:r>
        <w:rPr>
          <w:rFonts w:ascii="PT Astra Serif" w:hAnsi="PT Astra Serif"/>
          <w:sz w:val="24"/>
          <w:szCs w:val="24"/>
        </w:rPr>
        <w:t xml:space="preserve">а</w:t>
      </w:r>
      <w:r>
        <w:rPr>
          <w:rFonts w:ascii="PT Astra Serif" w:hAnsi="PT Astra Serif"/>
          <w:sz w:val="24"/>
          <w:szCs w:val="24"/>
        </w:rPr>
        <w:t xml:space="preserve"> федерального значения. Прорабатывается создание в Томской области еще 3 кластеров, имеющих большой потенциал: микроэлектроники, радиохимический и фармацевтический кластеры.</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С целью укрепления технологического суверенитета реализуется ряд крупных научно-технологических проектов по следующим стратегическим направлениям:</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bCs/>
          <w:sz w:val="24"/>
          <w:szCs w:val="24"/>
        </w:rPr>
      </w:pPr>
      <w:r>
        <w:rPr>
          <w:rFonts w:ascii="PT Astra Serif" w:hAnsi="PT Astra Serif"/>
          <w:sz w:val="24"/>
          <w:szCs w:val="24"/>
        </w:rPr>
        <w:t xml:space="preserve">–</w:t>
      </w:r>
      <w:r>
        <w:rPr>
          <w:rFonts w:ascii="PT Astra Serif" w:hAnsi="PT Astra Serif"/>
          <w:bCs/>
          <w:sz w:val="24"/>
          <w:szCs w:val="24"/>
        </w:rPr>
        <w:t xml:space="preserve"> в рамках уникального </w:t>
      </w:r>
      <w:r>
        <w:rPr>
          <w:rFonts w:ascii="PT Astra Serif" w:hAnsi="PT Astra Serif"/>
          <w:bCs/>
          <w:sz w:val="24"/>
          <w:szCs w:val="24"/>
        </w:rPr>
        <w:t xml:space="preserve">атомного </w:t>
      </w:r>
      <w:r>
        <w:rPr>
          <w:rFonts w:ascii="PT Astra Serif" w:hAnsi="PT Astra Serif"/>
          <w:bCs/>
          <w:sz w:val="24"/>
          <w:szCs w:val="24"/>
        </w:rPr>
        <w:t xml:space="preserve">проекта «Прорыв» (госкорпорация «Росатом») в ЗАТО Северск ведется строительство атомного реактора замкнутого топливного цикла «БРЕСТ-ОД-300», единственного подобного объекта в мире, который определит будущее атомной энергетики на десятки лет впер</w:t>
      </w:r>
      <w:r>
        <w:rPr>
          <w:rFonts w:ascii="PT Astra Serif" w:hAnsi="PT Astra Serif"/>
          <w:bCs/>
          <w:sz w:val="24"/>
          <w:szCs w:val="24"/>
        </w:rPr>
        <w:t xml:space="preserve">е</w:t>
      </w:r>
      <w:r>
        <w:rPr>
          <w:rFonts w:ascii="PT Astra Serif" w:hAnsi="PT Astra Serif"/>
          <w:bCs/>
          <w:sz w:val="24"/>
          <w:szCs w:val="24"/>
        </w:rPr>
        <w:t xml:space="preserve">д.</w:t>
      </w:r>
      <w:r>
        <w:rPr>
          <w:rFonts w:ascii="PT Astra Serif" w:hAnsi="PT Astra Serif"/>
          <w:sz w:val="24"/>
          <w:szCs w:val="24"/>
        </w:rPr>
        <w:t xml:space="preserve"> Завершается создание модуля фабрикации и рефабрикации, параллельно идет строительство самого реактора;</w:t>
      </w:r>
      <w:r>
        <w:rPr>
          <w:rFonts w:ascii="PT Astra Serif" w:hAnsi="PT Astra Serif"/>
          <w:bCs/>
          <w:sz w:val="24"/>
          <w:szCs w:val="24"/>
        </w:rPr>
      </w:r>
      <w:r>
        <w:rPr>
          <w:rFonts w:ascii="PT Astra Serif" w:hAnsi="PT Astra Serif"/>
          <w:bCs/>
          <w:sz w:val="24"/>
          <w:szCs w:val="24"/>
        </w:rPr>
      </w:r>
    </w:p>
    <w:p>
      <w:pPr>
        <w:ind w:firstLine="709"/>
        <w:jc w:val="both"/>
        <w:spacing w:after="0" w:line="240" w:lineRule="auto"/>
        <w:rPr>
          <w:rFonts w:ascii="PT Astra Serif" w:hAnsi="PT Astra Serif"/>
          <w:bCs/>
          <w:sz w:val="24"/>
          <w:szCs w:val="24"/>
        </w:rPr>
      </w:pPr>
      <w:r>
        <w:rPr>
          <w:rFonts w:ascii="PT Astra Serif" w:hAnsi="PT Astra Serif"/>
          <w:sz w:val="24"/>
          <w:szCs w:val="24"/>
        </w:rPr>
        <w:t xml:space="preserve">–</w:t>
      </w:r>
      <w:r>
        <w:rPr>
          <w:rFonts w:ascii="PT Astra Serif" w:hAnsi="PT Astra Serif"/>
          <w:bCs/>
          <w:sz w:val="24"/>
          <w:szCs w:val="24"/>
        </w:rPr>
        <w:t xml:space="preserve"> проект «Палеозой» («Газпром нефть» совместно с Томским политехническим университетом) </w:t>
      </w:r>
      <w:r>
        <w:rPr>
          <w:rFonts w:ascii="PT Astra Serif" w:hAnsi="PT Astra Serif"/>
          <w:sz w:val="24"/>
          <w:szCs w:val="24"/>
        </w:rPr>
        <w:t xml:space="preserve">– </w:t>
      </w:r>
      <w:r>
        <w:rPr>
          <w:rFonts w:ascii="PT Astra Serif" w:hAnsi="PT Astra Serif"/>
          <w:bCs/>
          <w:sz w:val="24"/>
          <w:szCs w:val="24"/>
        </w:rPr>
        <w:t xml:space="preserve">для увеличения объемов добычи углеводородного сырья в регионе разрабатываются экономически эффективные технологии разведки и добычи трудноизвлекаемых углеводородов;</w:t>
      </w:r>
      <w:r>
        <w:rPr>
          <w:rFonts w:ascii="PT Astra Serif" w:hAnsi="PT Astra Serif"/>
          <w:bCs/>
          <w:sz w:val="24"/>
          <w:szCs w:val="24"/>
        </w:rPr>
      </w:r>
      <w:r>
        <w:rPr>
          <w:rFonts w:ascii="PT Astra Serif" w:hAnsi="PT Astra Serif"/>
          <w:bCs/>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проект по производству пигментного ди</w:t>
      </w:r>
      <w:r>
        <w:rPr>
          <w:rFonts w:ascii="PT Astra Serif" w:hAnsi="PT Astra Serif"/>
          <w:sz w:val="24"/>
          <w:szCs w:val="24"/>
        </w:rPr>
        <w:t xml:space="preserve">оксида титана (ООО «Сибирский титан») даст дополнительный импульс для развития нефтехимического комплекса Томской области, в рамках которого создается новый импортозамещающий продукт. Разработана технология производства TiO2, создана опытно-промышленная ус</w:t>
      </w:r>
      <w:r>
        <w:rPr>
          <w:rFonts w:ascii="PT Astra Serif" w:hAnsi="PT Astra Serif"/>
          <w:sz w:val="24"/>
          <w:szCs w:val="24"/>
        </w:rPr>
        <w:t xml:space="preserve">тановка, ведется проектирование промышленного производства, получено разрешение на строительство, получено положительное решение федерального Фонда развития промышленности о выделении льготного займа. В дальнейшем ООО «Сибирский титан» войдет в кластер «Цв</w:t>
      </w:r>
      <w:r>
        <w:rPr>
          <w:rFonts w:ascii="PT Astra Serif" w:hAnsi="PT Astra Serif"/>
          <w:sz w:val="24"/>
          <w:szCs w:val="24"/>
        </w:rPr>
        <w:t xml:space="preserve">етные и редкоземельные металлы»;</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bCs/>
          <w:sz w:val="24"/>
          <w:szCs w:val="24"/>
        </w:rPr>
      </w:pPr>
      <w:r>
        <w:rPr>
          <w:rFonts w:ascii="PT Astra Serif" w:hAnsi="PT Astra Serif"/>
          <w:sz w:val="24"/>
          <w:szCs w:val="24"/>
        </w:rPr>
        <w:t xml:space="preserve">–</w:t>
      </w:r>
      <w:r>
        <w:rPr>
          <w:rFonts w:ascii="PT Astra Serif" w:hAnsi="PT Astra Serif"/>
          <w:bCs/>
          <w:sz w:val="24"/>
          <w:szCs w:val="24"/>
        </w:rPr>
        <w:t xml:space="preserve"> создание Научно-производственного центра беспилотных авиационных систем для производства систем и модулей для беспилотников («РТ-Беспилотные авиационные системы» совместно с ТГУ);</w:t>
      </w:r>
      <w:r>
        <w:rPr>
          <w:rFonts w:ascii="PT Astra Serif" w:hAnsi="PT Astra Serif"/>
          <w:bCs/>
          <w:sz w:val="24"/>
          <w:szCs w:val="24"/>
        </w:rPr>
      </w:r>
      <w:r>
        <w:rPr>
          <w:rFonts w:ascii="PT Astra Serif" w:hAnsi="PT Astra Serif"/>
          <w:bCs/>
          <w:sz w:val="24"/>
          <w:szCs w:val="24"/>
        </w:rPr>
      </w:r>
    </w:p>
    <w:p>
      <w:pPr>
        <w:ind w:firstLine="709"/>
        <w:jc w:val="both"/>
        <w:spacing w:after="0" w:line="240" w:lineRule="auto"/>
        <w:rPr>
          <w:rFonts w:ascii="PT Astra Serif" w:hAnsi="PT Astra Serif"/>
          <w:bCs/>
          <w:sz w:val="24"/>
          <w:szCs w:val="24"/>
        </w:rPr>
      </w:pPr>
      <w:r>
        <w:rPr>
          <w:rFonts w:ascii="PT Astra Serif" w:hAnsi="PT Astra Serif"/>
          <w:sz w:val="24"/>
          <w:szCs w:val="24"/>
        </w:rPr>
        <w:t xml:space="preserve">–</w:t>
      </w:r>
      <w:r>
        <w:rPr>
          <w:rFonts w:ascii="PT Astra Serif" w:hAnsi="PT Astra Serif"/>
          <w:bCs/>
          <w:sz w:val="24"/>
          <w:szCs w:val="24"/>
        </w:rPr>
        <w:t xml:space="preserve"> проект строительства специализированного технологического центра микроэлектронных систем ТУСУРа, предварительно поддержанного Минобр</w:t>
      </w:r>
      <w:r>
        <w:rPr>
          <w:rFonts w:ascii="PT Astra Serif" w:hAnsi="PT Astra Serif"/>
          <w:bCs/>
          <w:sz w:val="24"/>
          <w:szCs w:val="24"/>
        </w:rPr>
        <w:t xml:space="preserve">науки России и Минпромторгом России, на базе которого будет создан комплекс высокотехнологичных производств, связанных с разработкой технологий, технологического и измерительного оборудования, перспективной фотонной, СВЧ-электронной компонентной базы и др.</w:t>
      </w:r>
      <w:r>
        <w:rPr>
          <w:rFonts w:ascii="PT Astra Serif" w:hAnsi="PT Astra Serif"/>
          <w:bCs/>
          <w:sz w:val="24"/>
          <w:szCs w:val="24"/>
        </w:rPr>
      </w:r>
      <w:r>
        <w:rPr>
          <w:rFonts w:ascii="PT Astra Serif" w:hAnsi="PT Astra Serif"/>
          <w:bCs/>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С привлечением федерального финансирования реализуются крупные инвестиционные проекты на предприятиях радиоэлектроники. Две томские организации IT-сектора (ООО НПК «ТАИР» и ООО «</w:t>
      </w:r>
      <w:r>
        <w:rPr>
          <w:rFonts w:ascii="PT Astra Serif" w:hAnsi="PT Astra Serif"/>
          <w:sz w:val="24"/>
          <w:szCs w:val="24"/>
        </w:rPr>
        <w:t xml:space="preserve">СИНЕКТА</w:t>
      </w:r>
      <w:r>
        <w:rPr>
          <w:rFonts w:ascii="PT Astra Serif" w:hAnsi="PT Astra Serif"/>
          <w:sz w:val="24"/>
          <w:szCs w:val="24"/>
        </w:rPr>
        <w:t xml:space="preserve">») являются участниками Южно-уральского приборостроительного кластера «ПЛАНАР» по производству радиоэлектронного измерительного оборудования. ООО «НПК ТАИР» специализируется на разработке и опытном производстве СВЧ техники, ООО «СИНЕКТА» </w:t>
      </w:r>
      <w:r>
        <w:rPr>
          <w:rFonts w:ascii="PT Astra Serif" w:hAnsi="PT Astra Serif"/>
          <w:sz w:val="24"/>
          <w:szCs w:val="24"/>
        </w:rPr>
        <w:t xml:space="preserve">–</w:t>
      </w:r>
      <w:r>
        <w:rPr>
          <w:rFonts w:ascii="PT Astra Serif" w:hAnsi="PT Astra Serif"/>
          <w:sz w:val="24"/>
          <w:szCs w:val="24"/>
        </w:rPr>
        <w:t xml:space="preserve"> на разработке</w:t>
      </w:r>
      <w:r>
        <w:rPr>
          <w:rFonts w:ascii="PT Astra Serif" w:hAnsi="PT Astra Serif"/>
          <w:sz w:val="24"/>
          <w:szCs w:val="24"/>
        </w:rPr>
        <w:t xml:space="preserve"> компьютерного программного обеспечения. Приборы производства «ПЛАНАР» применяются на предприятиях радиоэлектронной промышленности России и заменяют оборудование иностранного производства (США, Германии, Японии) без потери качества измерительных установок.</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Уникальная продукция промышленных компаний области является существенной частью промышленного экспорта в дружественные страны, формирует технологические компетенции и специализацию региона, в частности: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АО «Томский электротехнический завод» разработал электродвигатель для карьерных самосвалов БелАЗ грузоподъемностью 220 тонн, которые планируется  использовать Белорусским автозаводом с 2025 года при производстве карьерной техники</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ООО «Элком+» внедрена Программная SCADA-платформа производства на нескольких зарубежных объектах, включая аэропорт и торговые центры в Джакарте (Индонезия), производство продуктов питания в Саудовской Аравии, моллы в Дубае (ОАЭ)</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ООО НПК «ТЭТА» продолжило сотрудничество с предприятиями КНР, заключив более 5 контрактов на поставку своей уникальной продукции </w:t>
      </w:r>
      <w:r>
        <w:rPr>
          <w:rFonts w:ascii="PT Astra Serif" w:hAnsi="PT Astra Serif"/>
          <w:sz w:val="24"/>
          <w:szCs w:val="24"/>
        </w:rPr>
        <w:t xml:space="preserve">–</w:t>
      </w:r>
      <w:r>
        <w:rPr>
          <w:rFonts w:ascii="PT Astra Serif" w:hAnsi="PT Astra Serif"/>
          <w:sz w:val="24"/>
          <w:szCs w:val="24"/>
        </w:rPr>
        <w:t xml:space="preserve"> оборудования для аддитивной технологии электронно-лучевой наплавки.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Результатом проектов будет модернизация основного производства ведущих томских организаций с целью выпуска современной конкурентоспособной продукции.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томскими предприятиями ООО «Элком+», АО «Манотомь», ООО «</w:t>
      </w:r>
      <w:r>
        <w:rPr>
          <w:rFonts w:ascii="PT Astra Serif" w:hAnsi="PT Astra Serif"/>
          <w:sz w:val="24"/>
          <w:szCs w:val="24"/>
        </w:rPr>
        <w:t xml:space="preserve">ЛЭМЗ-Т», ОАО «НИИ ПП», АО «ТомЗэл», ООО «НПП «ТЭК» разработан ряд импортозамещающей продукции (электроприводы для атомной промышленности, головные образцы для включения электроприводов РэмТЭК в проекты по плавучим атомным энергоблокам с НПО «Аврора», СВЧ м</w:t>
      </w:r>
      <w:r>
        <w:rPr>
          <w:rFonts w:ascii="PT Astra Serif" w:hAnsi="PT Astra Serif"/>
          <w:sz w:val="24"/>
          <w:szCs w:val="24"/>
        </w:rPr>
        <w:t xml:space="preserve">одули для использования в аппаратуре с целью обеспечения обороны страны, стрелочный манометр, автоматизированный комплекс по мониторингу и контролю состояния здоровья человека «Смотр» для применения в области дистанционных телемедицинских технологи и др.).</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Продолжилась работа с крупными российскими компаниями по увеличению поставок томской высокотехнологичной и им</w:t>
      </w:r>
      <w:r>
        <w:rPr>
          <w:rFonts w:ascii="PT Astra Serif" w:hAnsi="PT Astra Serif"/>
          <w:sz w:val="24"/>
          <w:szCs w:val="24"/>
        </w:rPr>
        <w:t xml:space="preserve">портозамещающей продукции. В настоящее время действует восемь дорожных карт, в том числе с ПАО «Газпром», ПАО «Газпром нефть», ПАО «Интер РАО», ПАО «Россеть», ПАО «Сибур Холдинг», ПАО «Роснефть», АО «ТВЭЛ», ПАО «Концерн воздушно-космической обороны «Алмаз </w:t>
      </w:r>
      <w:r>
        <w:rPr>
          <w:rFonts w:ascii="PT Astra Serif" w:hAnsi="PT Astra Serif"/>
          <w:sz w:val="24"/>
          <w:szCs w:val="24"/>
        </w:rPr>
        <w:t xml:space="preserve">–</w:t>
      </w:r>
      <w:r>
        <w:rPr>
          <w:rFonts w:ascii="PT Astra Serif" w:hAnsi="PT Astra Serif"/>
          <w:sz w:val="24"/>
          <w:szCs w:val="24"/>
        </w:rPr>
        <w:t xml:space="preserve"> Антей».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Реализация программы импортозамещения с использованием механизма дорожных карт ведется по трем основным направлениям: НИОКР, испытания нового оборудования и содействие в продвижении продукции.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Томская импортозамещающая продукция, обеспечивая технологический суверенитет России, используется на крупных объектах федерального значения: «Сила Сибири» </w:t>
      </w:r>
      <w:r>
        <w:rPr>
          <w:rFonts w:ascii="PT Astra Serif" w:hAnsi="PT Astra Serif"/>
          <w:sz w:val="24"/>
          <w:szCs w:val="24"/>
        </w:rPr>
        <w:t xml:space="preserve">–</w:t>
      </w:r>
      <w:r>
        <w:rPr>
          <w:rFonts w:ascii="PT Astra Serif" w:hAnsi="PT Astra Serif"/>
          <w:sz w:val="24"/>
          <w:szCs w:val="24"/>
        </w:rPr>
        <w:t xml:space="preserve"> магистральный газопровод  ПАО «Газпром», «ЗапСибНефтехим» </w:t>
      </w:r>
      <w:r>
        <w:rPr>
          <w:rFonts w:ascii="PT Astra Serif" w:hAnsi="PT Astra Serif"/>
          <w:sz w:val="24"/>
          <w:szCs w:val="24"/>
        </w:rPr>
        <w:t xml:space="preserve">–</w:t>
      </w:r>
      <w:r>
        <w:rPr>
          <w:rFonts w:ascii="PT Astra Serif" w:hAnsi="PT Astra Serif"/>
          <w:sz w:val="24"/>
          <w:szCs w:val="24"/>
        </w:rPr>
        <w:t xml:space="preserve"> тобольский НХК группы «СИБУР», «Мессояха» и «Ямал СПГ» </w:t>
      </w:r>
      <w:r>
        <w:rPr>
          <w:rFonts w:ascii="PT Astra Serif" w:hAnsi="PT Astra Serif"/>
          <w:sz w:val="24"/>
          <w:szCs w:val="24"/>
        </w:rPr>
        <w:t xml:space="preserve">–</w:t>
      </w:r>
      <w:r>
        <w:rPr>
          <w:rFonts w:ascii="PT Astra Serif" w:hAnsi="PT Astra Serif"/>
          <w:sz w:val="24"/>
          <w:szCs w:val="24"/>
        </w:rPr>
        <w:t xml:space="preserve"> проекты ПАО «Газпром нефть» и других. За 10 лет закуплено продукции томских производителей более чем на 250 </w:t>
      </w:r>
      <w:r>
        <w:rPr>
          <w:rFonts w:ascii="PT Astra Serif" w:hAnsi="PT Astra Serif"/>
          <w:sz w:val="24"/>
          <w:szCs w:val="24"/>
        </w:rPr>
        <w:t xml:space="preserve">млрд</w:t>
      </w:r>
      <w:r>
        <w:rPr>
          <w:rFonts w:ascii="PT Astra Serif" w:hAnsi="PT Astra Serif"/>
          <w:sz w:val="24"/>
          <w:szCs w:val="24"/>
        </w:rPr>
        <w:t xml:space="preserve"> </w:t>
      </w:r>
      <w:r>
        <w:rPr>
          <w:rFonts w:ascii="PT Astra Serif" w:hAnsi="PT Astra Serif"/>
          <w:sz w:val="24"/>
          <w:szCs w:val="24"/>
        </w:rPr>
        <w:t xml:space="preserve">рублей.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trike/>
          <w:sz w:val="24"/>
          <w:szCs w:val="24"/>
        </w:rPr>
      </w:pPr>
      <w:r>
        <w:rPr>
          <w:rFonts w:ascii="PT Astra Serif" w:hAnsi="PT Astra Serif"/>
          <w:sz w:val="24"/>
          <w:szCs w:val="24"/>
        </w:rPr>
        <w:t xml:space="preserve">В 2023 году актуализирована дорожная карта с ПАО «Интер-РАО». В планах на 2024 год – подписание на Петербургском международном экономическом форуме актуализированных дорожных карт по сотрудничеству с ПАО «Газпром» и ПАО «Россети».</w:t>
      </w:r>
      <w:r>
        <w:rPr>
          <w:rFonts w:ascii="PT Astra Serif" w:hAnsi="PT Astra Serif"/>
          <w:strike/>
          <w:sz w:val="24"/>
          <w:szCs w:val="24"/>
        </w:rPr>
      </w:r>
      <w:r>
        <w:rPr>
          <w:rFonts w:ascii="PT Astra Serif" w:hAnsi="PT Astra Serif"/>
          <w:strike/>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Томские предприятия являются участниками ряда межрегиональных промышленных кластеров. Так, томское предприятие «Ильма» совместно с предприят</w:t>
      </w:r>
      <w:r>
        <w:rPr>
          <w:rFonts w:ascii="PT Astra Serif" w:hAnsi="PT Astra Serif"/>
          <w:sz w:val="24"/>
          <w:szCs w:val="24"/>
        </w:rPr>
        <w:t xml:space="preserve">иями Кемеровской области и Донецкой народной республики участвует в реализации проектов по освоению комплектующих для горно-шахтного оборудования. «Зона ответственности» томского предприятия – взрывобезопастные системы автоматизации связи и управления ГШО.</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новыми мерами поддержки промышленных предприятий стали субсидии на возмещение части затрат, связанных с приоб</w:t>
      </w:r>
      <w:r>
        <w:rPr>
          <w:rFonts w:ascii="PT Astra Serif" w:hAnsi="PT Astra Serif"/>
          <w:sz w:val="24"/>
          <w:szCs w:val="24"/>
        </w:rPr>
        <w:t xml:space="preserve">ретением нового оборудования, и займы на реализацию инвестиционных проектов, объем которых составил 69 475 тыс. рублей, оказана поддержка 3 предприятиям промышленности, которые планируют увеличение выпуска томской продукции, в том числе специализированной </w:t>
      </w:r>
      <w:r>
        <w:rPr>
          <w:rFonts w:ascii="PT Astra Serif" w:hAnsi="PT Astra Serif"/>
          <w:sz w:val="24"/>
          <w:szCs w:val="24"/>
        </w:rPr>
        <w:t xml:space="preserve">резиновой обуви, высокотехнологичного режущего инструмента, а также уникального оборудования для электронно-лучевой сварки.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bCs/>
          <w:sz w:val="24"/>
          <w:szCs w:val="24"/>
          <w:shd w:val="clear" w:color="auto" w:fill="ffffff"/>
        </w:rPr>
      </w:pPr>
      <w:r>
        <w:rPr>
          <w:rFonts w:ascii="PT Astra Serif" w:hAnsi="PT Astra Serif"/>
          <w:bCs/>
          <w:sz w:val="24"/>
          <w:szCs w:val="24"/>
          <w:shd w:val="clear" w:color="auto" w:fill="ffffff"/>
        </w:rPr>
        <w:t xml:space="preserve">Развитию промышленности способствуют действующие инструменты поддержки промышленных предприятий и потенциальных инвесторов на федеральном и региональном уровне:</w:t>
      </w:r>
      <w:r>
        <w:rPr>
          <w:rFonts w:ascii="PT Astra Serif" w:hAnsi="PT Astra Serif"/>
          <w:bCs/>
          <w:sz w:val="24"/>
          <w:szCs w:val="24"/>
          <w:shd w:val="clear" w:color="auto" w:fill="ffffff"/>
        </w:rPr>
      </w:r>
      <w:r>
        <w:rPr>
          <w:rFonts w:ascii="PT Astra Serif" w:hAnsi="PT Astra Serif"/>
          <w:bCs/>
          <w:sz w:val="24"/>
          <w:szCs w:val="24"/>
          <w:shd w:val="clear" w:color="auto" w:fill="ffffff"/>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1) программы льготного кредитования;</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2) промышленная ипотека на приобретение объектов недвижимого имущества в целях осуществления деятельности в сфере промышленности;</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3) система мер поддержки и развития промышленности </w:t>
      </w:r>
      <w:r>
        <w:rPr>
          <w:rFonts w:ascii="PT Astra Serif" w:hAnsi="PT Astra Serif"/>
          <w:sz w:val="24"/>
          <w:szCs w:val="24"/>
        </w:rPr>
        <w:t xml:space="preserve">–</w:t>
      </w:r>
      <w:r>
        <w:rPr>
          <w:rFonts w:ascii="PT Astra Serif" w:hAnsi="PT Astra Serif"/>
          <w:sz w:val="24"/>
          <w:szCs w:val="24"/>
        </w:rPr>
        <w:t xml:space="preserve"> займы промышленным предприятиям на реализацию инвестиционных проектов, субсидии промышленным предприятиям на возмещение части затрат, связанных с приобретением нового оборудования;</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4) система налоговых льгот (льготы по налогу на имущество и налогу на прибыль организаций);</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5) региональная инфраструктура поддержки </w:t>
      </w:r>
      <w:r>
        <w:rPr>
          <w:rFonts w:ascii="PT Astra Serif" w:hAnsi="PT Astra Serif"/>
          <w:sz w:val="24"/>
          <w:szCs w:val="24"/>
        </w:rPr>
        <w:t xml:space="preserve">–</w:t>
      </w:r>
      <w:r>
        <w:rPr>
          <w:rFonts w:ascii="PT Astra Serif" w:hAnsi="PT Astra Serif"/>
          <w:sz w:val="24"/>
          <w:szCs w:val="24"/>
        </w:rPr>
        <w:t xml:space="preserve"> оказание  комплексных услуг,  в том числе сопровождение для получ</w:t>
      </w:r>
      <w:r>
        <w:rPr>
          <w:rFonts w:ascii="PT Astra Serif" w:hAnsi="PT Astra Serif"/>
          <w:sz w:val="24"/>
          <w:szCs w:val="24"/>
        </w:rPr>
        <w:t xml:space="preserve">ения федеральных и региональных мер поддержки, консультационная поддержка (Региональный фонд развития промышленности, центр «Мой бизнес», Гарантийный фонд, Томская Торгово-промышленная палата, Центр поддержки экспорта, Центр инновационного развития и др.);</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6) инвестиционные площадки для размещения резидентов с инвестиционными проектами – промышленный парк «Томск», </w:t>
      </w:r>
      <w:r>
        <w:rPr>
          <w:rFonts w:ascii="PT Astra Serif" w:hAnsi="PT Astra Serif"/>
          <w:sz w:val="24"/>
          <w:szCs w:val="24"/>
        </w:rPr>
        <w:t xml:space="preserve">ОЭЗ ТВТ, ТОР «Северск».</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Томская область ежегодно принимает участие в международных конгрессно-выставочных мероприятиях.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Так</w:t>
      </w:r>
      <w:r>
        <w:rPr>
          <w:rFonts w:ascii="PT Astra Serif" w:hAnsi="PT Astra Serif"/>
          <w:sz w:val="24"/>
          <w:szCs w:val="24"/>
        </w:rPr>
        <w:t xml:space="preserve">,</w:t>
      </w:r>
      <w:r>
        <w:rPr>
          <w:rFonts w:ascii="PT Astra Serif" w:hAnsi="PT Astra Serif"/>
          <w:sz w:val="24"/>
          <w:szCs w:val="24"/>
        </w:rPr>
        <w:t xml:space="preserve"> в 2023 году регион участвовал в выставках «ИННОПРОМ. Центральная Азия», «Россия — Исламский мир: KazanForum», форуме «ИННОПРОМ», военно-техническом форуме «Армия-2023». На Петербургском международном газовом форуме, </w:t>
      </w:r>
      <w:r>
        <w:rPr>
          <w:rFonts w:ascii="PT Astra Serif" w:hAnsi="PT Astra Serif"/>
          <w:sz w:val="24"/>
          <w:szCs w:val="24"/>
        </w:rPr>
        <w:t xml:space="preserve">на котором были представлены передовые технологии и оборудование машиностроительных компаний региона, Томская область приняла участие в </w:t>
      </w:r>
      <w:r>
        <w:rPr>
          <w:rFonts w:ascii="PT Astra Serif" w:hAnsi="PT Astra Serif"/>
          <w:sz w:val="24"/>
          <w:szCs w:val="24"/>
        </w:rPr>
        <w:t xml:space="preserve">экспозиции «Импортозамещение в газовой отрасли».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Томской области продолжает деятельность </w:t>
      </w:r>
      <w:r>
        <w:rPr>
          <w:rFonts w:ascii="PT Astra Serif" w:hAnsi="PT Astra Serif"/>
          <w:b/>
          <w:sz w:val="24"/>
          <w:szCs w:val="24"/>
        </w:rPr>
        <w:t xml:space="preserve">научно-промышленный кластер</w:t>
      </w:r>
      <w:r>
        <w:rPr>
          <w:rFonts w:ascii="PT Astra Serif" w:hAnsi="PT Astra Serif"/>
          <w:sz w:val="24"/>
          <w:szCs w:val="24"/>
        </w:rPr>
        <w:t xml:space="preserve"> двойного назначения «Комплексные автоматизированные системы», созданный по инициативе АО «Манотомь», специализирующегося на отечественных разработках и выпуске широкого спектра ко</w:t>
      </w:r>
      <w:r>
        <w:rPr>
          <w:rFonts w:ascii="PT Astra Serif" w:hAnsi="PT Astra Serif"/>
          <w:sz w:val="24"/>
          <w:szCs w:val="24"/>
        </w:rPr>
        <w:t xml:space="preserve">нтрольно-измерительного оборудования военного, гражданского и двойного назначения, в который входят более 20 томских организаций, университеты (НИ ТГУ, НИ ТПУ, ТУСУР), институты СО РАН (ИМКЭС и Институт оптики атмосферы), малые инновационные предприятия г.</w:t>
      </w:r>
      <w:r>
        <w:rPr>
          <w:rFonts w:ascii="PT Astra Serif" w:hAnsi="PT Astra Serif"/>
          <w:sz w:val="24"/>
          <w:szCs w:val="24"/>
        </w:rPr>
        <w:t xml:space="preserve"> </w:t>
      </w:r>
      <w:r>
        <w:rPr>
          <w:rFonts w:ascii="PT Astra Serif" w:hAnsi="PT Astra Serif"/>
          <w:sz w:val="24"/>
          <w:szCs w:val="24"/>
        </w:rPr>
        <w:t xml:space="preserve">Томска, который специализируе</w:t>
      </w:r>
      <w:r>
        <w:rPr>
          <w:rFonts w:ascii="PT Astra Serif" w:hAnsi="PT Astra Serif"/>
          <w:sz w:val="24"/>
          <w:szCs w:val="24"/>
        </w:rPr>
        <w:t xml:space="preserve">тся на разработке и производстве</w:t>
      </w:r>
      <w:r>
        <w:rPr>
          <w:rFonts w:ascii="PT Astra Serif" w:hAnsi="PT Astra Serif"/>
          <w:sz w:val="24"/>
          <w:szCs w:val="24"/>
        </w:rPr>
        <w:t xml:space="preserve"> комплексных автоматизированных систем. Созданы советы конструкторов и маркетологов, подготовлены перечни технологических компетенций и услуг участников кластера, разработан порядок организации отбора и реализации кластерных проектов.</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в рамках мероприятий научно-деловой программы Международного военно-технического форума «Армия 2023» были представлены разработки участников кластера в сфере спектральных многоэлементных дет</w:t>
      </w:r>
      <w:r>
        <w:rPr>
          <w:rFonts w:ascii="PT Astra Serif" w:hAnsi="PT Astra Serif"/>
          <w:sz w:val="24"/>
          <w:szCs w:val="24"/>
        </w:rPr>
        <w:t xml:space="preserve">екторов ионизирующего излучения, и</w:t>
      </w:r>
      <w:r>
        <w:rPr>
          <w:rFonts w:ascii="PT Astra Serif" w:hAnsi="PT Astra Serif"/>
          <w:sz w:val="24"/>
          <w:szCs w:val="24"/>
        </w:rPr>
        <w:t xml:space="preserve">меющие </w:t>
      </w:r>
      <w:r>
        <w:rPr>
          <w:rFonts w:ascii="PT Astra Serif" w:hAnsi="PT Astra Serif"/>
          <w:sz w:val="24"/>
          <w:szCs w:val="24"/>
        </w:rPr>
        <w:t xml:space="preserve">широкий спектр использования оборудования на данных детекторах (в гражданской и военной медицине, ветеринарии, в промышленности - для неразрушающего контроля), в том числе рентгенографических комплексов на базе высокотемпературных сложных полупроводников.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tabs>
          <w:tab w:val="left" w:pos="900" w:leader="none"/>
        </w:tabs>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1. Создание и развитие с Минпромторгом России трех промышленных кластеров в сфере разработки цветных и редкоземельных металлов, лесопереработки и химии.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2. Реализация мероприятий по содействию импортозамещению, в том числе с использованием механизма дорожных карт с крупными российскими компаниями по увеличению поставок томской высокотехнологичной и импортозамещающей продукции.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3. Содействие реализации новых инвестиционных проектов в промышленности, в том числе с привлечением средств из федерального бюджета и Фонда развития промышленности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4. Участие в международных конгрессно-выставочных мероприятиях с целью продвижения продукция промышленных компаний региона в дружественные страны и формирования технологических компетенций.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5. Содействие развитию высокотехнологичных производств организаций </w:t>
      </w:r>
      <w:r>
        <w:rPr>
          <w:rFonts w:ascii="PT Astra Serif" w:hAnsi="PT Astra Serif"/>
          <w:sz w:val="24"/>
          <w:szCs w:val="24"/>
        </w:rPr>
        <w:t xml:space="preserve">–</w:t>
      </w:r>
      <w:r>
        <w:rPr>
          <w:rFonts w:ascii="PT Astra Serif" w:hAnsi="PT Astra Serif"/>
          <w:sz w:val="24"/>
          <w:szCs w:val="24"/>
        </w:rPr>
        <w:t xml:space="preserve"> участников кластера технологий двойного назначения.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6. Обеспечение развития высокотехнологических кластеров и инновационной инфраструктуры посредством создания механизмов эффективной кооперации технологического и производственного бизнеса, науки и образования.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shd w:val="clear" w:color="auto" w:fill="eaf1dd" w:themeFill="accent3" w:themeFillTint="33"/>
        <w:tabs>
          <w:tab w:val="left" w:pos="4962" w:leader="none"/>
        </w:tabs>
        <w:rPr>
          <w:rFonts w:ascii="PT Astra Serif" w:hAnsi="PT Astra Serif"/>
          <w:b/>
          <w:bCs/>
          <w:sz w:val="24"/>
          <w:szCs w:val="24"/>
        </w:rPr>
      </w:pPr>
      <w:r>
        <w:rPr>
          <w:rFonts w:ascii="PT Astra Serif" w:hAnsi="PT Astra Serif"/>
          <w:b/>
          <w:bCs/>
          <w:sz w:val="24"/>
          <w:szCs w:val="24"/>
          <w:shd w:val="clear" w:color="auto" w:fill="eaf1dd" w:themeFill="accent3" w:themeFillTint="33"/>
        </w:rPr>
        <w:t xml:space="preserve">Добыча полезных ископаемых</w:t>
      </w:r>
      <w:r>
        <w:rPr>
          <w:rFonts w:ascii="PT Astra Serif" w:hAnsi="PT Astra Serif"/>
          <w:b/>
          <w:bCs/>
          <w:sz w:val="24"/>
          <w:szCs w:val="24"/>
        </w:rPr>
      </w:r>
      <w:r>
        <w:rPr>
          <w:rFonts w:ascii="PT Astra Serif" w:hAnsi="PT Astra Serif"/>
          <w:b/>
          <w:bCs/>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Нефтегазовая отрасль по-прежнему занимает значительную долю в валовом региональном продукте Томской области – 24,9%. В налоговых доходах консолидированного бюджет региона – 13,5%.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Основными нефтегазодобывающими компаниями являются: АО «Томскнефть» ВНК, ООО «Газпромнефть-Восток», АО «Газпром добыча Томск», Томский филиал ПАО НК «Русснефть», ООО «ВТК», группа компаний Imperial Energy.</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Суммарная добыча газа по итог</w:t>
      </w:r>
      <w:r>
        <w:rPr>
          <w:rFonts w:ascii="PT Astra Serif" w:hAnsi="PT Astra Serif"/>
          <w:sz w:val="24"/>
          <w:szCs w:val="24"/>
        </w:rPr>
        <w:t xml:space="preserve">ам 2023 года составила 5,6 млрд </w:t>
      </w:r>
      <w:r>
        <w:rPr>
          <w:rFonts w:ascii="PT Astra Serif" w:hAnsi="PT Astra Serif"/>
          <w:sz w:val="24"/>
          <w:szCs w:val="24"/>
        </w:rPr>
        <w:t xml:space="preserve">м</w:t>
      </w:r>
      <w:r>
        <w:rPr>
          <w:rFonts w:ascii="PT Astra Serif" w:hAnsi="PT Astra Serif"/>
          <w:sz w:val="24"/>
          <w:szCs w:val="24"/>
          <w:vertAlign w:val="superscript"/>
        </w:rPr>
        <w:t xml:space="preserve">3 </w:t>
      </w:r>
      <w:r>
        <w:rPr>
          <w:rFonts w:ascii="PT Astra Serif" w:hAnsi="PT Astra Serif"/>
          <w:sz w:val="24"/>
          <w:szCs w:val="24"/>
        </w:rPr>
        <w:t xml:space="preserve">(что практически на уровне 2022 года – 5,7 млрд</w:t>
      </w:r>
      <w:r>
        <w:rPr>
          <w:rFonts w:ascii="PT Astra Serif" w:hAnsi="PT Astra Serif"/>
          <w:sz w:val="24"/>
          <w:szCs w:val="24"/>
        </w:rPr>
        <w:t xml:space="preserve"> </w:t>
      </w:r>
      <w:r>
        <w:rPr>
          <w:rFonts w:ascii="PT Astra Serif" w:hAnsi="PT Astra Serif"/>
          <w:sz w:val="24"/>
          <w:szCs w:val="24"/>
        </w:rPr>
        <w:t xml:space="preserve">м</w:t>
      </w:r>
      <w:r>
        <w:rPr>
          <w:rFonts w:ascii="PT Astra Serif" w:hAnsi="PT Astra Serif"/>
          <w:sz w:val="24"/>
          <w:szCs w:val="24"/>
          <w:vertAlign w:val="superscript"/>
        </w:rPr>
        <w:t xml:space="preserve">3</w:t>
      </w:r>
      <w:r>
        <w:rPr>
          <w:rFonts w:ascii="PT Astra Serif" w:hAnsi="PT Astra Serif"/>
          <w:sz w:val="24"/>
          <w:szCs w:val="24"/>
        </w:rPr>
        <w:t xml:space="preserve">). При этом наблюдается рост добычи по попутному газу, что обеспечено реализацией газовых программ по повышению использования и утилизации попутного нефтяного газа.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Добыча нефти сокращается на протяжении последних лет под воздействием факторов внешнего влияния на отрасль:</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большая часть месторождений, на которых работают предприятия, находится в поздней стадии разработки</w:t>
      </w:r>
      <w:r>
        <w:rPr>
          <w:rFonts w:ascii="PT Astra Serif" w:hAnsi="PT Astra Serif"/>
          <w:sz w:val="24"/>
          <w:szCs w:val="24"/>
        </w:rPr>
        <w:t xml:space="preserve">,</w:t>
      </w:r>
      <w:r>
        <w:rPr>
          <w:rFonts w:ascii="PT Astra Serif" w:hAnsi="PT Astra Serif"/>
          <w:sz w:val="24"/>
          <w:szCs w:val="24"/>
        </w:rPr>
        <w:t xml:space="preserve"> и вовлекаемые в разработку запасы углеводородного сырья не позволяют компенсировать сокращение добычи вследствие выработки высокопродуктивных зон;</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Россия продлила сначала до конца 2023</w:t>
      </w:r>
      <w:r>
        <w:rPr>
          <w:rFonts w:ascii="PT Astra Serif" w:hAnsi="PT Astra Serif"/>
          <w:sz w:val="24"/>
          <w:szCs w:val="24"/>
        </w:rPr>
        <w:t xml:space="preserve"> года</w:t>
      </w:r>
      <w:r>
        <w:rPr>
          <w:rFonts w:ascii="PT Astra Serif" w:hAnsi="PT Astra Serif"/>
          <w:sz w:val="24"/>
          <w:szCs w:val="24"/>
        </w:rPr>
        <w:t xml:space="preserve">, а потом и до конца 2024 года добровольное сокращение добычи нефти в рамках сделки ОПЕК+ на 500 тыс</w:t>
      </w:r>
      <w:r>
        <w:rPr>
          <w:rFonts w:ascii="PT Astra Serif" w:hAnsi="PT Astra Serif"/>
          <w:sz w:val="24"/>
          <w:szCs w:val="24"/>
        </w:rPr>
        <w:t xml:space="preserve">. </w:t>
      </w:r>
      <w:r>
        <w:rPr>
          <w:rFonts w:ascii="PT Astra Serif" w:hAnsi="PT Astra Serif"/>
          <w:sz w:val="24"/>
          <w:szCs w:val="24"/>
        </w:rPr>
        <w:t xml:space="preserve">баррелей в сутки</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sz w:val="24"/>
          <w:szCs w:val="24"/>
        </w:rPr>
        <w:t xml:space="preserve">–</w:t>
      </w:r>
      <w:r>
        <w:rPr>
          <w:rFonts w:ascii="PT Astra Serif" w:hAnsi="PT Astra Serif"/>
          <w:sz w:val="24"/>
          <w:szCs w:val="24"/>
        </w:rPr>
        <w:t xml:space="preserve"> внесены изменения в Налоговый кодекс РФ, которые касаются </w:t>
      </w:r>
      <w:r>
        <w:rPr>
          <w:rFonts w:ascii="PT Astra Serif" w:hAnsi="PT Astra Serif" w:cstheme="minorBidi"/>
          <w:sz w:val="24"/>
          <w:szCs w:val="24"/>
        </w:rPr>
        <w:t xml:space="preserve">снижения дисконта (скидки) нефти</w:t>
      </w:r>
      <w:r>
        <w:rPr>
          <w:rFonts w:ascii="PT Astra Serif" w:hAnsi="PT Astra Serif"/>
          <w:sz w:val="24"/>
          <w:szCs w:val="24"/>
        </w:rPr>
        <w:t xml:space="preserve"> сорта </w:t>
      </w:r>
      <w:r>
        <w:rPr>
          <w:rFonts w:ascii="PT Astra Serif" w:hAnsi="PT Astra Serif" w:cstheme="minorBidi"/>
          <w:sz w:val="24"/>
          <w:szCs w:val="24"/>
        </w:rPr>
        <w:t xml:space="preserve">Urals к сорту Brent в отечественных нефтяных налогах (НДПИ, НДД) с $25 до $20 за баррель с 1 сентября 2023 года и дальнейше</w:t>
      </w:r>
      <w:r>
        <w:rPr>
          <w:rFonts w:ascii="PT Astra Serif" w:hAnsi="PT Astra Serif" w:cstheme="minorBidi"/>
          <w:sz w:val="24"/>
          <w:szCs w:val="24"/>
        </w:rPr>
        <w:t xml:space="preserve">го поэтапного снижения</w:t>
      </w:r>
      <w:r>
        <w:rPr>
          <w:rFonts w:ascii="PT Astra Serif" w:hAnsi="PT Astra Serif" w:cstheme="minorBidi"/>
          <w:sz w:val="24"/>
          <w:szCs w:val="24"/>
        </w:rPr>
        <w:t xml:space="preserve"> с целью увеличения нефтегазовых доходов бюджета.</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sz w:val="24"/>
          <w:szCs w:val="24"/>
        </w:rPr>
        <w:t xml:space="preserve">Для обеспечения рентабельности поиска и разработки месторождений с нетрадиционными коллекторами и приращени</w:t>
      </w:r>
      <w:r>
        <w:rPr>
          <w:rFonts w:ascii="PT Astra Serif" w:hAnsi="PT Astra Serif"/>
          <w:sz w:val="24"/>
          <w:szCs w:val="24"/>
        </w:rPr>
        <w:t xml:space="preserve">я</w:t>
      </w:r>
      <w:r>
        <w:rPr>
          <w:rFonts w:ascii="PT Astra Serif" w:hAnsi="PT Astra Serif"/>
          <w:sz w:val="24"/>
          <w:szCs w:val="24"/>
        </w:rPr>
        <w:t xml:space="preserve"> ресурсной базы региона реализуется ключевой проект добывающей отрасли «Палеозой»,</w:t>
      </w:r>
      <w:r>
        <w:rPr>
          <w:rFonts w:ascii="PT Astra Serif" w:hAnsi="PT Astra Serif"/>
          <w:b/>
          <w:sz w:val="24"/>
          <w:szCs w:val="24"/>
        </w:rPr>
        <w:t xml:space="preserve"> </w:t>
      </w:r>
      <w:r>
        <w:rPr>
          <w:rFonts w:ascii="PT Astra Serif" w:hAnsi="PT Astra Serif"/>
          <w:sz w:val="24"/>
          <w:szCs w:val="24"/>
        </w:rPr>
        <w:t xml:space="preserve">в рамках которого разработана технология поиска потенциально-перспективных объектов в отложениях Доюрского комплекса (ДЮК). </w:t>
      </w:r>
      <w:r>
        <w:rPr>
          <w:rFonts w:ascii="PT Astra Serif" w:hAnsi="PT Astra Serif" w:cstheme="minorBidi"/>
          <w:sz w:val="24"/>
          <w:szCs w:val="24"/>
        </w:rPr>
        <w:t xml:space="preserve">Общий бюджет технологического проекта, по итогам которого создана и запатентована технология поиска доюрских запасов, составил 1,4 </w:t>
      </w:r>
      <w:r>
        <w:rPr>
          <w:rFonts w:ascii="PT Astra Serif" w:hAnsi="PT Astra Serif" w:cstheme="minorBidi"/>
          <w:sz w:val="24"/>
          <w:szCs w:val="24"/>
        </w:rPr>
        <w:t xml:space="preserve">млрд</w:t>
      </w:r>
      <w:r>
        <w:rPr>
          <w:rFonts w:ascii="PT Astra Serif" w:hAnsi="PT Astra Serif" w:cstheme="minorBidi"/>
          <w:sz w:val="24"/>
          <w:szCs w:val="24"/>
        </w:rPr>
        <w:t xml:space="preserve"> </w:t>
      </w:r>
      <w:r>
        <w:rPr>
          <w:rFonts w:ascii="PT Astra Serif" w:hAnsi="PT Astra Serif" w:cstheme="minorBidi"/>
          <w:sz w:val="24"/>
          <w:szCs w:val="24"/>
        </w:rPr>
        <w:t xml:space="preserve">рублей. </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bCs/>
          <w:sz w:val="24"/>
          <w:szCs w:val="24"/>
        </w:rPr>
      </w:pPr>
      <w:r>
        <w:rPr>
          <w:rFonts w:ascii="PT Astra Serif" w:hAnsi="PT Astra Serif"/>
          <w:bCs/>
          <w:sz w:val="24"/>
          <w:szCs w:val="24"/>
        </w:rPr>
        <w:t xml:space="preserve">Структура проекта делилась на 2 части: </w:t>
      </w:r>
      <w:r>
        <w:rPr>
          <w:rFonts w:ascii="PT Astra Serif" w:hAnsi="PT Astra Serif"/>
          <w:bCs/>
          <w:sz w:val="24"/>
          <w:szCs w:val="24"/>
        </w:rPr>
      </w:r>
      <w:r>
        <w:rPr>
          <w:rFonts w:ascii="PT Astra Serif" w:hAnsi="PT Astra Serif"/>
          <w:bCs/>
          <w:sz w:val="24"/>
          <w:szCs w:val="24"/>
        </w:rPr>
      </w:r>
    </w:p>
    <w:p>
      <w:pPr>
        <w:ind w:firstLine="709"/>
        <w:jc w:val="both"/>
        <w:spacing w:after="0" w:line="240" w:lineRule="auto"/>
        <w:rPr>
          <w:rFonts w:ascii="PT Astra Serif" w:hAnsi="PT Astra Serif"/>
          <w:bCs/>
          <w:sz w:val="24"/>
          <w:szCs w:val="24"/>
        </w:rPr>
      </w:pPr>
      <w:r>
        <w:rPr>
          <w:rFonts w:ascii="PT Astra Serif" w:hAnsi="PT Astra Serif"/>
          <w:bCs/>
          <w:sz w:val="24"/>
          <w:szCs w:val="24"/>
        </w:rPr>
        <w:t xml:space="preserve">1. Физические работы по бурению скважин, в рамках которого пробурено 6 скважин, с общей проходкой в запасах доюрского комплекса (далее </w:t>
      </w:r>
      <w:r>
        <w:rPr>
          <w:rFonts w:ascii="PT Astra Serif" w:hAnsi="PT Astra Serif"/>
          <w:sz w:val="24"/>
          <w:szCs w:val="24"/>
        </w:rPr>
        <w:t xml:space="preserve">–</w:t>
      </w:r>
      <w:r>
        <w:rPr>
          <w:rFonts w:ascii="PT Astra Serif" w:hAnsi="PT Astra Serif"/>
          <w:bCs/>
          <w:sz w:val="24"/>
          <w:szCs w:val="24"/>
        </w:rPr>
        <w:t xml:space="preserve"> ДЮК) 3830 метров, испытано 23 объекта в Д</w:t>
      </w:r>
      <w:r>
        <w:rPr>
          <w:rFonts w:ascii="PT Astra Serif" w:hAnsi="PT Astra Serif"/>
          <w:bCs/>
          <w:sz w:val="24"/>
          <w:szCs w:val="24"/>
        </w:rPr>
        <w:t xml:space="preserve">ЮК и отобрано 715,1 метра керна.</w:t>
      </w:r>
      <w:r>
        <w:rPr>
          <w:rFonts w:ascii="PT Astra Serif" w:hAnsi="PT Astra Serif"/>
          <w:bCs/>
          <w:sz w:val="24"/>
          <w:szCs w:val="24"/>
        </w:rPr>
      </w:r>
      <w:r>
        <w:rPr>
          <w:rFonts w:ascii="PT Astra Serif" w:hAnsi="PT Astra Serif"/>
          <w:bCs/>
          <w:sz w:val="24"/>
          <w:szCs w:val="24"/>
        </w:rPr>
      </w:r>
    </w:p>
    <w:p>
      <w:pPr>
        <w:ind w:firstLine="709"/>
        <w:jc w:val="both"/>
        <w:spacing w:after="0" w:line="240" w:lineRule="auto"/>
        <w:rPr>
          <w:rFonts w:ascii="PT Astra Serif" w:hAnsi="PT Astra Serif"/>
          <w:bCs/>
          <w:sz w:val="24"/>
          <w:szCs w:val="24"/>
        </w:rPr>
      </w:pPr>
      <w:r>
        <w:rPr>
          <w:rFonts w:ascii="PT Astra Serif" w:hAnsi="PT Astra Serif"/>
          <w:bCs/>
          <w:sz w:val="24"/>
          <w:szCs w:val="24"/>
        </w:rPr>
        <w:t xml:space="preserve">2. Научно-исследовательская работа по шести научным модулям: «Геохимия», «Метод потенциальных полей», «Тектоника», «Сейсморазведочные работы», «Геоинформационная система», «Керн». </w:t>
      </w:r>
      <w:r>
        <w:rPr>
          <w:rFonts w:ascii="PT Astra Serif" w:hAnsi="PT Astra Serif"/>
          <w:bCs/>
          <w:sz w:val="24"/>
          <w:szCs w:val="24"/>
        </w:rPr>
      </w:r>
      <w:r>
        <w:rPr>
          <w:rFonts w:ascii="PT Astra Serif" w:hAnsi="PT Astra Serif"/>
          <w:bCs/>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декабре 2023 года по инициативе Томской области отложениям ДЮК удалось присвоить статус трудноизвлекаемых запасов, принято постановление Правительства Российской Федерации, которое расширяет перечень трудноизвлекае</w:t>
      </w:r>
      <w:r>
        <w:rPr>
          <w:rFonts w:ascii="PT Astra Serif" w:hAnsi="PT Astra Serif"/>
          <w:sz w:val="24"/>
          <w:szCs w:val="24"/>
        </w:rPr>
        <w:t xml:space="preserve">мых запасов, в том числе относит доюрские отложения Западной Сибири к категории трудноизвлекаемых запасов, в отношении которых право пользования участком недр может предоставляться для разработки технологий геологического изучения, разведки и добычи, что п</w:t>
      </w:r>
      <w:r>
        <w:rPr>
          <w:rFonts w:ascii="PT Astra Serif" w:hAnsi="PT Astra Serif"/>
          <w:sz w:val="24"/>
          <w:szCs w:val="24"/>
        </w:rPr>
        <w:t xml:space="preserve">озволит выделить такие залежи в отдельные лицензии для испытания технологии поиска и разработки залежей ДЮК. ПАО «Газпром нефть» в качестве пилотного выбран Южно-Тамбаевский лицензионный участок по геологическим, технологическим и экономическим критериям. </w:t>
      </w:r>
      <w:r>
        <w:rPr>
          <w:rFonts w:ascii="PT Astra Serif" w:hAnsi="PT Astra Serif"/>
          <w:sz w:val="24"/>
          <w:szCs w:val="24"/>
        </w:rPr>
        <w:t xml:space="preserve">Проект «Палеозой» является частью Федерального проекта «Технологии освоения трудноизвлекаемых запасов» и уже достиг практических результатов, которые могут быть масштабированы по всей стране.</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bCs/>
          <w:sz w:val="24"/>
          <w:szCs w:val="24"/>
        </w:rPr>
      </w:pPr>
      <w:r>
        <w:rPr>
          <w:rFonts w:ascii="PT Astra Serif" w:hAnsi="PT Astra Serif"/>
          <w:bCs/>
          <w:sz w:val="24"/>
          <w:szCs w:val="24"/>
        </w:rPr>
        <w:t xml:space="preserve">Следующий этап работ в данном направлении предусматривает открытие первого технологического полигона на Южно-Тамбаевском лицензионном участке для тестирования новых методов поиска и добычи палеозойской нефти.</w:t>
      </w:r>
      <w:r>
        <w:rPr>
          <w:rFonts w:ascii="PT Astra Serif" w:hAnsi="PT Astra Serif"/>
          <w:bCs/>
          <w:sz w:val="24"/>
          <w:szCs w:val="24"/>
        </w:rPr>
      </w:r>
      <w:r>
        <w:rPr>
          <w:rFonts w:ascii="PT Astra Serif" w:hAnsi="PT Astra Serif"/>
          <w:bCs/>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целях повышения рентабельности разработки нефтегазовых активов и обеспечения дополнительных поступлений в к</w:t>
      </w:r>
      <w:r>
        <w:rPr>
          <w:rFonts w:ascii="PT Astra Serif" w:hAnsi="PT Astra Serif"/>
          <w:sz w:val="24"/>
          <w:szCs w:val="24"/>
        </w:rPr>
        <w:t xml:space="preserve">онсолидированную бюджетную систему РФ необходимы стабилизирующие меры поддержки, при которых будут поддерживаться добыча на выработанных месторождениях и достаточный уровень инвестиций в эксплуатационное бурение, геологоразведку и инфраструктурные проекты.</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На сегодняшний день результати</w:t>
      </w:r>
      <w:r>
        <w:rPr>
          <w:rFonts w:ascii="PT Astra Serif" w:hAnsi="PT Astra Serif"/>
          <w:sz w:val="24"/>
          <w:szCs w:val="24"/>
        </w:rPr>
        <w:t xml:space="preserve">вной мерой является переход томских нефтяных компаний на льготный налог на дополнительный доход от добычи углеводородного сырья (НДД), что позволит компаниям сократить платежи по НДПИ, а свободные средства направить на развитие томских месторождений. Так, </w:t>
      </w:r>
      <w:r>
        <w:rPr>
          <w:rFonts w:ascii="PT Astra Serif" w:hAnsi="PT Astra Serif" w:cstheme="minorBidi"/>
          <w:sz w:val="24"/>
          <w:szCs w:val="24"/>
        </w:rPr>
        <w:t xml:space="preserve">в настоящее время ведется активная работа с Правительством Российской Федерации (Минэнерго России, Минфином России) по переводу 14 лицензионных участков с налога на добычу полезных ископаемых (НДПИ) на льготный режим налогообложения.</w:t>
      </w:r>
      <w:r>
        <w:rPr>
          <w:rFonts w:ascii="PT Astra Serif" w:hAnsi="PT Astra Serif"/>
          <w:sz w:val="24"/>
          <w:szCs w:val="24"/>
        </w:rPr>
      </w:r>
      <w:r>
        <w:rPr>
          <w:rFonts w:ascii="PT Astra Serif" w:hAnsi="PT Astra Serif"/>
          <w:sz w:val="24"/>
          <w:szCs w:val="24"/>
        </w:rPr>
      </w:r>
    </w:p>
    <w:p>
      <w:pPr>
        <w:pStyle w:val="1144"/>
        <w:ind w:firstLine="709"/>
        <w:jc w:val="both"/>
        <w:spacing w:after="0"/>
        <w:rPr>
          <w:rFonts w:ascii="PT Astra Serif" w:hAnsi="PT Astra Serif" w:cs="Times New Roman"/>
          <w:bCs/>
          <w:sz w:val="24"/>
          <w:szCs w:val="24"/>
        </w:rPr>
      </w:pPr>
      <w:r>
        <w:rPr>
          <w:rFonts w:ascii="PT Astra Serif" w:hAnsi="PT Astra Serif" w:cs="Times New Roman"/>
          <w:sz w:val="24"/>
          <w:szCs w:val="24"/>
        </w:rPr>
        <w:t xml:space="preserve">Еще одним уникальным проектом региона</w:t>
      </w:r>
      <w:r>
        <w:rPr>
          <w:rFonts w:ascii="PT Astra Serif" w:hAnsi="PT Astra Serif" w:cs="Times New Roman"/>
          <w:sz w:val="24"/>
          <w:szCs w:val="24"/>
        </w:rPr>
        <w:t xml:space="preserve">, вошедшим в кластер «Цветные и редкоземельные металлы», является промышленная разработка участков Туганского ильменит-цирконового россыпного месторождения, что открывает возможности для запуска целого ряда новых производств, в том числе пигментного диокси</w:t>
      </w:r>
      <w:r>
        <w:rPr>
          <w:rFonts w:ascii="PT Astra Serif" w:hAnsi="PT Astra Serif" w:cs="Times New Roman"/>
          <w:sz w:val="24"/>
          <w:szCs w:val="24"/>
        </w:rPr>
        <w:t xml:space="preserve">да титана, диоксида кремния, стекла, газобетона, тротуарной плитки, силикатного кирпича, изделий из искусственного камня и других и позволит полностью обеспечить сырьевой суверенитет всей страны в цирконовом концентрате и на 1/4 – в титановом концентрате. </w:t>
      </w:r>
      <w:r>
        <w:rPr>
          <w:rFonts w:ascii="PT Astra Serif" w:hAnsi="PT Astra Serif"/>
          <w:sz w:val="24"/>
          <w:szCs w:val="24"/>
        </w:rPr>
        <w:t xml:space="preserve">На сегодняшний день вложено в проект 4 </w:t>
      </w:r>
      <w:r>
        <w:rPr>
          <w:rFonts w:ascii="PT Astra Serif" w:hAnsi="PT Astra Serif"/>
          <w:sz w:val="24"/>
          <w:szCs w:val="24"/>
        </w:rPr>
        <w:t xml:space="preserve">млрд</w:t>
      </w:r>
      <w:r>
        <w:rPr>
          <w:rFonts w:ascii="PT Astra Serif" w:hAnsi="PT Astra Serif"/>
          <w:sz w:val="24"/>
          <w:szCs w:val="24"/>
        </w:rPr>
        <w:t xml:space="preserve"> </w:t>
      </w:r>
      <w:r>
        <w:rPr>
          <w:rFonts w:ascii="PT Astra Serif" w:hAnsi="PT Astra Serif"/>
          <w:sz w:val="24"/>
          <w:szCs w:val="24"/>
        </w:rPr>
        <w:t xml:space="preserve">рублей</w:t>
      </w:r>
      <w:r>
        <w:rPr>
          <w:rFonts w:ascii="PT Astra Serif" w:hAnsi="PT Astra Serif"/>
          <w:sz w:val="24"/>
          <w:szCs w:val="24"/>
        </w:rPr>
        <w:t xml:space="preserve">, осуществляется выпуск и отгрузка готовой продукции.</w:t>
      </w:r>
      <w:r>
        <w:rPr>
          <w:rFonts w:ascii="PT Astra Serif" w:hAnsi="PT Astra Serif" w:cs="Times New Roman"/>
          <w:bCs/>
          <w:sz w:val="24"/>
          <w:szCs w:val="24"/>
        </w:rPr>
        <w:t xml:space="preserve"> На предприятии проведены работы по увеличению извлечения полезных компонентов, улучшению качества товарной продукции для достижен</w:t>
      </w:r>
      <w:r>
        <w:rPr>
          <w:rFonts w:ascii="PT Astra Serif" w:hAnsi="PT Astra Serif" w:cs="Times New Roman"/>
          <w:bCs/>
          <w:sz w:val="24"/>
          <w:szCs w:val="24"/>
        </w:rPr>
        <w:t xml:space="preserve">ия проектной производительности, проведены исследования по настройке электростатических сепараторов, мероприятия по сокращению хвостов обогащения и потерь, установлены новые позиции оборудования, выполнены пуско-наладочные работы, создано 289 рабочих мест.</w:t>
      </w:r>
      <w:r>
        <w:rPr>
          <w:rFonts w:ascii="PT Astra Serif" w:hAnsi="PT Astra Serif" w:cs="Times New Roman"/>
          <w:bCs/>
          <w:sz w:val="24"/>
          <w:szCs w:val="24"/>
        </w:rPr>
      </w:r>
      <w:r>
        <w:rPr>
          <w:rFonts w:ascii="PT Astra Serif" w:hAnsi="PT Astra Serif" w:cs="Times New Roman"/>
          <w:bCs/>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Одним из значимых проектов для Томской области является создание ПАО  «Газпром» восточной системы газоснабжения. Ориентировочная протяже</w:t>
      </w:r>
      <w:r>
        <w:rPr>
          <w:rFonts w:ascii="PT Astra Serif" w:hAnsi="PT Astra Serif"/>
          <w:sz w:val="24"/>
          <w:szCs w:val="24"/>
        </w:rPr>
        <w:t xml:space="preserve">нность магистрального газопровода по Томской области составит 875 км. Участок реализации проекта на территории региона («Аганская – Володино», «Володино – Иркутск») включает в себя подводный переход через р. Обь в районе с. Володино Кривошеинского района.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trike/>
          <w:sz w:val="24"/>
          <w:szCs w:val="24"/>
        </w:rPr>
      </w:pPr>
      <w:r>
        <w:rPr>
          <w:rFonts w:ascii="PT Astra Serif" w:hAnsi="PT Astra Serif"/>
          <w:sz w:val="24"/>
          <w:szCs w:val="24"/>
        </w:rPr>
        <w:t xml:space="preserve">За 2023 год филиалом «Газпром инвест Томск» собраны исходные данные для проектирования газопровода, в полном объеме оформлены права ПАО «Газпром» на земельные (лесные) участки для выполнения комплексных инженерных изысканий.</w:t>
      </w:r>
      <w:r>
        <w:rPr>
          <w:rFonts w:ascii="PT Astra Serif" w:hAnsi="PT Astra Serif"/>
          <w:strike/>
          <w:sz w:val="24"/>
          <w:szCs w:val="24"/>
        </w:rPr>
        <w:t xml:space="preserve"> </w:t>
      </w:r>
      <w:r>
        <w:rPr>
          <w:rFonts w:ascii="PT Astra Serif" w:hAnsi="PT Astra Serif"/>
          <w:strike/>
          <w:sz w:val="24"/>
          <w:szCs w:val="24"/>
        </w:rPr>
      </w:r>
      <w:r>
        <w:rPr>
          <w:rFonts w:ascii="PT Astra Serif" w:hAnsi="PT Astra Serif"/>
          <w:strike/>
          <w:sz w:val="24"/>
          <w:szCs w:val="24"/>
        </w:rPr>
      </w:r>
    </w:p>
    <w:p>
      <w:pPr>
        <w:ind w:firstLine="709"/>
        <w:jc w:val="both"/>
        <w:spacing w:after="0" w:line="240" w:lineRule="auto"/>
        <w:rPr>
          <w:rFonts w:ascii="PT Astra Serif" w:hAnsi="PT Astra Serif"/>
          <w:strike/>
          <w:sz w:val="24"/>
          <w:szCs w:val="24"/>
        </w:rPr>
      </w:pPr>
      <w:r>
        <w:rPr>
          <w:rFonts w:ascii="PT Astra Serif" w:hAnsi="PT Astra Serif"/>
          <w:strike/>
          <w:sz w:val="24"/>
          <w:szCs w:val="24"/>
        </w:rPr>
      </w:r>
      <w:r>
        <w:rPr>
          <w:rFonts w:ascii="PT Astra Serif" w:hAnsi="PT Astra Serif"/>
          <w:strike/>
          <w:sz w:val="24"/>
          <w:szCs w:val="24"/>
        </w:rPr>
      </w:r>
      <w:r>
        <w:rPr>
          <w:rFonts w:ascii="PT Astra Serif" w:hAnsi="PT Astra Serif"/>
          <w:strike/>
          <w:sz w:val="24"/>
          <w:szCs w:val="24"/>
        </w:rPr>
      </w:r>
    </w:p>
    <w:p>
      <w:pPr>
        <w:ind w:firstLine="709"/>
        <w:jc w:val="both"/>
        <w:spacing w:after="0" w:line="240" w:lineRule="auto"/>
        <w:rPr>
          <w:rFonts w:ascii="PT Astra Serif" w:hAnsi="PT Astra Serif"/>
          <w:strike/>
          <w:sz w:val="24"/>
          <w:szCs w:val="24"/>
        </w:rPr>
      </w:pPr>
      <w:r>
        <w:rPr>
          <w:rFonts w:ascii="PT Astra Serif" w:hAnsi="PT Astra Serif"/>
          <w:strike/>
          <w:sz w:val="24"/>
          <w:szCs w:val="24"/>
        </w:rPr>
      </w:r>
      <w:r>
        <w:rPr>
          <w:rFonts w:ascii="PT Astra Serif" w:hAnsi="PT Astra Serif"/>
          <w:strike/>
          <w:sz w:val="24"/>
          <w:szCs w:val="24"/>
        </w:rPr>
      </w:r>
      <w:r>
        <w:rPr>
          <w:rFonts w:ascii="PT Astra Serif" w:hAnsi="PT Astra Serif"/>
          <w:strike/>
          <w:sz w:val="24"/>
          <w:szCs w:val="24"/>
        </w:rPr>
      </w:r>
    </w:p>
    <w:p>
      <w:pPr>
        <w:jc w:val="both"/>
        <w:spacing w:after="0" w:line="240" w:lineRule="auto"/>
        <w:tabs>
          <w:tab w:val="left" w:pos="900" w:leader="none"/>
        </w:tabs>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1. Стабилизация объемов добычи углеводородного сырья и выполнение объемов геологоразведочных работ в соответствии с принятыми проектными документами.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2. Внедрение современных технологий и освоение новых территорий для дальнейшего увеличения объемов добычи углеводородного сырья.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lang w:eastAsia="ru-RU"/>
        </w:rPr>
      </w:pPr>
      <w:r>
        <w:rPr>
          <w:rFonts w:ascii="PT Astra Serif" w:hAnsi="PT Astra Serif"/>
          <w:sz w:val="24"/>
          <w:szCs w:val="24"/>
        </w:rPr>
        <w:t xml:space="preserve">3. Реализация проекта «Палеозой».</w:t>
      </w:r>
      <w:r>
        <w:rPr>
          <w:rFonts w:ascii="PT Astra Serif" w:hAnsi="PT Astra Serif"/>
          <w:sz w:val="24"/>
          <w:szCs w:val="24"/>
          <w:lang w:eastAsia="ru-RU"/>
        </w:rPr>
        <w:t xml:space="preserve"> </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4</w:t>
      </w:r>
      <w:r>
        <w:rPr>
          <w:rFonts w:ascii="PT Astra Serif" w:hAnsi="PT Astra Serif"/>
          <w:sz w:val="24"/>
          <w:szCs w:val="24"/>
        </w:rPr>
        <w:t xml:space="preserve">. Реализация проекта АО «ТГОК «Ильменит».</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5</w:t>
      </w:r>
      <w:r>
        <w:rPr>
          <w:rFonts w:ascii="PT Astra Serif" w:hAnsi="PT Astra Serif"/>
          <w:sz w:val="24"/>
          <w:szCs w:val="24"/>
        </w:rPr>
        <w:t xml:space="preserve">. Реализация проекта «Система магистральных газопроводов «Восточная система газоснабжения».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shd w:val="clear" w:color="auto" w:fill="eaf1dd" w:themeFill="accent3" w:themeFillTint="33"/>
        <w:tabs>
          <w:tab w:val="left" w:pos="4962" w:leader="none"/>
        </w:tabs>
        <w:rPr>
          <w:rFonts w:ascii="PT Astra Serif" w:hAnsi="PT Astra Serif"/>
          <w:b/>
          <w:bCs/>
          <w:sz w:val="24"/>
          <w:szCs w:val="24"/>
        </w:rPr>
      </w:pPr>
      <w:r>
        <w:rPr>
          <w:rFonts w:ascii="PT Astra Serif" w:hAnsi="PT Astra Serif"/>
          <w:b/>
          <w:bCs/>
          <w:sz w:val="24"/>
          <w:szCs w:val="24"/>
          <w:shd w:val="clear" w:color="auto" w:fill="eaf1dd" w:themeFill="accent3" w:themeFillTint="33"/>
        </w:rPr>
        <w:t xml:space="preserve">Обрабатывающее производство</w:t>
      </w:r>
      <w:r>
        <w:rPr>
          <w:rFonts w:ascii="PT Astra Serif" w:hAnsi="PT Astra Serif"/>
          <w:b/>
          <w:bCs/>
          <w:sz w:val="24"/>
          <w:szCs w:val="24"/>
        </w:rPr>
      </w:r>
      <w:r>
        <w:rPr>
          <w:rFonts w:ascii="PT Astra Serif" w:hAnsi="PT Astra Serif"/>
          <w:b/>
          <w:bCs/>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cstheme="minorBidi"/>
          <w:sz w:val="24"/>
          <w:szCs w:val="24"/>
          <w:shd w:val="clear" w:color="auto" w:fill="ffffff"/>
        </w:rPr>
        <w:t xml:space="preserve">Обрабатывающая промышленность Томской области продемонстрировала достойные результаты: </w:t>
      </w:r>
      <w:r>
        <w:rPr>
          <w:rFonts w:ascii="PT Astra Serif" w:hAnsi="PT Astra Serif" w:cstheme="minorBidi"/>
          <w:sz w:val="24"/>
          <w:szCs w:val="24"/>
        </w:rPr>
        <w:t xml:space="preserve">индекс промышленного производства составил 106,7% </w:t>
      </w:r>
      <w:r>
        <w:rPr>
          <w:rFonts w:ascii="PT Astra Serif" w:hAnsi="PT Astra Serif"/>
          <w:sz w:val="24"/>
          <w:szCs w:val="24"/>
        </w:rPr>
        <w:t xml:space="preserve">–</w:t>
      </w:r>
      <w:r>
        <w:rPr>
          <w:rFonts w:ascii="PT Astra Serif" w:hAnsi="PT Astra Serif" w:cstheme="minorBidi"/>
          <w:sz w:val="24"/>
          <w:szCs w:val="24"/>
        </w:rPr>
        <w:t xml:space="preserve"> третье место в СФО после Новосибирской области (108,5%) и Республики Хакасия (107,1%) (Россия – 107,5%, СФО – 99,7%). </w:t>
      </w:r>
      <w:r>
        <w:rPr>
          <w:rFonts w:ascii="PT Astra Serif" w:hAnsi="PT Astra Serif" w:eastAsia="Times New Roman"/>
          <w:sz w:val="24"/>
          <w:szCs w:val="24"/>
        </w:rPr>
        <w:t xml:space="preserve">За 2023 год промышленными предприятиями Томской области отгружено товаров, выполнено работ и услуг на сумму более 600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рублей, из которых 310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рублей пришлось на обрабатывающие отрасли.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Введенные со стороны недружественных стран санкции привели к перестройке рынка, поиску новых партнеров и развитию собственных производственных возможностей. На данный момент Томская област</w:t>
      </w:r>
      <w:r>
        <w:rPr>
          <w:rFonts w:ascii="PT Astra Serif" w:hAnsi="PT Astra Serif" w:cstheme="minorBidi"/>
          <w:sz w:val="24"/>
          <w:szCs w:val="24"/>
        </w:rPr>
        <w:t xml:space="preserve">ь реализует задачи по поиску альтернативных поставщиков сырья оборудования и материалов, выстраиванию новых логистических цепочек. Прежде всего, это касается предприятий машиностроения и микроэлектроники (детали для станков, микросхемы и их комплектующие).</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sz w:val="24"/>
          <w:szCs w:val="24"/>
        </w:rPr>
        <w:t xml:space="preserve">Безусловными лидерами являются предприятия по производству машин и оборудования (130,3%), готовых металлических изделий (125,6%), компьютеров и электронных изделий (125,2%), электрического оборудования (рост 108,5%)</w:t>
      </w:r>
      <w:r>
        <w:rPr>
          <w:rFonts w:ascii="PT Astra Serif" w:hAnsi="PT Astra Serif"/>
          <w:sz w:val="24"/>
          <w:szCs w:val="24"/>
        </w:rPr>
        <w:t xml:space="preserve">.</w:t>
      </w:r>
      <w:r>
        <w:rPr>
          <w:rFonts w:ascii="PT Astra Serif" w:hAnsi="PT Astra Serif"/>
          <w:sz w:val="24"/>
          <w:szCs w:val="24"/>
        </w:rPr>
        <w:t xml:space="preserve"> В 2023 году машиностроительные производства расширились за счет политики импортозамещения и увеличения государственных заказов. </w:t>
      </w:r>
      <w:r>
        <w:rPr>
          <w:rFonts w:ascii="PT Astra Serif" w:hAnsi="PT Astra Serif" w:cstheme="minorBidi"/>
          <w:sz w:val="24"/>
          <w:szCs w:val="24"/>
        </w:rPr>
        <w:t xml:space="preserve">Кратно вырос выпуск приборов СВЧ, </w:t>
      </w:r>
      <w:r>
        <w:rPr>
          <w:rFonts w:ascii="PT Astra Serif" w:hAnsi="PT Astra Serif" w:cstheme="minorBidi"/>
          <w:sz w:val="24"/>
          <w:szCs w:val="24"/>
        </w:rPr>
        <w:t xml:space="preserve">интегральных </w:t>
      </w:r>
      <w:r>
        <w:rPr>
          <w:rFonts w:ascii="PT Astra Serif" w:hAnsi="PT Astra Serif" w:cstheme="minorBidi"/>
          <w:sz w:val="24"/>
          <w:szCs w:val="24"/>
        </w:rPr>
        <w:t xml:space="preserve">схем, коммуникационной аппаратуры, электродвигателей, многих видов кабельной продукции, специализированных электрических машин. Основные предприятия, повлиявшие на динамику: АО НПЦ «Полюс», АО</w:t>
      </w:r>
      <w:r>
        <w:rPr>
          <w:rFonts w:ascii="PT Astra Serif" w:hAnsi="PT Astra Serif" w:cstheme="minorBidi"/>
          <w:sz w:val="24"/>
          <w:szCs w:val="24"/>
        </w:rPr>
        <w:t xml:space="preserve"> «НИИ ПП», АО НПФ «Микран», АО </w:t>
      </w:r>
      <w:r>
        <w:rPr>
          <w:rFonts w:ascii="PT Astra Serif" w:hAnsi="PT Astra Serif" w:cstheme="minorBidi"/>
          <w:sz w:val="24"/>
          <w:szCs w:val="24"/>
        </w:rPr>
        <w:t xml:space="preserve">«Манотомь», ООО «ТНПВО «СИАМ», ООО «Завод ПСА «Элеси», ООО «Элком+», ООО НПП «Томская электронная компания», АО «Сибкабель», АО «ТЭТЗ», АО «ТЭМЗ».</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Положительные результаты показали отрасли металлургии (115%), лекарственных средств (106,3%), производства одежды (132,4%), полиграфия (103,3%), производства мебели (109,4%).</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shd w:val="clear" w:color="auto" w:fill="ffffff"/>
        </w:rPr>
      </w:pPr>
      <w:r>
        <w:rPr>
          <w:rFonts w:ascii="PT Astra Serif" w:hAnsi="PT Astra Serif" w:cstheme="minorBidi"/>
          <w:sz w:val="24"/>
          <w:szCs w:val="24"/>
        </w:rPr>
        <w:t xml:space="preserve">Наряду с положительной динамикой количественных показателей, региональная промышленность претерпевает качественные изменения. Так, </w:t>
      </w:r>
      <w:r>
        <w:rPr>
          <w:rFonts w:ascii="PT Astra Serif" w:hAnsi="PT Astra Serif" w:cstheme="minorBidi"/>
          <w:sz w:val="24"/>
          <w:szCs w:val="24"/>
          <w:shd w:val="clear" w:color="auto" w:fill="ffffff"/>
        </w:rPr>
        <w:t xml:space="preserve">машиностроительные предприятия работают с полной загрузкой мощностей и трудовых ресурсов. Рабочие коллективы трудятся в несколько смен. </w:t>
      </w:r>
      <w:r>
        <w:rPr>
          <w:rFonts w:ascii="PT Astra Serif" w:hAnsi="PT Astra Serif" w:cstheme="minorBidi"/>
          <w:sz w:val="24"/>
          <w:szCs w:val="24"/>
        </w:rPr>
        <w:t xml:space="preserve">Благодаря конкурентоспособной заработной плате, предприятия имеют возможность привлечь квалифицированные кадры, повысить закрепление и снизить уровень текучести персонала в организациях.</w:t>
      </w:r>
      <w:r>
        <w:rPr>
          <w:rFonts w:ascii="PT Astra Serif" w:hAnsi="PT Astra Serif" w:cstheme="minorBidi"/>
          <w:sz w:val="24"/>
          <w:szCs w:val="24"/>
          <w:shd w:val="clear" w:color="auto" w:fill="ffffff"/>
        </w:rPr>
        <w:t xml:space="preserve"> За 2023 год заработная плата на предприятиях по производству электро</w:t>
      </w:r>
      <w:r>
        <w:rPr>
          <w:rFonts w:ascii="PT Astra Serif" w:hAnsi="PT Astra Serif" w:cstheme="minorBidi"/>
          <w:sz w:val="24"/>
          <w:szCs w:val="24"/>
          <w:shd w:val="clear" w:color="auto" w:fill="ffffff"/>
        </w:rPr>
        <w:t xml:space="preserve">ники (самая высокотехнологичная отрасль региональной промышленности) превысила среднюю заработную плату по региону на 32,4%, а численность работников увеличилась к концу декабря 2023 года (по сравнению с декабрем 2022 года) на 1092 человека (или на 23,7%).</w:t>
      </w:r>
      <w:r>
        <w:rPr>
          <w:rFonts w:ascii="PT Astra Serif" w:hAnsi="PT Astra Serif" w:cstheme="minorBidi"/>
          <w:sz w:val="24"/>
          <w:szCs w:val="24"/>
          <w:shd w:val="clear" w:color="auto" w:fill="ffffff"/>
        </w:rPr>
      </w:r>
      <w:r>
        <w:rPr>
          <w:rFonts w:ascii="PT Astra Serif" w:hAnsi="PT Astra Serif" w:cstheme="minorBidi"/>
          <w:sz w:val="24"/>
          <w:szCs w:val="24"/>
          <w:shd w:val="clear" w:color="auto" w:fill="ffffff"/>
        </w:rPr>
      </w:r>
    </w:p>
    <w:p>
      <w:pPr>
        <w:ind w:firstLine="709"/>
        <w:jc w:val="both"/>
        <w:spacing w:after="0" w:line="240" w:lineRule="auto"/>
        <w:rPr>
          <w:rFonts w:ascii="PT Astra Serif" w:hAnsi="PT Astra Serif" w:cstheme="minorBidi"/>
          <w:sz w:val="24"/>
          <w:szCs w:val="24"/>
          <w:shd w:val="clear" w:color="auto" w:fill="ffffff"/>
        </w:rPr>
      </w:pPr>
      <w:r>
        <w:rPr>
          <w:rFonts w:ascii="PT Astra Serif" w:hAnsi="PT Astra Serif"/>
          <w:sz w:val="24"/>
          <w:szCs w:val="24"/>
          <w:lang w:eastAsia="ru-RU"/>
        </w:rPr>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610235</wp:posOffset>
            </wp:positionH>
            <wp:positionV relativeFrom="paragraph">
              <wp:posOffset>-82550</wp:posOffset>
            </wp:positionV>
            <wp:extent cx="5103495" cy="3210560"/>
            <wp:effectExtent l="0" t="0" r="1905" b="8890"/>
            <wp:wrapSquare wrapText="bothSides"/>
            <wp:docPr id="44"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page">
              <wp14:pctWidth>0</wp14:pctWidth>
            </wp14:sizeRelH>
            <wp14:sizeRelV relativeFrom="page">
              <wp14:pctHeight>0</wp14:pctHeight>
            </wp14:sizeRelV>
          </wp:anchor>
        </w:drawing>
      </w:r>
      <w:r>
        <w:rPr>
          <w:rFonts w:ascii="PT Astra Serif" w:hAnsi="PT Astra Serif" w:cstheme="minorBidi"/>
          <w:sz w:val="24"/>
          <w:szCs w:val="24"/>
          <w:shd w:val="clear" w:color="auto" w:fill="ffffff"/>
        </w:rPr>
      </w:r>
      <w:r>
        <w:rPr>
          <w:rFonts w:ascii="PT Astra Serif" w:hAnsi="PT Astra Serif" w:cstheme="minorBidi"/>
          <w:sz w:val="24"/>
          <w:szCs w:val="24"/>
          <w:shd w:val="clear" w:color="auto" w:fill="ffffff"/>
        </w:rPr>
      </w:r>
    </w:p>
    <w:p>
      <w:pPr>
        <w:ind w:firstLine="709"/>
        <w:jc w:val="right"/>
        <w:spacing w:after="0" w:line="240" w:lineRule="auto"/>
        <w:rPr>
          <w:rFonts w:ascii="PT Astra Serif" w:hAnsi="PT Astra Serif" w:cstheme="minorBidi"/>
          <w:b/>
          <w:sz w:val="24"/>
          <w:szCs w:val="24"/>
          <w:shd w:val="clear" w:color="auto" w:fill="ffffff"/>
        </w:rPr>
      </w:pP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p>
    <w:p>
      <w:pPr>
        <w:ind w:firstLine="709"/>
        <w:jc w:val="right"/>
        <w:spacing w:after="0" w:line="240" w:lineRule="auto"/>
        <w:rPr>
          <w:rFonts w:ascii="PT Astra Serif" w:hAnsi="PT Astra Serif" w:cstheme="minorBidi"/>
          <w:b/>
          <w:sz w:val="24"/>
          <w:szCs w:val="24"/>
          <w:shd w:val="clear" w:color="auto" w:fill="ffffff"/>
        </w:rPr>
      </w:pPr>
      <w:r>
        <w:rPr>
          <w:rFonts w:ascii="PT Astra Serif" w:hAnsi="PT Astra Serif" w:cstheme="minorBidi"/>
          <w:b/>
          <w:sz w:val="24"/>
          <w:szCs w:val="24"/>
          <w:shd w:val="clear" w:color="auto" w:fill="ffffff"/>
        </w:rPr>
        <w:t xml:space="preserve"> </w:t>
      </w: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p>
    <w:p>
      <w:pPr>
        <w:ind w:firstLine="709"/>
        <w:jc w:val="right"/>
        <w:spacing w:after="0" w:line="240" w:lineRule="auto"/>
        <w:rPr>
          <w:rFonts w:ascii="PT Astra Serif" w:hAnsi="PT Astra Serif" w:cstheme="minorBidi"/>
          <w:b/>
          <w:sz w:val="24"/>
          <w:szCs w:val="24"/>
          <w:shd w:val="clear" w:color="auto" w:fill="ffffff"/>
        </w:rPr>
      </w:pP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p>
    <w:p>
      <w:pPr>
        <w:ind w:firstLine="709"/>
        <w:jc w:val="right"/>
        <w:spacing w:after="0" w:line="240" w:lineRule="auto"/>
        <w:rPr>
          <w:rFonts w:ascii="PT Astra Serif" w:hAnsi="PT Astra Serif" w:cstheme="minorBidi"/>
          <w:b/>
          <w:sz w:val="24"/>
          <w:szCs w:val="24"/>
          <w:shd w:val="clear" w:color="auto" w:fill="ffffff"/>
        </w:rPr>
      </w:pP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p>
    <w:p>
      <w:pPr>
        <w:ind w:firstLine="709"/>
        <w:jc w:val="right"/>
        <w:spacing w:after="0" w:line="240" w:lineRule="auto"/>
        <w:rPr>
          <w:rFonts w:ascii="PT Astra Serif" w:hAnsi="PT Astra Serif" w:cstheme="minorBidi"/>
          <w:b/>
          <w:sz w:val="24"/>
          <w:szCs w:val="24"/>
          <w:shd w:val="clear" w:color="auto" w:fill="ffffff"/>
        </w:rPr>
      </w:pP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p>
    <w:p>
      <w:pPr>
        <w:ind w:firstLine="709"/>
        <w:jc w:val="right"/>
        <w:spacing w:after="0" w:line="240" w:lineRule="auto"/>
        <w:rPr>
          <w:rFonts w:ascii="PT Astra Serif" w:hAnsi="PT Astra Serif" w:cstheme="minorBidi"/>
          <w:b/>
          <w:sz w:val="24"/>
          <w:szCs w:val="24"/>
          <w:shd w:val="clear" w:color="auto" w:fill="ffffff"/>
        </w:rPr>
      </w:pP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p>
    <w:p>
      <w:pPr>
        <w:ind w:firstLine="709"/>
        <w:jc w:val="right"/>
        <w:spacing w:after="0" w:line="240" w:lineRule="auto"/>
        <w:rPr>
          <w:rFonts w:ascii="PT Astra Serif" w:hAnsi="PT Astra Serif" w:cstheme="minorBidi"/>
          <w:b/>
          <w:sz w:val="24"/>
          <w:szCs w:val="24"/>
          <w:shd w:val="clear" w:color="auto" w:fill="ffffff"/>
        </w:rPr>
      </w:pP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p>
    <w:p>
      <w:pPr>
        <w:ind w:firstLine="709"/>
        <w:jc w:val="right"/>
        <w:spacing w:after="0" w:line="240" w:lineRule="auto"/>
        <w:rPr>
          <w:rFonts w:ascii="PT Astra Serif" w:hAnsi="PT Astra Serif" w:cstheme="minorBidi"/>
          <w:b/>
          <w:sz w:val="24"/>
          <w:szCs w:val="24"/>
          <w:shd w:val="clear" w:color="auto" w:fill="ffffff"/>
        </w:rPr>
      </w:pP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p>
    <w:p>
      <w:pPr>
        <w:ind w:firstLine="709"/>
        <w:jc w:val="right"/>
        <w:spacing w:after="0" w:line="240" w:lineRule="auto"/>
        <w:rPr>
          <w:rFonts w:ascii="PT Astra Serif" w:hAnsi="PT Astra Serif" w:cstheme="minorBidi"/>
          <w:b/>
          <w:sz w:val="24"/>
          <w:szCs w:val="24"/>
          <w:shd w:val="clear" w:color="auto" w:fill="ffffff"/>
        </w:rPr>
      </w:pP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p>
    <w:p>
      <w:pPr>
        <w:ind w:firstLine="709"/>
        <w:jc w:val="right"/>
        <w:spacing w:after="0" w:line="240" w:lineRule="auto"/>
        <w:rPr>
          <w:rFonts w:ascii="PT Astra Serif" w:hAnsi="PT Astra Serif" w:cstheme="minorBidi"/>
          <w:b/>
          <w:sz w:val="24"/>
          <w:szCs w:val="24"/>
          <w:shd w:val="clear" w:color="auto" w:fill="ffffff"/>
        </w:rPr>
      </w:pP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p>
    <w:p>
      <w:pPr>
        <w:ind w:firstLine="709"/>
        <w:jc w:val="right"/>
        <w:spacing w:after="0" w:line="240" w:lineRule="auto"/>
        <w:rPr>
          <w:rFonts w:ascii="PT Astra Serif" w:hAnsi="PT Astra Serif" w:cstheme="minorBidi"/>
          <w:b/>
          <w:sz w:val="24"/>
          <w:szCs w:val="24"/>
          <w:shd w:val="clear" w:color="auto" w:fill="ffffff"/>
        </w:rPr>
      </w:pP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p>
    <w:p>
      <w:pPr>
        <w:ind w:firstLine="709"/>
        <w:jc w:val="right"/>
        <w:spacing w:after="0" w:line="240" w:lineRule="auto"/>
        <w:rPr>
          <w:rFonts w:ascii="PT Astra Serif" w:hAnsi="PT Astra Serif" w:cstheme="minorBidi"/>
          <w:b/>
          <w:sz w:val="24"/>
          <w:szCs w:val="24"/>
          <w:shd w:val="clear" w:color="auto" w:fill="ffffff"/>
        </w:rPr>
      </w:pP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p>
    <w:p>
      <w:pPr>
        <w:ind w:firstLine="709"/>
        <w:jc w:val="right"/>
        <w:spacing w:after="0" w:line="240" w:lineRule="auto"/>
        <w:rPr>
          <w:rFonts w:ascii="PT Astra Serif" w:hAnsi="PT Astra Serif" w:cstheme="minorBidi"/>
          <w:b/>
          <w:sz w:val="24"/>
          <w:szCs w:val="24"/>
          <w:shd w:val="clear" w:color="auto" w:fill="ffffff"/>
        </w:rPr>
      </w:pP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p>
    <w:p>
      <w:pPr>
        <w:ind w:firstLine="709"/>
        <w:jc w:val="right"/>
        <w:spacing w:after="0" w:line="240" w:lineRule="auto"/>
        <w:rPr>
          <w:rFonts w:ascii="PT Astra Serif" w:hAnsi="PT Astra Serif" w:cstheme="minorBidi"/>
          <w:b/>
          <w:sz w:val="24"/>
          <w:szCs w:val="24"/>
          <w:shd w:val="clear" w:color="auto" w:fill="ffffff"/>
        </w:rPr>
      </w:pP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p>
    <w:p>
      <w:pPr>
        <w:ind w:firstLine="709"/>
        <w:jc w:val="right"/>
        <w:spacing w:after="0" w:line="240" w:lineRule="auto"/>
        <w:rPr>
          <w:rFonts w:ascii="PT Astra Serif" w:hAnsi="PT Astra Serif" w:cstheme="minorBidi"/>
          <w:b/>
          <w:sz w:val="24"/>
          <w:szCs w:val="24"/>
          <w:shd w:val="clear" w:color="auto" w:fill="ffffff"/>
        </w:rPr>
      </w:pP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p>
    <w:p>
      <w:pPr>
        <w:ind w:firstLine="709"/>
        <w:jc w:val="right"/>
        <w:spacing w:after="0" w:line="240" w:lineRule="auto"/>
        <w:rPr>
          <w:rFonts w:ascii="PT Astra Serif" w:hAnsi="PT Astra Serif" w:cstheme="minorBidi"/>
          <w:b/>
          <w:sz w:val="24"/>
          <w:szCs w:val="24"/>
          <w:shd w:val="clear" w:color="auto" w:fill="ffffff"/>
        </w:rPr>
      </w:pP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r>
        <w:rPr>
          <w:rFonts w:ascii="PT Astra Serif" w:hAnsi="PT Astra Serif" w:cstheme="minorBidi"/>
          <w:b/>
          <w:sz w:val="24"/>
          <w:szCs w:val="24"/>
          <w:shd w:val="clear" w:color="auto" w:fill="ffffff"/>
        </w:rPr>
      </w:r>
    </w:p>
    <w:p>
      <w:pPr>
        <w:jc w:val="center"/>
        <w:spacing w:after="0" w:line="240" w:lineRule="auto"/>
        <w:tabs>
          <w:tab w:val="left" w:pos="4962" w:leader="none"/>
        </w:tabs>
        <w:rPr>
          <w:rFonts w:ascii="PT Astra Serif" w:hAnsi="PT Astra Serif" w:cstheme="minorBidi"/>
          <w:sz w:val="24"/>
          <w:szCs w:val="24"/>
        </w:rPr>
      </w:pPr>
      <w:r>
        <w:rPr>
          <w:rFonts w:ascii="PT Astra Serif" w:hAnsi="PT Astra Serif" w:cstheme="minorBidi"/>
          <w:sz w:val="24"/>
          <w:szCs w:val="24"/>
        </w:rPr>
      </w:r>
      <w:r>
        <w:rPr>
          <w:rFonts w:ascii="PT Astra Serif" w:hAnsi="PT Astra Serif" w:cstheme="minorBidi"/>
          <w:sz w:val="24"/>
          <w:szCs w:val="24"/>
        </w:rPr>
      </w:r>
      <w:r>
        <w:rPr>
          <w:rFonts w:ascii="PT Astra Serif" w:hAnsi="PT Astra Serif" w:cstheme="minorBidi"/>
          <w:sz w:val="24"/>
          <w:szCs w:val="24"/>
        </w:rPr>
      </w:r>
    </w:p>
    <w:p>
      <w:pPr>
        <w:jc w:val="center"/>
        <w:spacing w:after="0" w:line="240" w:lineRule="auto"/>
        <w:tabs>
          <w:tab w:val="left" w:pos="4962" w:leader="none"/>
        </w:tabs>
        <w:rPr>
          <w:rFonts w:ascii="PT Astra Serif" w:hAnsi="PT Astra Serif" w:cstheme="minorBidi"/>
          <w:sz w:val="24"/>
          <w:szCs w:val="24"/>
        </w:rPr>
      </w:pPr>
      <w:r>
        <w:rPr>
          <w:rFonts w:ascii="PT Astra Serif" w:hAnsi="PT Astra Serif" w:cstheme="minorBidi"/>
          <w:sz w:val="24"/>
          <w:szCs w:val="24"/>
        </w:rPr>
        <w:t xml:space="preserve">Рисунок </w:t>
      </w:r>
      <w:r>
        <w:rPr>
          <w:rFonts w:ascii="PT Astra Serif" w:hAnsi="PT Astra Serif" w:cstheme="minorBidi"/>
          <w:sz w:val="24"/>
          <w:szCs w:val="24"/>
        </w:rPr>
        <w:t xml:space="preserve">8</w:t>
      </w:r>
      <w:r>
        <w:rPr>
          <w:rFonts w:ascii="PT Astra Serif" w:hAnsi="PT Astra Serif" w:cstheme="minorBidi"/>
          <w:sz w:val="24"/>
          <w:szCs w:val="24"/>
        </w:rPr>
        <w:t xml:space="preserve"> – Структура обрабатывающего производства в 2023 году</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sz w:val="24"/>
          <w:szCs w:val="24"/>
        </w:rPr>
        <w:t xml:space="preserve">Традиционно более третьей части всего промышленного производства региона приходится на </w:t>
      </w:r>
      <w:r>
        <w:rPr>
          <w:rFonts w:ascii="PT Astra Serif" w:hAnsi="PT Astra Serif"/>
          <w:b/>
          <w:sz w:val="24"/>
          <w:szCs w:val="24"/>
        </w:rPr>
        <w:t xml:space="preserve">нефтехимический комплекс</w:t>
      </w:r>
      <w:r>
        <w:rPr>
          <w:rFonts w:ascii="PT Astra Serif" w:hAnsi="PT Astra Serif"/>
          <w:sz w:val="24"/>
          <w:szCs w:val="24"/>
        </w:rPr>
        <w:t xml:space="preserve">. По итогам года рост производства нефтепродуктов составил 109,9%, химических веществ и продуктов – 105,2%.</w:t>
      </w:r>
      <w:r>
        <w:rPr>
          <w:rFonts w:ascii="PT Astra Serif" w:hAnsi="PT Astra Serif" w:eastAsia="PT Astra Serif" w:cs="PT Astra Serif"/>
          <w:sz w:val="24"/>
          <w:szCs w:val="24"/>
        </w:rPr>
        <w:t xml:space="preserve"> В 2023 году </w:t>
      </w:r>
      <w:r>
        <w:rPr>
          <w:rFonts w:ascii="PT Astra Serif" w:hAnsi="PT Astra Serif" w:eastAsia="PT Astra Serif" w:cs="PT Astra Serif"/>
          <w:sz w:val="24"/>
          <w:szCs w:val="24"/>
        </w:rPr>
        <w:t xml:space="preserve">ООО </w:t>
      </w:r>
      <w:r>
        <w:rPr>
          <w:rFonts w:ascii="PT Astra Serif" w:hAnsi="PT Astra Serif" w:eastAsia="PT Astra Serif" w:cs="PT Astra Serif"/>
          <w:sz w:val="24"/>
          <w:szCs w:val="24"/>
        </w:rPr>
        <w:t xml:space="preserve">«Томскнефтехим» выпустило рекордные объемы полимеров за весь период работы площадки. Объем производства полиэтилена и полипропилена в 2023 году составил 444 тыс. тонн суммарно. </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Развитие химии и нефтехимии всегда было одним из стратегических приоритетов социально-экономического развития региона. Взаимовыгодное партн</w:t>
      </w:r>
      <w:r>
        <w:rPr>
          <w:rFonts w:ascii="PT Astra Serif" w:hAnsi="PT Astra Serif" w:cstheme="minorBidi"/>
          <w:sz w:val="24"/>
          <w:szCs w:val="24"/>
        </w:rPr>
        <w:t xml:space="preserve">е</w:t>
      </w:r>
      <w:r>
        <w:rPr>
          <w:rFonts w:ascii="PT Astra Serif" w:hAnsi="PT Astra Serif" w:cstheme="minorBidi"/>
          <w:sz w:val="24"/>
          <w:szCs w:val="24"/>
        </w:rPr>
        <w:t xml:space="preserve">рство таких предприятий</w:t>
      </w:r>
      <w:r>
        <w:rPr>
          <w:rFonts w:ascii="PT Astra Serif" w:hAnsi="PT Astra Serif" w:cstheme="minorBidi"/>
          <w:sz w:val="24"/>
          <w:szCs w:val="24"/>
        </w:rPr>
        <w:t xml:space="preserve">,</w:t>
      </w:r>
      <w:r>
        <w:rPr>
          <w:rFonts w:ascii="PT Astra Serif" w:hAnsi="PT Astra Serif" w:cstheme="minorBidi"/>
          <w:sz w:val="24"/>
          <w:szCs w:val="24"/>
        </w:rPr>
        <w:t xml:space="preserve"> как ОАО «СХК», ООО «Томскнефтехим», ООО «НОВОХИМ»</w:t>
      </w:r>
      <w:r>
        <w:rPr>
          <w:rFonts w:ascii="PT Astra Serif" w:hAnsi="PT Astra Serif" w:cstheme="minorBidi"/>
          <w:sz w:val="24"/>
          <w:szCs w:val="24"/>
        </w:rPr>
        <w:t xml:space="preserve">, ООО «Инжиниринговый химико-технологический центр» обусловило создание химического кластера федерального значения, что позволит в короткие сроки создать новые импортозамещающие производства, заняв свободные рынки химической промышленности по всей стране. </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b/>
          <w:sz w:val="24"/>
          <w:szCs w:val="24"/>
        </w:rPr>
        <w:t xml:space="preserve">Пищевая отрасль</w:t>
      </w:r>
      <w:r>
        <w:rPr>
          <w:rFonts w:ascii="PT Astra Serif" w:hAnsi="PT Astra Serif" w:cstheme="minorBidi"/>
          <w:sz w:val="24"/>
          <w:szCs w:val="24"/>
        </w:rPr>
        <w:t xml:space="preserve"> показала рост в 2023 году </w:t>
      </w:r>
      <w:r>
        <w:rPr>
          <w:rFonts w:ascii="PT Astra Serif" w:hAnsi="PT Astra Serif" w:cstheme="minorBidi"/>
          <w:sz w:val="24"/>
          <w:szCs w:val="24"/>
        </w:rPr>
        <w:t xml:space="preserve">– </w:t>
      </w:r>
      <w:r>
        <w:rPr>
          <w:rFonts w:ascii="PT Astra Serif" w:hAnsi="PT Astra Serif" w:cstheme="minorBidi"/>
          <w:sz w:val="24"/>
          <w:szCs w:val="24"/>
        </w:rPr>
        <w:t xml:space="preserve">10</w:t>
      </w:r>
      <w:r>
        <w:rPr>
          <w:rFonts w:ascii="PT Astra Serif" w:hAnsi="PT Astra Serif" w:cstheme="minorBidi"/>
          <w:sz w:val="24"/>
          <w:szCs w:val="24"/>
        </w:rPr>
        <w:t xml:space="preserve">5</w:t>
      </w:r>
      <w:r>
        <w:rPr>
          <w:rFonts w:ascii="PT Astra Serif" w:hAnsi="PT Astra Serif" w:cstheme="minorBidi"/>
          <w:sz w:val="24"/>
          <w:szCs w:val="24"/>
        </w:rPr>
        <w:t xml:space="preserve">,</w:t>
      </w:r>
      <w:r>
        <w:rPr>
          <w:rFonts w:ascii="PT Astra Serif" w:hAnsi="PT Astra Serif" w:cstheme="minorBidi"/>
          <w:sz w:val="24"/>
          <w:szCs w:val="24"/>
        </w:rPr>
        <w:t xml:space="preserve">8</w:t>
      </w:r>
      <w:r>
        <w:rPr>
          <w:rFonts w:ascii="PT Astra Serif" w:hAnsi="PT Astra Serif" w:cstheme="minorBidi"/>
          <w:sz w:val="24"/>
          <w:szCs w:val="24"/>
        </w:rPr>
        <w:t xml:space="preserve">%, </w:t>
      </w:r>
      <w:r>
        <w:rPr>
          <w:rFonts w:ascii="PT Astra Serif" w:hAnsi="PT Astra Serif" w:cstheme="minorBidi"/>
          <w:b/>
          <w:sz w:val="24"/>
          <w:szCs w:val="24"/>
        </w:rPr>
        <w:t xml:space="preserve">напитки</w:t>
      </w:r>
      <w:r>
        <w:rPr>
          <w:rFonts w:ascii="PT Astra Serif" w:hAnsi="PT Astra Serif" w:cstheme="minorBidi"/>
          <w:sz w:val="24"/>
          <w:szCs w:val="24"/>
        </w:rPr>
        <w:t xml:space="preserve"> – 102,9%.</w:t>
      </w:r>
      <w:r>
        <w:rPr>
          <w:rFonts w:ascii="PT Astra Serif" w:hAnsi="PT Astra Serif"/>
          <w:sz w:val="24"/>
          <w:szCs w:val="24"/>
        </w:rPr>
        <w:t xml:space="preserve"> </w:t>
      </w:r>
      <w:r>
        <w:rPr>
          <w:rFonts w:ascii="PT Astra Serif" w:hAnsi="PT Astra Serif" w:cstheme="minorBidi"/>
          <w:sz w:val="24"/>
          <w:szCs w:val="24"/>
        </w:rPr>
        <w:t xml:space="preserve">Главными трендами 2023 года </w:t>
      </w:r>
      <w:r>
        <w:rPr>
          <w:rFonts w:ascii="PT Astra Serif" w:hAnsi="PT Astra Serif" w:cstheme="minorBidi"/>
          <w:sz w:val="24"/>
          <w:szCs w:val="24"/>
        </w:rPr>
        <w:t xml:space="preserve">стали повышение качества управления цепочками поставок, налаживание логистических процессов, трансформация ассортимента с учетом изменений покупательского поведения. Ввиду ухода зарубежных брендов в приоритете стали локальные производители, развитие онлайн</w:t>
      </w:r>
      <w:r>
        <w:rPr>
          <w:rFonts w:ascii="PT Astra Serif" w:hAnsi="PT Astra Serif" w:cstheme="minorBidi"/>
          <w:sz w:val="24"/>
          <w:szCs w:val="24"/>
        </w:rPr>
        <w:t xml:space="preserve">-</w:t>
      </w:r>
      <w:r>
        <w:rPr>
          <w:rFonts w:ascii="PT Astra Serif" w:hAnsi="PT Astra Serif" w:cstheme="minorBidi"/>
          <w:sz w:val="24"/>
          <w:szCs w:val="24"/>
        </w:rPr>
        <w:t xml:space="preserve">продаж, рост доли собственных торговых марок. Особое внимание уделялось поддержке сбыта продукции местных товаропроизводителей, популяризации томских предприятий в сфере пищевого производства.</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В 2023 году реализовывались следующие перспективные проекты: </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w:t>
      </w:r>
      <w:r>
        <w:rPr>
          <w:rFonts w:ascii="PT Astra Serif" w:hAnsi="PT Astra Serif" w:cstheme="minorBidi"/>
          <w:sz w:val="24"/>
          <w:szCs w:val="24"/>
        </w:rPr>
        <w:t xml:space="preserve"> ООО «Солагифт» провел модернизацию биотехнологического завода  с целью расширения ассортимента выпускаемой продукции для пищевой и фармацевтической промышленности, косметическо</w:t>
      </w:r>
      <w:r>
        <w:rPr>
          <w:rFonts w:ascii="PT Astra Serif" w:hAnsi="PT Astra Serif" w:cstheme="minorBidi"/>
          <w:sz w:val="24"/>
          <w:szCs w:val="24"/>
        </w:rPr>
        <w:t xml:space="preserve">й отрасли и сельского хозяйства;</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w:t>
      </w:r>
      <w:r>
        <w:rPr>
          <w:rFonts w:ascii="PT Astra Serif" w:hAnsi="PT Astra Serif" w:cstheme="minorBidi"/>
          <w:sz w:val="24"/>
          <w:szCs w:val="24"/>
        </w:rPr>
        <w:t xml:space="preserve"> ООО «Компания Эскимос» продолжила модернизацию действующего производства в рамках реализации программы комплексного развития «Качество бизнеса» (V очередь);</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w:t>
      </w:r>
      <w:r>
        <w:rPr>
          <w:rFonts w:ascii="PT Astra Serif" w:hAnsi="PT Astra Serif" w:cstheme="minorBidi"/>
          <w:sz w:val="24"/>
          <w:szCs w:val="24"/>
        </w:rPr>
        <w:t xml:space="preserve"> ООО «Деревенское молочко» осуществляло строительство нового цеха по  производству</w:t>
      </w:r>
      <w:r>
        <w:rPr>
          <w:rFonts w:ascii="PT Astra Serif" w:hAnsi="PT Astra Serif" w:cstheme="minorBidi"/>
          <w:sz w:val="24"/>
          <w:szCs w:val="24"/>
        </w:rPr>
        <w:t xml:space="preserve"> сметаны и молока в пэт-бутылке;</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w:t>
      </w:r>
      <w:r>
        <w:rPr>
          <w:rFonts w:ascii="PT Astra Serif" w:hAnsi="PT Astra Serif" w:cstheme="minorBidi"/>
          <w:sz w:val="24"/>
          <w:szCs w:val="24"/>
        </w:rPr>
        <w:t xml:space="preserve"> ООО «Эко-фабрика Сибирский кедр» реализует проект модернизации производства продукции с использованием дикорастущего пищевого сырья;</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w:t>
      </w:r>
      <w:r>
        <w:rPr>
          <w:rFonts w:ascii="PT Astra Serif" w:hAnsi="PT Astra Serif" w:cstheme="minorBidi"/>
          <w:sz w:val="24"/>
          <w:szCs w:val="24"/>
        </w:rPr>
        <w:t xml:space="preserve"> ООО ТПК «САВА» работало над проектом по организации производства новой продукции на основе очищенной ягоды; </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w:t>
      </w:r>
      <w:r>
        <w:rPr>
          <w:rFonts w:ascii="PT Astra Serif" w:hAnsi="PT Astra Serif" w:cstheme="minorBidi"/>
          <w:sz w:val="24"/>
          <w:szCs w:val="24"/>
        </w:rPr>
        <w:t xml:space="preserve"> ООО «Сибирская Олива» продолжает реализацию проекта по расширению комплекса по приемке, хранению и переработке мас</w:t>
      </w:r>
      <w:r>
        <w:rPr>
          <w:rFonts w:ascii="PT Astra Serif" w:hAnsi="PT Astra Serif" w:cstheme="minorBidi"/>
          <w:sz w:val="24"/>
          <w:szCs w:val="24"/>
        </w:rPr>
        <w:t xml:space="preserve">леничных и зерновых культур;</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 </w:t>
      </w:r>
      <w:r>
        <w:rPr>
          <w:rFonts w:ascii="PT Astra Serif" w:hAnsi="PT Astra Serif" w:cstheme="minorBidi"/>
          <w:sz w:val="24"/>
          <w:szCs w:val="24"/>
        </w:rPr>
        <w:t xml:space="preserve">ООО «Биолит» реализует в ОЭЗ ТВТ проект по производству и реализации биологически активных добавок к пище из отечественного растительного сырья;</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w:t>
      </w:r>
      <w:r>
        <w:rPr>
          <w:rFonts w:ascii="PT Astra Serif" w:hAnsi="PT Astra Serif" w:cstheme="minorBidi"/>
          <w:sz w:val="24"/>
          <w:szCs w:val="24"/>
        </w:rPr>
        <w:t xml:space="preserve"> ООО «Артлайф» ведет разработку заквасок для молочной промышленности.</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b/>
          <w:sz w:val="24"/>
          <w:szCs w:val="24"/>
        </w:rPr>
        <w:t xml:space="preserve">Деревообрабатывающая отрасль</w:t>
      </w:r>
      <w:r>
        <w:rPr>
          <w:rFonts w:ascii="PT Astra Serif" w:hAnsi="PT Astra Serif" w:cstheme="minorBidi"/>
          <w:sz w:val="24"/>
          <w:szCs w:val="24"/>
        </w:rPr>
        <w:t xml:space="preserve"> демонстрировала последние годы существенный рост (137,4% в 2019 году, 131,2% в 2021 году, 103,8% в 2022 году), за исключением 2020 года в перио</w:t>
      </w:r>
      <w:r>
        <w:rPr>
          <w:rFonts w:ascii="PT Astra Serif" w:hAnsi="PT Astra Serif" w:cstheme="minorBidi"/>
          <w:sz w:val="24"/>
          <w:szCs w:val="24"/>
        </w:rPr>
        <w:t xml:space="preserve">д карантинных ограничений и 2023 года из-за сложностей впоследствии санкций – снижение на 8,2%. В связи с ограничениями транзита экспортных поставок через Казахстан, падения спроса из-за перенасыщения среднеазиатских рынков сокращено производство ДВП, шпон</w:t>
      </w:r>
      <w:r>
        <w:rPr>
          <w:rFonts w:ascii="PT Astra Serif" w:hAnsi="PT Astra Serif" w:cstheme="minorBidi"/>
          <w:sz w:val="24"/>
          <w:szCs w:val="24"/>
        </w:rPr>
        <w:t xml:space="preserve">а, пиломатериалов. Вместе с тем</w:t>
      </w:r>
      <w:r>
        <w:rPr>
          <w:rFonts w:ascii="PT Astra Serif" w:hAnsi="PT Astra Serif" w:cstheme="minorBidi"/>
          <w:sz w:val="24"/>
          <w:szCs w:val="24"/>
        </w:rPr>
        <w:t xml:space="preserve"> увеличены объемы производства ДСП на 8,4%, появилось производство ОСБ на базе ООО «Монолит-Строй», ориентированного на рынок древесной продукции в России и снижени</w:t>
      </w:r>
      <w:r>
        <w:rPr>
          <w:rFonts w:ascii="PT Astra Serif" w:hAnsi="PT Astra Serif" w:cstheme="minorBidi"/>
          <w:sz w:val="24"/>
          <w:szCs w:val="24"/>
        </w:rPr>
        <w:t xml:space="preserve">е</w:t>
      </w:r>
      <w:r>
        <w:rPr>
          <w:rFonts w:ascii="PT Astra Serif" w:hAnsi="PT Astra Serif" w:cstheme="minorBidi"/>
          <w:sz w:val="24"/>
          <w:szCs w:val="24"/>
        </w:rPr>
        <w:t xml:space="preserve"> зависимости от внешних рынков.</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Участниками кластера «Лес, лесопереработка и лесохимия» являются ООО «Монолит-Строй», ООО «Альянс», ООО «Технострой». Конечной продукцией кластера является выпуск деревянных домокомплектов, а в пе</w:t>
      </w:r>
      <w:r>
        <w:rPr>
          <w:rFonts w:ascii="PT Astra Serif" w:hAnsi="PT Astra Serif"/>
          <w:sz w:val="24"/>
          <w:szCs w:val="24"/>
        </w:rPr>
        <w:t xml:space="preserve">рспективе – производство мебели, развитие целлюлозно-бумажного производства. Продукция кластера позволит сократить сроки строительства, что особенно важно для развития новых территорий, а также для устранения последствий стихийных бедствий по всей стране.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В отрасли реализуются крупнейшие проекты в области освоения лесов, включенные Минпромторгом России в перечень приоритетных</w:t>
      </w:r>
      <w:r>
        <w:rPr>
          <w:rFonts w:ascii="PT Astra Serif" w:hAnsi="PT Astra Serif"/>
          <w:sz w:val="24"/>
          <w:szCs w:val="24"/>
        </w:rPr>
        <w:t xml:space="preserve"> проектов </w:t>
      </w:r>
      <w:r>
        <w:rPr>
          <w:rFonts w:ascii="PT Astra Serif" w:hAnsi="PT Astra Serif" w:cstheme="minorBidi"/>
          <w:sz w:val="24"/>
          <w:szCs w:val="24"/>
        </w:rPr>
        <w:t xml:space="preserve">для ускоренного развития Сибири:</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w:t>
      </w:r>
      <w:r>
        <w:rPr>
          <w:rFonts w:ascii="PT Astra Serif" w:hAnsi="PT Astra Serif" w:cstheme="minorBidi"/>
          <w:sz w:val="24"/>
          <w:szCs w:val="24"/>
        </w:rPr>
        <w:t xml:space="preserve"> «Создание лесозаго</w:t>
      </w:r>
      <w:r>
        <w:rPr>
          <w:rFonts w:ascii="PT Astra Serif" w:hAnsi="PT Astra Serif" w:cstheme="minorBidi"/>
          <w:sz w:val="24"/>
          <w:szCs w:val="24"/>
        </w:rPr>
        <w:t xml:space="preserve">товительной инфраструктуры для освоения труднодоступных лесных территорий в Александровском и Каргасокском районах Томской области. Создание мощностей по комплексной переработке древесины в с. Красный Яр Кривошеинского района Томской области», реализуемый </w:t>
      </w:r>
      <w:r>
        <w:rPr>
          <w:rFonts w:ascii="PT Astra Serif" w:hAnsi="PT Astra Serif"/>
          <w:sz w:val="24"/>
          <w:szCs w:val="24"/>
        </w:rPr>
        <w:t xml:space="preserve"> </w:t>
      </w:r>
      <w:r>
        <w:rPr>
          <w:rFonts w:ascii="PT Astra Serif" w:hAnsi="PT Astra Serif" w:cstheme="minorBidi"/>
          <w:sz w:val="24"/>
          <w:szCs w:val="24"/>
        </w:rPr>
        <w:t xml:space="preserve">ООО «Лес-Экспорт»;</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w:t>
      </w:r>
      <w:r>
        <w:rPr>
          <w:rFonts w:ascii="PT Astra Serif" w:hAnsi="PT Astra Serif" w:cstheme="minorBidi"/>
          <w:sz w:val="24"/>
          <w:szCs w:val="24"/>
        </w:rPr>
        <w:t xml:space="preserve"> «Расширение производственных мощностей деревообрабатывающего предприятия ООО «Сибирьлес» по выпуску экспортно ориентированной лесопромышленной продукци</w:t>
      </w:r>
      <w:r>
        <w:rPr>
          <w:rFonts w:ascii="PT Astra Serif" w:hAnsi="PT Astra Serif" w:cstheme="minorBidi"/>
          <w:sz w:val="24"/>
          <w:szCs w:val="24"/>
        </w:rPr>
        <w:t xml:space="preserve">и», реализуемый ООО «Сибирьлес»;</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w:t>
      </w:r>
      <w:r>
        <w:rPr>
          <w:rFonts w:ascii="PT Astra Serif" w:hAnsi="PT Astra Serif" w:cstheme="minorBidi"/>
          <w:sz w:val="24"/>
          <w:szCs w:val="24"/>
        </w:rPr>
        <w:t xml:space="preserve"> «Строительство завода по производству плит OSB (плита с ориентированной плоской стружкой), реализуемый ООО «Монолит-строй».</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r>
      <w:r>
        <w:rPr>
          <w:rFonts w:ascii="PT Astra Serif" w:hAnsi="PT Astra Serif" w:cstheme="minorBidi"/>
          <w:sz w:val="24"/>
          <w:szCs w:val="24"/>
        </w:rPr>
      </w:r>
      <w:r>
        <w:rPr>
          <w:rFonts w:ascii="PT Astra Serif" w:hAnsi="PT Astra Serif" w:cstheme="minorBidi"/>
          <w:sz w:val="24"/>
          <w:szCs w:val="24"/>
        </w:rPr>
      </w:r>
    </w:p>
    <w:p>
      <w:pPr>
        <w:jc w:val="both"/>
        <w:spacing w:after="0" w:line="240" w:lineRule="auto"/>
        <w:tabs>
          <w:tab w:val="left" w:pos="900" w:leader="none"/>
        </w:tabs>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1. Содействие реализации новых инвестиционных проектов в промышленности, в том числе с привлечением средств из федерального бюджета и Фонда развития промышленности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2. Стимулирование спроса на томскую продукцию, в том числе импортозамещающую, используя механизмы взаимодействия с крупными холдингами в целях выработки новых направлений для развития поставок и сотрудничества.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3. Содействие развитию межрегионального и международного сотрудничества промышленных предприятий Томской области, организация и участие коллективных экспозиций томской промышленности в выставках с целью ее продвижения на новые рынки.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4. Продолжение реализации проекта «Строительство опытно-демонстрационного энергокомплекса в составе энергоблока с реактором на быстрых нейтронах со свинцовым теплоносителем «БРЕСТ-ОД-300» с пристанционным ядерным топливным циклом».</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eastAsia="Times New Roman"/>
          <w:b/>
          <w:sz w:val="24"/>
          <w:szCs w:val="24"/>
        </w:rPr>
      </w:pPr>
      <w:r>
        <w:rPr>
          <w:rFonts w:ascii="PT Astra Serif" w:hAnsi="PT Astra Serif" w:eastAsia="Times New Roman"/>
          <w:b/>
          <w:sz w:val="24"/>
          <w:szCs w:val="24"/>
          <w:shd w:val="clear" w:color="auto" w:fill="eaf1dd" w:themeFill="accent3" w:themeFillTint="33"/>
        </w:rPr>
        <w:t xml:space="preserve">Производство и распределение электроэнергии, газа и воды</w:t>
      </w:r>
      <w:r>
        <w:rPr>
          <w:rFonts w:ascii="PT Astra Serif" w:hAnsi="PT Astra Serif" w:eastAsia="Times New Roman"/>
          <w:b/>
          <w:sz w:val="24"/>
          <w:szCs w:val="24"/>
        </w:rPr>
      </w:r>
      <w:r>
        <w:rPr>
          <w:rFonts w:ascii="PT Astra Serif" w:hAnsi="PT Astra Serif" w:eastAsia="Times New Roman"/>
          <w:b/>
          <w:sz w:val="24"/>
          <w:szCs w:val="24"/>
        </w:rPr>
      </w:r>
    </w:p>
    <w:p>
      <w:pPr>
        <w:pStyle w:val="1148"/>
        <w:ind w:firstLine="709"/>
        <w:jc w:val="both"/>
        <w:spacing w:line="240" w:lineRule="auto"/>
        <w:rPr>
          <w:rFonts w:ascii="PT Astra Serif" w:hAnsi="PT Astra Serif"/>
        </w:rPr>
      </w:pPr>
      <w:r>
        <w:rPr>
          <w:rFonts w:ascii="PT Astra Serif" w:hAnsi="PT Astra Serif" w:eastAsia="Calibri"/>
        </w:rPr>
        <w:t xml:space="preserve">За 2023 год индекс промышленного производства в секторе энергетики составил 99,6%.</w:t>
      </w:r>
      <w:r>
        <w:rPr>
          <w:rFonts w:ascii="PT Astra Serif" w:hAnsi="PT Astra Serif"/>
        </w:rPr>
        <w:t xml:space="preserve">  При этом увеличено производство электроэнергии на 2,7% в связи с ежемесячной плановой установкой Кемеровским региональным Диспетчерским управлением режима работы по определению нагрузок АО «РИР» (ТЭЦ АО «СХК») и АО «Томская генерация». </w:t>
      </w:r>
      <w:r>
        <w:rPr>
          <w:rFonts w:ascii="PT Astra Serif" w:hAnsi="PT Astra Serif"/>
        </w:rPr>
      </w:r>
      <w:r>
        <w:rPr>
          <w:rFonts w:ascii="PT Astra Serif" w:hAnsi="PT Astra Serif"/>
        </w:rPr>
      </w:r>
    </w:p>
    <w:p>
      <w:pPr>
        <w:ind w:firstLine="709"/>
        <w:jc w:val="both"/>
        <w:spacing w:after="0" w:line="240" w:lineRule="auto"/>
        <w:rPr>
          <w:rFonts w:ascii="PT Astra Serif" w:hAnsi="PT Astra Serif" w:cstheme="minorBidi"/>
          <w:strike/>
          <w:sz w:val="24"/>
          <w:szCs w:val="24"/>
        </w:rPr>
      </w:pPr>
      <w:r>
        <w:rPr>
          <w:rFonts w:ascii="PT Astra Serif" w:hAnsi="PT Astra Serif"/>
          <w:sz w:val="24"/>
          <w:szCs w:val="24"/>
          <w:lang w:eastAsia="ru-RU"/>
        </w:rPr>
        <w:drawing>
          <wp:anchor xmlns:wp="http://schemas.openxmlformats.org/drawingml/2006/wordprocessingDrawing" xmlns:wp14="http://schemas.microsoft.com/office/word/2010/wordprocessingDrawing" distT="0" distB="0" distL="114300" distR="114300" simplePos="0" relativeHeight="251771904" behindDoc="0" locked="0" layoutInCell="1" allowOverlap="1">
            <wp:simplePos x="0" y="0"/>
            <wp:positionH relativeFrom="column">
              <wp:posOffset>7620</wp:posOffset>
            </wp:positionH>
            <wp:positionV relativeFrom="paragraph">
              <wp:posOffset>-58420</wp:posOffset>
            </wp:positionV>
            <wp:extent cx="2838450" cy="1775460"/>
            <wp:effectExtent l="0" t="0" r="0" b="0"/>
            <wp:wrapSquare wrapText="bothSides"/>
            <wp:docPr id="45" name="Диаграмма 240"/>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page">
              <wp14:pctWidth>0</wp14:pctWidth>
            </wp14:sizeRelH>
            <wp14:sizeRelV relativeFrom="page">
              <wp14:pctHeight>0</wp14:pctHeight>
            </wp14:sizeRelV>
          </wp:anchor>
        </w:drawing>
      </w:r>
      <w:r>
        <w:rPr>
          <w:rFonts w:ascii="PT Astra Serif" w:hAnsi="PT Astra Serif" w:cstheme="minorBidi"/>
          <w:sz w:val="24"/>
          <w:szCs w:val="24"/>
        </w:rPr>
        <w:t xml:space="preserve">Снижено производство пара и горячей воды на 4,3% в связи с более высокой температурой воздуха в 2023 году.</w:t>
      </w:r>
      <w:r>
        <w:rPr>
          <w:rFonts w:ascii="PT Astra Serif" w:hAnsi="PT Astra Serif" w:cstheme="minorBidi"/>
          <w:strike/>
          <w:sz w:val="24"/>
          <w:szCs w:val="24"/>
        </w:rPr>
      </w:r>
      <w:r>
        <w:rPr>
          <w:rFonts w:ascii="PT Astra Serif" w:hAnsi="PT Astra Serif" w:cstheme="minorBidi"/>
          <w:strike/>
          <w:sz w:val="24"/>
          <w:szCs w:val="24"/>
        </w:rPr>
      </w:r>
    </w:p>
    <w:p>
      <w:pPr>
        <w:jc w:val="both"/>
        <w:spacing w:after="0" w:line="240" w:lineRule="auto"/>
        <w:tabs>
          <w:tab w:val="left" w:pos="851" w:leader="none"/>
          <w:tab w:val="left" w:pos="4962" w:leader="none"/>
        </w:tabs>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jc w:val="both"/>
        <w:spacing w:after="0" w:line="240" w:lineRule="auto"/>
        <w:tabs>
          <w:tab w:val="left" w:pos="851" w:leader="none"/>
          <w:tab w:val="left" w:pos="4962" w:leader="none"/>
        </w:tabs>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jc w:val="both"/>
        <w:spacing w:after="0" w:line="240" w:lineRule="auto"/>
        <w:tabs>
          <w:tab w:val="left" w:pos="851" w:leader="none"/>
          <w:tab w:val="left" w:pos="4962" w:leader="none"/>
        </w:tabs>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jc w:val="both"/>
        <w:spacing w:after="0" w:line="240" w:lineRule="auto"/>
        <w:tabs>
          <w:tab w:val="left" w:pos="851" w:leader="none"/>
          <w:tab w:val="left" w:pos="4962" w:leader="none"/>
        </w:tabs>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jc w:val="both"/>
        <w:spacing w:after="0" w:line="240" w:lineRule="auto"/>
        <w:tabs>
          <w:tab w:val="left" w:pos="851" w:leader="none"/>
          <w:tab w:val="left" w:pos="4962" w:leader="none"/>
        </w:tabs>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jc w:val="both"/>
        <w:spacing w:after="0" w:line="240" w:lineRule="auto"/>
        <w:tabs>
          <w:tab w:val="left" w:pos="851" w:leader="none"/>
          <w:tab w:val="left" w:pos="4962" w:leader="none"/>
        </w:tabs>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jc w:val="both"/>
        <w:spacing w:after="0" w:line="240" w:lineRule="auto"/>
        <w:tabs>
          <w:tab w:val="left" w:pos="851" w:leader="none"/>
          <w:tab w:val="left" w:pos="4962" w:leader="none"/>
        </w:tabs>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jc w:val="both"/>
        <w:spacing w:after="0" w:line="240" w:lineRule="auto"/>
        <w:tabs>
          <w:tab w:val="left" w:pos="851" w:leader="none"/>
          <w:tab w:val="left" w:pos="4962" w:leader="none"/>
        </w:tabs>
        <w:rPr>
          <w:rFonts w:ascii="PT Astra Serif" w:hAnsi="PT Astra Serif" w:eastAsia="Calibri"/>
          <w:sz w:val="24"/>
          <w:szCs w:val="24"/>
        </w:rPr>
      </w:pPr>
      <w:r>
        <w:rPr>
          <w:rFonts w:ascii="PT Astra Serif" w:hAnsi="PT Astra Serif" w:eastAsia="Calibri"/>
          <w:sz w:val="24"/>
          <w:szCs w:val="24"/>
        </w:rPr>
        <w:t xml:space="preserve">Рисунок </w:t>
      </w:r>
      <w:r>
        <w:rPr>
          <w:rFonts w:ascii="PT Astra Serif" w:hAnsi="PT Astra Serif" w:eastAsia="Calibri"/>
          <w:sz w:val="24"/>
          <w:szCs w:val="24"/>
        </w:rPr>
        <w:t xml:space="preserve">9</w:t>
      </w:r>
      <w:r>
        <w:rPr>
          <w:rFonts w:ascii="PT Astra Serif" w:hAnsi="PT Astra Serif" w:eastAsia="Calibri"/>
          <w:sz w:val="24"/>
          <w:szCs w:val="24"/>
        </w:rPr>
        <w:t xml:space="preserve"> – </w:t>
      </w:r>
      <w:r>
        <w:rPr>
          <w:rFonts w:ascii="PT Astra Serif" w:hAnsi="PT Astra Serif" w:eastAsia="Calibri"/>
          <w:sz w:val="24"/>
          <w:szCs w:val="24"/>
        </w:rPr>
        <w:t xml:space="preserve">Структура сектора энергетики</w:t>
      </w:r>
      <w:r>
        <w:rPr>
          <w:rFonts w:ascii="PT Astra Serif" w:hAnsi="PT Astra Serif" w:eastAsia="Calibri"/>
          <w:sz w:val="24"/>
          <w:szCs w:val="24"/>
        </w:rPr>
        <w:t xml:space="preserve">,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П</w:t>
      </w:r>
      <w:r>
        <w:rPr>
          <w:rFonts w:ascii="PT Astra Serif" w:hAnsi="PT Astra Serif" w:cstheme="minorBidi"/>
          <w:sz w:val="24"/>
          <w:szCs w:val="24"/>
        </w:rPr>
        <w:t xml:space="preserve">о данным ведомственной статистики</w:t>
      </w:r>
      <w:r>
        <w:rPr>
          <w:rFonts w:ascii="PT Astra Serif" w:hAnsi="PT Astra Serif" w:cstheme="minorBidi"/>
          <w:sz w:val="24"/>
          <w:szCs w:val="24"/>
        </w:rPr>
        <w:t xml:space="preserve">,</w:t>
      </w:r>
      <w:r>
        <w:rPr>
          <w:rFonts w:ascii="PT Astra Serif" w:hAnsi="PT Astra Serif" w:cstheme="minorBidi"/>
          <w:sz w:val="24"/>
          <w:szCs w:val="24"/>
        </w:rPr>
        <w:t xml:space="preserve"> с</w:t>
      </w:r>
      <w:r>
        <w:rPr>
          <w:rFonts w:ascii="PT Astra Serif" w:hAnsi="PT Astra Serif" w:cstheme="minorBidi"/>
          <w:sz w:val="24"/>
          <w:szCs w:val="24"/>
        </w:rPr>
        <w:t xml:space="preserve">обственная выработка электроэнергии в Томской области в 2023 году составила </w:t>
      </w:r>
      <w:r>
        <w:rPr>
          <w:rFonts w:ascii="PT Astra Serif" w:hAnsi="PT Astra Serif" w:cstheme="minorBidi"/>
          <w:sz w:val="24"/>
          <w:szCs w:val="24"/>
        </w:rPr>
        <w:t xml:space="preserve">3 862 </w:t>
      </w:r>
      <w:r>
        <w:rPr>
          <w:rFonts w:ascii="PT Astra Serif" w:hAnsi="PT Astra Serif" w:cstheme="minorBidi"/>
          <w:sz w:val="24"/>
          <w:szCs w:val="24"/>
        </w:rPr>
        <w:t xml:space="preserve">млрд</w:t>
      </w:r>
      <w:r>
        <w:rPr>
          <w:rFonts w:ascii="PT Astra Serif" w:hAnsi="PT Astra Serif" w:cstheme="minorBidi"/>
          <w:sz w:val="24"/>
          <w:szCs w:val="24"/>
        </w:rPr>
        <w:t xml:space="preserve"> </w:t>
      </w:r>
      <w:r>
        <w:rPr>
          <w:rFonts w:ascii="PT Astra Serif" w:hAnsi="PT Astra Serif" w:cstheme="minorBidi"/>
          <w:sz w:val="24"/>
          <w:szCs w:val="24"/>
        </w:rPr>
        <w:t xml:space="preserve">кВт ч, что выше аналогичного показателя прошлого года на </w:t>
      </w:r>
      <w:r>
        <w:rPr>
          <w:rFonts w:ascii="PT Astra Serif" w:hAnsi="PT Astra Serif" w:cstheme="minorBidi"/>
          <w:sz w:val="24"/>
          <w:szCs w:val="24"/>
        </w:rPr>
        <w:t xml:space="preserve">3,7</w:t>
      </w:r>
      <w:r>
        <w:rPr>
          <w:rFonts w:ascii="PT Astra Serif" w:hAnsi="PT Astra Serif" w:cstheme="minorBidi"/>
          <w:sz w:val="24"/>
          <w:szCs w:val="24"/>
        </w:rPr>
        <w:t xml:space="preserve">%.</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Режим загрузки электростанций энергосистемы Томской области во многом зависит от режимно-балансовой ситуации, складывающейся в объединенной энергетической сис</w:t>
      </w:r>
      <w:r>
        <w:rPr>
          <w:rFonts w:ascii="PT Astra Serif" w:hAnsi="PT Astra Serif" w:cstheme="minorBidi"/>
          <w:sz w:val="24"/>
          <w:szCs w:val="24"/>
        </w:rPr>
        <w:t xml:space="preserve">теме Сибири (ОЭС Сибири). Большая доля ГЭС, выработка которых зависит от гидрологических условий на реках Сибири, напрямую влияют на режим загрузки тепловых электростанций ОЭС Сибири, в том числе и на загрузку электростанций энергосистемы Томской области. </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В 2023 году АО «Русатом Инфраструктурные решения» </w:t>
      </w:r>
      <w:r>
        <w:rPr>
          <w:rFonts w:ascii="PT Astra Serif" w:hAnsi="PT Astra Serif" w:cstheme="minorBidi"/>
          <w:sz w:val="24"/>
          <w:szCs w:val="24"/>
        </w:rPr>
        <w:t xml:space="preserve">продолжена </w:t>
      </w:r>
      <w:r>
        <w:rPr>
          <w:rFonts w:ascii="PT Astra Serif" w:hAnsi="PT Astra Serif" w:cstheme="minorBidi"/>
          <w:sz w:val="24"/>
          <w:szCs w:val="24"/>
        </w:rPr>
        <w:t xml:space="preserve">реализация крупнейшего инвестиционного энергопроекта региона – модернизаци</w:t>
      </w:r>
      <w:r>
        <w:rPr>
          <w:rFonts w:ascii="PT Astra Serif" w:hAnsi="PT Astra Serif" w:cstheme="minorBidi"/>
          <w:sz w:val="24"/>
          <w:szCs w:val="24"/>
        </w:rPr>
        <w:t xml:space="preserve">я</w:t>
      </w:r>
      <w:r>
        <w:rPr>
          <w:rFonts w:ascii="PT Astra Serif" w:hAnsi="PT Astra Serif" w:cstheme="minorBidi"/>
          <w:sz w:val="24"/>
          <w:szCs w:val="24"/>
        </w:rPr>
        <w:t xml:space="preserve"> Северской ТЭЦ за счет обновления котельного оборудования, до 2026 г. в проект будет вложено более </w:t>
      </w:r>
      <w:r>
        <w:rPr>
          <w:rFonts w:ascii="PT Astra Serif" w:hAnsi="PT Astra Serif" w:cstheme="minorBidi"/>
          <w:sz w:val="24"/>
          <w:szCs w:val="24"/>
        </w:rPr>
        <w:t xml:space="preserve">9</w:t>
      </w:r>
      <w:r>
        <w:rPr>
          <w:rFonts w:ascii="PT Astra Serif" w:hAnsi="PT Astra Serif" w:cstheme="minorBidi"/>
          <w:sz w:val="24"/>
          <w:szCs w:val="24"/>
        </w:rPr>
        <w:t xml:space="preserve"> </w:t>
      </w:r>
      <w:r>
        <w:rPr>
          <w:rFonts w:ascii="PT Astra Serif" w:hAnsi="PT Astra Serif" w:cstheme="minorBidi"/>
          <w:sz w:val="24"/>
          <w:szCs w:val="24"/>
        </w:rPr>
        <w:t xml:space="preserve">млрд</w:t>
      </w:r>
      <w:r>
        <w:rPr>
          <w:rFonts w:ascii="PT Astra Serif" w:hAnsi="PT Astra Serif" w:cstheme="minorBidi"/>
          <w:sz w:val="24"/>
          <w:szCs w:val="24"/>
        </w:rPr>
        <w:t xml:space="preserve"> </w:t>
      </w:r>
      <w:r>
        <w:rPr>
          <w:rFonts w:ascii="PT Astra Serif" w:hAnsi="PT Astra Serif" w:cstheme="minorBidi"/>
          <w:sz w:val="24"/>
          <w:szCs w:val="24"/>
        </w:rPr>
        <w:t xml:space="preserve">рублей.</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trike/>
          <w:sz w:val="24"/>
          <w:szCs w:val="24"/>
        </w:rPr>
      </w:pPr>
      <w:r>
        <w:rPr>
          <w:rFonts w:ascii="PT Astra Serif" w:hAnsi="PT Astra Serif" w:cstheme="minorBidi"/>
          <w:strike/>
          <w:sz w:val="24"/>
          <w:szCs w:val="24"/>
        </w:rPr>
      </w:r>
      <w:r>
        <w:rPr>
          <w:rFonts w:ascii="PT Astra Serif" w:hAnsi="PT Astra Serif" w:cstheme="minorBidi"/>
          <w:strike/>
          <w:sz w:val="24"/>
          <w:szCs w:val="24"/>
        </w:rPr>
      </w:r>
      <w:r>
        <w:rPr>
          <w:rFonts w:ascii="PT Astra Serif" w:hAnsi="PT Astra Serif" w:cstheme="minorBidi"/>
          <w:strike/>
          <w:sz w:val="24"/>
          <w:szCs w:val="24"/>
        </w:rPr>
      </w:r>
    </w:p>
    <w:p>
      <w:pPr>
        <w:jc w:val="both"/>
        <w:spacing w:after="0" w:line="240" w:lineRule="auto"/>
        <w:tabs>
          <w:tab w:val="left" w:pos="900" w:leader="none"/>
        </w:tabs>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1. Участие в разработке и согласовании проекта схемы и программы развития электроэнергетических систем России на 2025</w:t>
      </w:r>
      <w:r>
        <w:rPr>
          <w:rFonts w:ascii="PT Astra Serif" w:hAnsi="PT Astra Serif" w:cstheme="minorBidi"/>
          <w:sz w:val="24"/>
          <w:szCs w:val="24"/>
        </w:rPr>
        <w:t xml:space="preserve">–</w:t>
      </w:r>
      <w:r>
        <w:rPr>
          <w:rFonts w:ascii="PT Astra Serif" w:hAnsi="PT Astra Serif"/>
          <w:sz w:val="24"/>
          <w:szCs w:val="24"/>
        </w:rPr>
        <w:t xml:space="preserve">2030 годы.</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trike/>
          <w:sz w:val="24"/>
          <w:szCs w:val="24"/>
        </w:rPr>
      </w:pPr>
      <w:r>
        <w:rPr>
          <w:rFonts w:ascii="PT Astra Serif" w:hAnsi="PT Astra Serif"/>
          <w:sz w:val="24"/>
          <w:szCs w:val="24"/>
        </w:rPr>
        <w:t xml:space="preserve">2. Продолжение реализации проекта по модернизации Северской ТЭЦ.</w:t>
      </w:r>
      <w:r>
        <w:rPr>
          <w:rFonts w:ascii="PT Astra Serif" w:hAnsi="PT Astra Serif"/>
          <w:strike/>
          <w:sz w:val="24"/>
          <w:szCs w:val="24"/>
        </w:rPr>
        <w:t xml:space="preserve"> </w:t>
      </w:r>
      <w:r>
        <w:rPr>
          <w:rFonts w:ascii="PT Astra Serif" w:hAnsi="PT Astra Serif"/>
          <w:strike/>
          <w:sz w:val="24"/>
          <w:szCs w:val="24"/>
        </w:rPr>
      </w:r>
      <w:r>
        <w:rPr>
          <w:rFonts w:ascii="PT Astra Serif" w:hAnsi="PT Astra Serif"/>
          <w:strike/>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pStyle w:val="1146"/>
        <w:outlineLvl w:val="1"/>
      </w:pPr>
      <w:r/>
      <w:bookmarkStart w:id="7" w:name="_Toc134630397"/>
      <w:r/>
      <w:bookmarkEnd w:id="5"/>
      <w:r>
        <w:t xml:space="preserve">1.2. Обеспечение развития предпринимательства и рост непроизводственных индустрий</w:t>
      </w:r>
      <w:r/>
    </w:p>
    <w:p>
      <w:pPr>
        <w:jc w:val="both"/>
        <w:spacing w:after="0" w:line="240" w:lineRule="auto"/>
        <w:tabs>
          <w:tab w:val="left" w:pos="4962" w:leader="none"/>
        </w:tabs>
        <w:rPr>
          <w:rFonts w:ascii="PT Astra Serif" w:hAnsi="PT Astra Serif" w:eastAsia="Times New Roman"/>
          <w:b/>
          <w:sz w:val="24"/>
          <w:szCs w:val="24"/>
        </w:rPr>
      </w:pPr>
      <w:r>
        <w:rPr>
          <w:rFonts w:ascii="PT Astra Serif" w:hAnsi="PT Astra Serif" w:eastAsia="Times New Roman"/>
          <w:b/>
          <w:sz w:val="24"/>
          <w:szCs w:val="24"/>
        </w:rPr>
      </w:r>
      <w:r>
        <w:rPr>
          <w:rFonts w:ascii="PT Astra Serif" w:hAnsi="PT Astra Serif" w:eastAsia="Times New Roman"/>
          <w:b/>
          <w:sz w:val="24"/>
          <w:szCs w:val="24"/>
        </w:rPr>
      </w:r>
      <w:r>
        <w:rPr>
          <w:rFonts w:ascii="PT Astra Serif" w:hAnsi="PT Astra Serif" w:eastAsia="Times New Roman"/>
          <w:b/>
          <w:sz w:val="24"/>
          <w:szCs w:val="24"/>
        </w:rPr>
      </w:r>
    </w:p>
    <w:p>
      <w:pPr>
        <w:jc w:val="both"/>
        <w:spacing w:after="0" w:line="240" w:lineRule="auto"/>
        <w:shd w:val="clear" w:color="auto" w:fill="eaf1dd" w:themeFill="accent3" w:themeFillTint="33"/>
        <w:tabs>
          <w:tab w:val="left" w:pos="4962" w:leader="none"/>
        </w:tabs>
        <w:rPr>
          <w:rFonts w:ascii="PT Astra Serif" w:hAnsi="PT Astra Serif" w:eastAsia="Times New Roman"/>
          <w:b/>
          <w:sz w:val="24"/>
          <w:szCs w:val="24"/>
        </w:rPr>
      </w:pPr>
      <w:r>
        <w:rPr>
          <w:rFonts w:ascii="PT Astra Serif" w:hAnsi="PT Astra Serif" w:eastAsia="Times New Roman"/>
          <w:b/>
          <w:sz w:val="24"/>
          <w:szCs w:val="24"/>
        </w:rPr>
        <w:t xml:space="preserve">Развитие малого и среднего предпринимательства</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Сфера малого и среднего предпринимательства</w:t>
      </w:r>
      <w:r>
        <w:rPr>
          <w:rFonts w:ascii="PT Astra Serif" w:hAnsi="PT Astra Serif"/>
          <w:sz w:val="24"/>
          <w:szCs w:val="24"/>
        </w:rPr>
        <w:t xml:space="preserve"> (МСП)</w:t>
      </w:r>
      <w:r>
        <w:rPr>
          <w:rFonts w:ascii="PT Astra Serif" w:hAnsi="PT Astra Serif"/>
          <w:sz w:val="24"/>
          <w:szCs w:val="24"/>
        </w:rPr>
        <w:t xml:space="preserve"> оказывает существенное влияние на социально</w:t>
      </w:r>
      <w:r>
        <w:rPr>
          <w:rFonts w:ascii="PT Astra Serif" w:hAnsi="PT Astra Serif" w:cstheme="minorBidi"/>
          <w:sz w:val="24"/>
          <w:szCs w:val="24"/>
        </w:rPr>
        <w:t xml:space="preserve">–</w:t>
      </w:r>
      <w:r>
        <w:rPr>
          <w:rFonts w:ascii="PT Astra Serif" w:hAnsi="PT Astra Serif"/>
          <w:sz w:val="24"/>
          <w:szCs w:val="24"/>
        </w:rPr>
        <w:t xml:space="preserve">экономическое развитие региона,</w:t>
      </w:r>
      <w:r>
        <w:rPr>
          <w:rFonts w:ascii="PT Astra Serif" w:hAnsi="PT Astra Serif"/>
          <w:sz w:val="24"/>
          <w:szCs w:val="24"/>
        </w:rPr>
        <w:t xml:space="preserve"> </w:t>
      </w:r>
      <w:r>
        <w:rPr>
          <w:rFonts w:ascii="PT Astra Serif" w:hAnsi="PT Astra Serif"/>
          <w:sz w:val="24"/>
          <w:szCs w:val="24"/>
        </w:rPr>
        <w:t xml:space="preserve">в</w:t>
      </w:r>
      <w:r>
        <w:rPr>
          <w:rFonts w:ascii="PT Astra Serif" w:hAnsi="PT Astra Serif"/>
          <w:sz w:val="24"/>
          <w:szCs w:val="24"/>
        </w:rPr>
        <w:t xml:space="preserve"> связи с чем ключевые направления политики по развитию предпринимательства заключаются в обеспечении передовой институциональной среды: со</w:t>
      </w:r>
      <w:r>
        <w:rPr>
          <w:rFonts w:ascii="PT Astra Serif" w:hAnsi="PT Astra Serif"/>
          <w:sz w:val="24"/>
          <w:szCs w:val="24"/>
        </w:rPr>
        <w:t xml:space="preserve">здании благоприятных условий ведения бизнеса, защите и юридической поддержке предпринимателей, расширении доступа к финансам, акселерации стартапов и новых компаний, а также создаваемых ими продуктов и услуг, популяризации предпринимательской деятельности.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bCs/>
          <w:sz w:val="24"/>
          <w:szCs w:val="24"/>
        </w:rPr>
      </w:pPr>
      <w:r>
        <w:rPr>
          <w:rFonts w:ascii="PT Astra Serif" w:hAnsi="PT Astra Serif"/>
          <w:sz w:val="24"/>
          <w:szCs w:val="24"/>
        </w:rPr>
        <w:t xml:space="preserve">В 2023 году продолжилась реализация национального проекта «Малое и среднее предпринимательство и поддержка индивидуальной предпринимательской инициативы». </w:t>
      </w:r>
      <w:r>
        <w:rPr>
          <w:rFonts w:ascii="PT Astra Serif" w:hAnsi="PT Astra Serif"/>
          <w:bCs/>
          <w:sz w:val="24"/>
          <w:szCs w:val="24"/>
        </w:rPr>
        <w:t xml:space="preserve">Предприниматели смогли получить содействие в развитии своего дела: это финансовая, </w:t>
      </w:r>
      <w:r>
        <w:rPr>
          <w:rFonts w:ascii="PT Astra Serif" w:hAnsi="PT Astra Serif"/>
          <w:bCs/>
          <w:sz w:val="24"/>
          <w:szCs w:val="24"/>
        </w:rPr>
        <w:t xml:space="preserve">гарантийная и грантовая поддержка, а также консультационные и образовательные мероприятия. За рамками нацпроекта развиваются новые инструменты поддержки и открываются партн</w:t>
      </w:r>
      <w:r>
        <w:rPr>
          <w:rFonts w:ascii="PT Astra Serif" w:hAnsi="PT Astra Serif"/>
          <w:bCs/>
          <w:sz w:val="24"/>
          <w:szCs w:val="24"/>
        </w:rPr>
        <w:t xml:space="preserve">е</w:t>
      </w:r>
      <w:r>
        <w:rPr>
          <w:rFonts w:ascii="PT Astra Serif" w:hAnsi="PT Astra Serif"/>
          <w:bCs/>
          <w:sz w:val="24"/>
          <w:szCs w:val="24"/>
        </w:rPr>
        <w:t xml:space="preserve">рские программы.</w:t>
      </w:r>
      <w:r>
        <w:rPr>
          <w:rFonts w:ascii="PT Astra Serif" w:hAnsi="PT Astra Serif"/>
          <w:bCs/>
          <w:sz w:val="24"/>
          <w:szCs w:val="24"/>
        </w:rPr>
      </w:r>
      <w:r>
        <w:rPr>
          <w:rFonts w:ascii="PT Astra Serif" w:hAnsi="PT Astra Serif"/>
          <w:bCs/>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По </w:t>
      </w:r>
      <w:r>
        <w:rPr>
          <w:rFonts w:ascii="PT Astra Serif" w:hAnsi="PT Astra Serif"/>
          <w:sz w:val="24"/>
          <w:szCs w:val="24"/>
        </w:rPr>
        <w:t xml:space="preserve">состоянию на 10.01.2024 в регионе зарегистрировано 40 199 ед. субъектов МСП (84,67% всех хозяйствующих субъектов ТО). Темп роста по </w:t>
      </w:r>
      <w:r>
        <w:rPr>
          <w:rFonts w:ascii="PT Astra Serif" w:hAnsi="PT Astra Serif"/>
          <w:sz w:val="24"/>
          <w:szCs w:val="24"/>
        </w:rPr>
        <w:t xml:space="preserve">сравнению с итогами 2022 года </w:t>
      </w:r>
      <w:r>
        <w:rPr>
          <w:rFonts w:ascii="PT Astra Serif" w:hAnsi="PT Astra Serif" w:cstheme="minorBidi"/>
          <w:sz w:val="24"/>
          <w:szCs w:val="24"/>
        </w:rPr>
        <w:t xml:space="preserve">–</w:t>
      </w:r>
      <w:r>
        <w:rPr>
          <w:rFonts w:ascii="PT Astra Serif" w:hAnsi="PT Astra Serif"/>
          <w:sz w:val="24"/>
          <w:szCs w:val="24"/>
        </w:rPr>
        <w:t xml:space="preserve"> 102,8%.</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rPr>
          <w:rFonts w:ascii="PT Astra Serif" w:hAnsi="PT Astra Serif"/>
          <w:sz w:val="24"/>
          <w:szCs w:val="24"/>
        </w:rPr>
      </w:pPr>
      <w:r>
        <w:rPr>
          <w:rFonts w:ascii="PT Astra Serif" w:hAnsi="PT Astra Serif"/>
          <w:sz w:val="24"/>
          <w:szCs w:val="24"/>
          <w:lang w:eastAsia="ru-RU"/>
        </w:rPr>
        <w:drawing>
          <wp:inline distT="0" distB="0" distL="0" distR="0">
            <wp:extent cx="6296025" cy="3648075"/>
            <wp:effectExtent l="0" t="0" r="0" b="0"/>
            <wp:docPr id="46" name="Диаграмма 1063"/>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r>
        <w:rPr>
          <w:rFonts w:ascii="PT Astra Serif" w:hAnsi="PT Astra Serif"/>
          <w:sz w:val="24"/>
          <w:szCs w:val="24"/>
        </w:rPr>
      </w:r>
      <w:r>
        <w:rPr>
          <w:rFonts w:ascii="PT Astra Serif" w:hAnsi="PT Astra Serif"/>
          <w:sz w:val="24"/>
          <w:szCs w:val="24"/>
        </w:rPr>
      </w:r>
    </w:p>
    <w:p>
      <w:pPr>
        <w:ind w:firstLine="709"/>
        <w:jc w:val="center"/>
        <w:spacing w:after="0" w:line="240" w:lineRule="auto"/>
        <w:rPr>
          <w:rFonts w:ascii="PT Astra Serif" w:hAnsi="PT Astra Serif"/>
          <w:sz w:val="24"/>
          <w:szCs w:val="24"/>
        </w:rPr>
      </w:pPr>
      <w:r>
        <w:rPr>
          <w:rFonts w:ascii="PT Astra Serif" w:hAnsi="PT Astra Serif" w:eastAsia="Calibri"/>
          <w:sz w:val="24"/>
          <w:szCs w:val="24"/>
        </w:rPr>
        <w:t xml:space="preserve">Рисунок 1</w:t>
      </w:r>
      <w:r>
        <w:rPr>
          <w:rFonts w:ascii="PT Astra Serif" w:hAnsi="PT Astra Serif" w:eastAsia="Calibri"/>
          <w:sz w:val="24"/>
          <w:szCs w:val="24"/>
        </w:rPr>
        <w:t xml:space="preserve">0</w:t>
      </w:r>
      <w:r>
        <w:rPr>
          <w:rFonts w:ascii="PT Astra Serif" w:hAnsi="PT Astra Serif" w:eastAsia="Calibri"/>
          <w:sz w:val="24"/>
          <w:szCs w:val="24"/>
        </w:rPr>
        <w:t xml:space="preserve"> </w:t>
      </w:r>
      <w:r>
        <w:rPr>
          <w:rFonts w:ascii="PT Astra Serif" w:hAnsi="PT Astra Serif" w:cstheme="minorBidi"/>
          <w:sz w:val="24"/>
          <w:szCs w:val="24"/>
        </w:rPr>
        <w:t xml:space="preserve">–</w:t>
      </w:r>
      <w:r>
        <w:rPr>
          <w:rFonts w:ascii="PT Astra Serif" w:hAnsi="PT Astra Serif" w:eastAsia="Calibri"/>
          <w:sz w:val="24"/>
          <w:szCs w:val="24"/>
        </w:rPr>
        <w:t xml:space="preserve"> </w:t>
      </w:r>
      <w:r>
        <w:rPr>
          <w:rFonts w:ascii="PT Astra Serif" w:hAnsi="PT Astra Serif"/>
          <w:sz w:val="24"/>
          <w:szCs w:val="24"/>
        </w:rPr>
        <w:t xml:space="preserve">Распределение субъектов МСП по видам экономической деятельности,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По итогам 2023 года 84,51% субъектов МСП осуществляли свою деятельность в 8</w:t>
      </w:r>
      <w:r>
        <w:rPr>
          <w:rFonts w:ascii="PT Astra Serif" w:hAnsi="PT Astra Serif"/>
          <w:sz w:val="24"/>
          <w:szCs w:val="24"/>
        </w:rPr>
        <w:t xml:space="preserve"> </w:t>
      </w:r>
      <w:r>
        <w:rPr>
          <w:rFonts w:ascii="PT Astra Serif" w:hAnsi="PT Astra Serif"/>
          <w:sz w:val="24"/>
          <w:szCs w:val="24"/>
        </w:rPr>
        <w:t xml:space="preserve">в</w:t>
      </w:r>
      <w:r>
        <w:rPr>
          <w:rFonts w:ascii="PT Astra Serif" w:hAnsi="PT Astra Serif"/>
          <w:sz w:val="24"/>
          <w:szCs w:val="24"/>
        </w:rPr>
        <w:t xml:space="preserve">идах экономической деятельности,</w:t>
      </w:r>
      <w:r>
        <w:rPr>
          <w:rFonts w:ascii="PT Astra Serif" w:hAnsi="PT Astra Serif"/>
          <w:sz w:val="24"/>
          <w:szCs w:val="24"/>
        </w:rPr>
        <w:t xml:space="preserve"> </w:t>
      </w:r>
      <w:r>
        <w:rPr>
          <w:rFonts w:ascii="PT Astra Serif" w:hAnsi="PT Astra Serif"/>
          <w:sz w:val="24"/>
          <w:szCs w:val="24"/>
        </w:rPr>
        <w:t xml:space="preserve">наибольшее количество (32,1%) - в сфере торговли.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По сравнению с уровнем 2022 года наблюдается заметный рост числа субъектов МСП, осуществляющих свою деятельность в следующих видах экономической деятельности: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строительство (+ 253 ед.);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торговля оптовая и розничная (+210</w:t>
      </w:r>
      <w:r>
        <w:rPr>
          <w:rFonts w:ascii="PT Astra Serif" w:hAnsi="PT Astra Serif"/>
          <w:sz w:val="24"/>
          <w:szCs w:val="24"/>
        </w:rPr>
        <w:t xml:space="preserve"> </w:t>
      </w:r>
      <w:r>
        <w:rPr>
          <w:rFonts w:ascii="PT Astra Serif" w:hAnsi="PT Astra Serif"/>
          <w:sz w:val="24"/>
          <w:szCs w:val="24"/>
        </w:rPr>
        <w:t xml:space="preserve">ед.</w:t>
      </w:r>
      <w:r>
        <w:rPr>
          <w:rFonts w:ascii="PT Astra Serif" w:hAnsi="PT Astra Serif"/>
          <w:sz w:val="24"/>
          <w:szCs w:val="24"/>
        </w:rPr>
        <w:t xml:space="preserve">);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предоставление прочих видов услуг (+137</w:t>
      </w:r>
      <w:r>
        <w:rPr>
          <w:rFonts w:ascii="PT Astra Serif" w:hAnsi="PT Astra Serif"/>
          <w:sz w:val="24"/>
          <w:szCs w:val="24"/>
        </w:rPr>
        <w:t xml:space="preserve"> </w:t>
      </w:r>
      <w:r>
        <w:rPr>
          <w:rFonts w:ascii="PT Astra Serif" w:hAnsi="PT Astra Serif"/>
          <w:sz w:val="24"/>
          <w:szCs w:val="24"/>
        </w:rPr>
        <w:t xml:space="preserve">ед.</w:t>
      </w:r>
      <w:r>
        <w:rPr>
          <w:rFonts w:ascii="PT Astra Serif" w:hAnsi="PT Astra Serif"/>
          <w:sz w:val="24"/>
          <w:szCs w:val="24"/>
        </w:rPr>
        <w:t xml:space="preserve">);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тра</w:t>
      </w:r>
      <w:r>
        <w:rPr>
          <w:rFonts w:ascii="PT Astra Serif" w:hAnsi="PT Astra Serif"/>
          <w:sz w:val="24"/>
          <w:szCs w:val="24"/>
        </w:rPr>
        <w:t xml:space="preserve">нспортировка и хранение (+104</w:t>
      </w:r>
      <w:r>
        <w:rPr>
          <w:rFonts w:ascii="PT Astra Serif" w:hAnsi="PT Astra Serif"/>
          <w:sz w:val="24"/>
          <w:szCs w:val="24"/>
        </w:rPr>
        <w:t xml:space="preserve"> </w:t>
      </w:r>
      <w:r>
        <w:rPr>
          <w:rFonts w:ascii="PT Astra Serif" w:hAnsi="PT Astra Serif"/>
          <w:sz w:val="24"/>
          <w:szCs w:val="24"/>
        </w:rPr>
        <w:t xml:space="preserve">ед.</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Численность занятых в МСП в 2023 году составила 185,79 тыс. человек </w:t>
      </w:r>
      <w:r>
        <w:rPr>
          <w:rFonts w:ascii="PT Astra Serif" w:hAnsi="PT Astra Serif" w:cstheme="minorBidi"/>
          <w:sz w:val="24"/>
          <w:szCs w:val="24"/>
        </w:rPr>
        <w:t xml:space="preserve">–</w:t>
      </w:r>
      <w:r>
        <w:rPr>
          <w:rFonts w:ascii="PT Astra Serif" w:hAnsi="PT Astra Serif"/>
          <w:sz w:val="24"/>
          <w:szCs w:val="24"/>
        </w:rPr>
        <w:t xml:space="preserve"> около 37% занятых в экономике региона. Численность занятых удалось сохранить благодаря росту количества самозанятых граждан с 38,5 т</w:t>
      </w:r>
      <w:r>
        <w:rPr>
          <w:rFonts w:ascii="PT Astra Serif" w:hAnsi="PT Astra Serif"/>
          <w:sz w:val="24"/>
          <w:szCs w:val="24"/>
        </w:rPr>
        <w:t xml:space="preserve">ыс. человек в 2022 году до 57,0 </w:t>
      </w:r>
      <w:r>
        <w:rPr>
          <w:rFonts w:ascii="PT Astra Serif" w:hAnsi="PT Astra Serif"/>
          <w:sz w:val="24"/>
          <w:szCs w:val="24"/>
        </w:rPr>
        <w:t xml:space="preserve">тыс.</w:t>
      </w:r>
      <w:r>
        <w:rPr>
          <w:rFonts w:ascii="PT Astra Serif" w:hAnsi="PT Astra Serif"/>
          <w:sz w:val="24"/>
          <w:szCs w:val="24"/>
        </w:rPr>
        <w:t xml:space="preserve"> </w:t>
      </w:r>
      <w:r>
        <w:rPr>
          <w:rFonts w:ascii="PT Astra Serif" w:hAnsi="PT Astra Serif"/>
          <w:sz w:val="24"/>
          <w:szCs w:val="24"/>
        </w:rPr>
        <w:t xml:space="preserve">человек в 2023 году.</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На территории Томской</w:t>
      </w:r>
      <w:r>
        <w:rPr>
          <w:rFonts w:ascii="PT Astra Serif" w:hAnsi="PT Astra Serif"/>
          <w:sz w:val="24"/>
          <w:szCs w:val="24"/>
        </w:rPr>
        <w:t xml:space="preserve"> области сформирована оптимальная инфраструктура поддержки предпринимательства, позволяющая оказывать поддержку гражданам на всех этапах бизнеса – от возникновения идеи организации собственного дела до расширения бизнеса и выхода на рынки зарубежных стран.</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регионе действуют муниципальные и областной центры поддержки предпринимательства, региональная гарантийная организация, бизнес-инкубаторы (областные, муниципальные, студенческие), центр поддержки экспорта, промышленный </w:t>
      </w:r>
      <w:r>
        <w:rPr>
          <w:rFonts w:ascii="PT Astra Serif" w:hAnsi="PT Astra Serif"/>
          <w:sz w:val="24"/>
          <w:szCs w:val="24"/>
        </w:rPr>
        <w:t xml:space="preserve">парк, инжиниринговый центр, центр кластерного развития, три микрофинансовые организации, центр инноваций социальной сферы, торгово-промышленная палата.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Ключевым элементом инфраструктуры выступает Центр «Мой бизнес</w:t>
      </w:r>
      <w:r>
        <w:rPr>
          <w:rFonts w:ascii="PT Astra Serif" w:hAnsi="PT Astra Serif"/>
          <w:sz w:val="24"/>
          <w:szCs w:val="24"/>
        </w:rPr>
        <w:t xml:space="preserve">», выполняющий функции многофункционального центра поддержки предпринимательства. Центром «Мой бизнес» оказано более 3,5 тыс. консультационных услуг гражданам, желающим начать собственный бизнес, действующим предпринимателям и самозанятым гражданам. Более </w:t>
      </w:r>
      <w:r>
        <w:rPr>
          <w:rFonts w:ascii="PT Astra Serif" w:hAnsi="PT Astra Serif"/>
          <w:sz w:val="24"/>
          <w:szCs w:val="24"/>
        </w:rPr>
        <w:t xml:space="preserve">2,6 </w:t>
      </w:r>
      <w:r>
        <w:rPr>
          <w:rFonts w:ascii="PT Astra Serif" w:hAnsi="PT Astra Serif"/>
          <w:sz w:val="24"/>
          <w:szCs w:val="24"/>
        </w:rPr>
        <w:t xml:space="preserve">тыс. субъектов МСП и самозанятых граждан получили государственную поддержку.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Наиболее востребованы комплексные услуги Центра «Мой бизнес»</w:t>
      </w:r>
      <w:r>
        <w:rPr>
          <w:rFonts w:ascii="PT Astra Serif" w:hAnsi="PT Astra Serif"/>
          <w:sz w:val="24"/>
          <w:szCs w:val="24"/>
        </w:rPr>
        <w:t xml:space="preserve"> </w:t>
      </w:r>
      <w:r>
        <w:rPr>
          <w:rFonts w:ascii="PT Astra Serif" w:hAnsi="PT Astra Serif"/>
          <w:sz w:val="24"/>
          <w:szCs w:val="24"/>
        </w:rPr>
        <w:t xml:space="preserve">– это и традиционные виды п</w:t>
      </w:r>
      <w:r>
        <w:rPr>
          <w:rFonts w:ascii="PT Astra Serif" w:hAnsi="PT Astra Serif"/>
          <w:sz w:val="24"/>
          <w:szCs w:val="24"/>
        </w:rPr>
        <w:t xml:space="preserve">оддержки (продвижение и реклама продукции, регистрация товарного знака, содействие в сертификации и декларировании товара, помощь в организации электронного документооборота, «упаковка» франшизы и др.) и технологичные услуги Центра инжиниринга и инноваций </w:t>
      </w:r>
      <w:r>
        <w:rPr>
          <w:rFonts w:ascii="PT Astra Serif" w:hAnsi="PT Astra Serif"/>
          <w:sz w:val="24"/>
          <w:szCs w:val="24"/>
        </w:rPr>
        <w:t xml:space="preserve">(скоринг, содействие в защите прав на результаты интеллектуальной деятельности, в проведении сертификации, декларирования и аттестации, проведение технологического, финансового и управленческого аудита, разработка программ модернизации производства и др.).</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Всего в 2023 году организациями инфраструктуры поддержки предпринимательства оказано 613 комплексных услуг по 30 направлениям.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для начинающих предпринимателей Центром «Мой бизнес»</w:t>
      </w:r>
      <w:r>
        <w:rPr>
          <w:rFonts w:ascii="PT Astra Serif" w:hAnsi="PT Astra Serif"/>
          <w:sz w:val="24"/>
          <w:szCs w:val="24"/>
        </w:rPr>
        <w:t xml:space="preserve"> </w:t>
      </w:r>
      <w:r>
        <w:rPr>
          <w:rFonts w:ascii="PT Astra Serif" w:hAnsi="PT Astra Serif"/>
          <w:sz w:val="24"/>
          <w:szCs w:val="24"/>
        </w:rPr>
        <w:t xml:space="preserve">было проведено 45 обучающих мероприятий по бизнес-планированию, налогообложению, правовым аспектам ведения бизнеса, продвижению товаров и услуг, в которых приняло участие более 1000 человек.</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О</w:t>
      </w:r>
      <w:r>
        <w:rPr>
          <w:rFonts w:ascii="PT Astra Serif" w:hAnsi="PT Astra Serif"/>
          <w:sz w:val="24"/>
          <w:szCs w:val="24"/>
        </w:rPr>
        <w:t xml:space="preserve">бучение по полноформатным обучающим программам «Азбука предпринимательства», «Школа предпринимательства», «Мама предприниматель» прошли 77 «стартующих» предпринимателей и более 90 физических лиц, впервые принявших решение об организации собственного дела.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trike/>
          <w:sz w:val="24"/>
          <w:szCs w:val="24"/>
        </w:rPr>
      </w:pPr>
      <w:r>
        <w:rPr>
          <w:rFonts w:ascii="PT Astra Serif" w:hAnsi="PT Astra Serif"/>
          <w:sz w:val="24"/>
          <w:szCs w:val="24"/>
        </w:rPr>
        <w:t xml:space="preserve">При финансовой поддержке областного бюджета в 19 муниципальных образованиях региона проведены конкурсы начинающих предпринимателей, победителям предоставлены субсидии в размере до 700 тыс. руб</w:t>
      </w:r>
      <w:r>
        <w:rPr>
          <w:rFonts w:ascii="PT Astra Serif" w:hAnsi="PT Astra Serif"/>
          <w:sz w:val="24"/>
          <w:szCs w:val="24"/>
        </w:rPr>
        <w:t xml:space="preserve">лей</w:t>
      </w:r>
      <w:r>
        <w:rPr>
          <w:rFonts w:ascii="PT Astra Serif" w:hAnsi="PT Astra Serif"/>
          <w:sz w:val="24"/>
          <w:szCs w:val="24"/>
        </w:rPr>
        <w:t xml:space="preserve">. Поддержано 42 предпринимательских бизнес-проекта</w:t>
      </w:r>
      <w:r>
        <w:rPr>
          <w:rFonts w:ascii="PT Astra Serif" w:hAnsi="PT Astra Serif"/>
          <w:sz w:val="24"/>
          <w:szCs w:val="24"/>
        </w:rPr>
        <w:t xml:space="preserve">, среди которых «Путь к звездам!» </w:t>
      </w:r>
      <w:r>
        <w:rPr>
          <w:rFonts w:ascii="PT Astra Serif" w:hAnsi="PT Astra Serif" w:cstheme="minorBidi"/>
          <w:sz w:val="24"/>
          <w:szCs w:val="24"/>
        </w:rPr>
        <w:t xml:space="preserve">–</w:t>
      </w:r>
      <w:r>
        <w:rPr>
          <w:rFonts w:ascii="PT Astra Serif" w:hAnsi="PT Astra Serif"/>
          <w:sz w:val="24"/>
          <w:szCs w:val="24"/>
        </w:rPr>
        <w:t xml:space="preserve"> мобильный планетарий в г.</w:t>
      </w:r>
      <w:r>
        <w:rPr>
          <w:rFonts w:ascii="PT Astra Serif" w:hAnsi="PT Astra Serif"/>
          <w:sz w:val="24"/>
          <w:szCs w:val="24"/>
        </w:rPr>
        <w:t xml:space="preserve"> </w:t>
      </w:r>
      <w:r>
        <w:rPr>
          <w:rFonts w:ascii="PT Astra Serif" w:hAnsi="PT Astra Serif"/>
          <w:sz w:val="24"/>
          <w:szCs w:val="24"/>
        </w:rPr>
        <w:t xml:space="preserve">Стрежевой; «Туристическое агентство «Маруся TRAVEL» </w:t>
      </w:r>
      <w:r>
        <w:rPr>
          <w:rFonts w:ascii="PT Astra Serif" w:hAnsi="PT Astra Serif" w:cstheme="minorBidi"/>
          <w:sz w:val="24"/>
          <w:szCs w:val="24"/>
        </w:rPr>
        <w:t xml:space="preserve">–</w:t>
      </w:r>
      <w:r>
        <w:rPr>
          <w:rFonts w:ascii="PT Astra Serif" w:hAnsi="PT Astra Serif"/>
          <w:sz w:val="24"/>
          <w:szCs w:val="24"/>
        </w:rPr>
        <w:t xml:space="preserve"> организация путешествий и отдыха в России; «Право. Обучение» </w:t>
      </w:r>
      <w:r>
        <w:rPr>
          <w:rFonts w:ascii="PT Astra Serif" w:hAnsi="PT Astra Serif" w:cstheme="minorBidi"/>
          <w:sz w:val="24"/>
          <w:szCs w:val="24"/>
        </w:rPr>
        <w:t xml:space="preserve">–</w:t>
      </w:r>
      <w:r>
        <w:rPr>
          <w:rFonts w:ascii="PT Astra Serif" w:hAnsi="PT Astra Serif"/>
          <w:sz w:val="24"/>
          <w:szCs w:val="24"/>
        </w:rPr>
        <w:t xml:space="preserve"> проект, направленный на просвещение женщин в области семейного права, а также юридическое и экономическое консультирование предпринимателей; «Бренд одежды для танцев и спорта «ПТИЦЫ» </w:t>
      </w:r>
      <w:r>
        <w:rPr>
          <w:rFonts w:ascii="PT Astra Serif" w:hAnsi="PT Astra Serif" w:cstheme="minorBidi"/>
          <w:sz w:val="24"/>
          <w:szCs w:val="24"/>
        </w:rPr>
        <w:t xml:space="preserve">–</w:t>
      </w:r>
      <w:r>
        <w:rPr>
          <w:rFonts w:ascii="PT Astra Serif" w:hAnsi="PT Astra Serif"/>
          <w:sz w:val="24"/>
          <w:szCs w:val="24"/>
        </w:rPr>
        <w:t xml:space="preserve"> производство одежды отечественного бренда; «Пространство «Интересное место» </w:t>
      </w:r>
      <w:r>
        <w:rPr>
          <w:rFonts w:ascii="PT Astra Serif" w:hAnsi="PT Astra Serif" w:cstheme="minorBidi"/>
          <w:sz w:val="24"/>
          <w:szCs w:val="24"/>
        </w:rPr>
        <w:t xml:space="preserve">–</w:t>
      </w:r>
      <w:r>
        <w:rPr>
          <w:rFonts w:ascii="PT Astra Serif" w:hAnsi="PT Astra Serif"/>
          <w:sz w:val="24"/>
          <w:szCs w:val="24"/>
        </w:rPr>
        <w:t xml:space="preserve"> локация для проведения творческих и развлекательных мероприятий для жителей микрорайона «Южные ворота» в г. Томске.</w:t>
      </w:r>
      <w:r>
        <w:rPr>
          <w:rFonts w:ascii="PT Astra Serif" w:hAnsi="PT Astra Serif"/>
          <w:strike/>
          <w:sz w:val="24"/>
          <w:szCs w:val="24"/>
        </w:rPr>
      </w:r>
      <w:r>
        <w:rPr>
          <w:rFonts w:ascii="PT Astra Serif" w:hAnsi="PT Astra Serif"/>
          <w:strike/>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Центром «Мой бизнес» организована серия мероприятий для самозанятых граждан: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городской фестиваль «Лимонад», фестиваль городских ресторанов «ЕСТЬ», фестивали «Мой бизнес» (г. Томск, г. Стрежевой), на которых 73 самозанятых представили и реализовали свою продукцию;</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145 самозанятых разместили рекламу своей продукции и услуг на радиостанциях, в социальной сети ВКонтакте, Телеграмм-канале, а также в новостном интер</w:t>
      </w:r>
      <w:r>
        <w:rPr>
          <w:rFonts w:ascii="PT Astra Serif" w:hAnsi="PT Astra Serif"/>
          <w:sz w:val="24"/>
          <w:szCs w:val="24"/>
        </w:rPr>
        <w:t xml:space="preserve">нет-</w:t>
      </w:r>
      <w:r>
        <w:rPr>
          <w:rFonts w:ascii="PT Astra Serif" w:hAnsi="PT Astra Serif"/>
          <w:sz w:val="24"/>
          <w:szCs w:val="24"/>
        </w:rPr>
        <w:t xml:space="preserve">портале tomsk.ru;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20 самозанятых вывели свою продукцию на электронную торговую площадку Ozon;</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более 200 самозанятых из 8 муниципальных образований Томской области посетили 15 мастер-классов по различным направлениям ведения бизнеса;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20 самозанятых прошли индивидуальное обучение по продвижению в социальных сетях и созданию одностраничных лэндингов.</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в Томской области осуществляли деятельность 152 социальных предпринимателя. На базе Центра «Мой бизнес» для них было организовано 10 </w:t>
      </w:r>
      <w:r>
        <w:rPr>
          <w:rFonts w:ascii="PT Astra Serif" w:hAnsi="PT Astra Serif"/>
          <w:sz w:val="24"/>
          <w:szCs w:val="24"/>
        </w:rPr>
        <w:t xml:space="preserve">тематических семинаров, обучающая программа «Значимый бизнес», Форум социального предпринимательства «Бизнес от сердца» и региональный этап Всероссийского конкурса социальных проектов «Мой добрый бизнес», оказано более 390 консультаций.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по результатам конкурсов социальных и молодых (в возрасте до 25 лет) предпринимателей было предоставлено 30 грантов в размере до 500 тыс. руб</w:t>
      </w:r>
      <w:r>
        <w:rPr>
          <w:rFonts w:ascii="PT Astra Serif" w:hAnsi="PT Astra Serif"/>
          <w:sz w:val="24"/>
          <w:szCs w:val="24"/>
        </w:rPr>
        <w:t xml:space="preserve">лей</w:t>
      </w:r>
      <w:r>
        <w:rPr>
          <w:rFonts w:ascii="PT Astra Serif" w:hAnsi="PT Astra Serif"/>
          <w:sz w:val="24"/>
          <w:szCs w:val="24"/>
        </w:rPr>
        <w:t xml:space="preserve"> на общую сумму 14,1 млн</w:t>
      </w:r>
      <w:r>
        <w:rPr>
          <w:rFonts w:ascii="PT Astra Serif" w:hAnsi="PT Astra Serif"/>
          <w:sz w:val="24"/>
          <w:szCs w:val="24"/>
        </w:rPr>
        <w:t xml:space="preserve"> руб</w:t>
      </w:r>
      <w:r>
        <w:rPr>
          <w:rFonts w:ascii="PT Astra Serif" w:hAnsi="PT Astra Serif"/>
          <w:sz w:val="24"/>
          <w:szCs w:val="24"/>
        </w:rPr>
        <w:t xml:space="preserve">лей</w:t>
      </w:r>
      <w:r>
        <w:rPr>
          <w:rFonts w:ascii="PT Astra Serif" w:hAnsi="PT Astra Serif"/>
          <w:sz w:val="24"/>
          <w:szCs w:val="24"/>
        </w:rPr>
        <w:t xml:space="preserve">. Наиболее интересные предпринимательские проекты – «Разработка и создание беспилотного самолета по технологии Tailsitter для аэросъемки при низких температурах», </w:t>
      </w:r>
      <w:r>
        <w:rPr>
          <w:rFonts w:ascii="PT Astra Serif" w:hAnsi="PT Astra Serif"/>
          <w:sz w:val="24"/>
          <w:szCs w:val="24"/>
        </w:rPr>
        <w:t xml:space="preserve">«Оздоровление и социализация детей с ОВЗ и инвалидностью посредством метода гидрореабилитации», «Военно-патриотический детско-юношеский лагерь «Спецназ дети», «Развитие Воркаут-центра «НА РУКАХ», «Пункт приема и переработки вторсырья (с. Александровское)».</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Наиболее масштабная поддержка была оказана предпринимателям, имеющим многолетний успешный бизнес.</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Для обмена опытом для 17 предпринимателей из различных муниципальных образований Томской области организованы стажировки в </w:t>
      </w:r>
      <w:r>
        <w:rPr>
          <w:rFonts w:ascii="PT Astra Serif" w:hAnsi="PT Astra Serif"/>
          <w:sz w:val="24"/>
          <w:szCs w:val="24"/>
        </w:rPr>
        <w:t xml:space="preserve">профильные </w:t>
      </w:r>
      <w:r>
        <w:rPr>
          <w:rFonts w:ascii="PT Astra Serif" w:hAnsi="PT Astra Serif"/>
          <w:sz w:val="24"/>
          <w:szCs w:val="24"/>
        </w:rPr>
        <w:t xml:space="preserve">организации Республики Тыва, Новосибирской области, Алтайского и Красноярского краев.</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Технологическим компаниям на базе Центра инжиниринга и инноваций Томской области оказано 177 комплексных услуг. Пятью компаниями, получившими статус участника Фонда «Сколково», было при</w:t>
      </w:r>
      <w:r>
        <w:rPr>
          <w:rFonts w:ascii="PT Astra Serif" w:hAnsi="PT Astra Serif"/>
          <w:sz w:val="24"/>
          <w:szCs w:val="24"/>
        </w:rPr>
        <w:t xml:space="preserve">влечено более 459 млн</w:t>
      </w:r>
      <w:r>
        <w:rPr>
          <w:rFonts w:ascii="PT Astra Serif" w:hAnsi="PT Astra Serif"/>
          <w:sz w:val="24"/>
          <w:szCs w:val="24"/>
        </w:rPr>
        <w:t xml:space="preserve"> руб</w:t>
      </w:r>
      <w:r>
        <w:rPr>
          <w:rFonts w:ascii="PT Astra Serif" w:hAnsi="PT Astra Serif"/>
          <w:sz w:val="24"/>
          <w:szCs w:val="24"/>
        </w:rPr>
        <w:t xml:space="preserve">лей</w:t>
      </w:r>
      <w:r>
        <w:rPr>
          <w:rFonts w:ascii="PT Astra Serif" w:hAnsi="PT Astra Serif"/>
          <w:sz w:val="24"/>
          <w:szCs w:val="24"/>
        </w:rPr>
        <w:t xml:space="preserve"> инвестиций. 13 компаний, получивших инжиниринговые услуги, создали 6 инновационных продуктов.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микрокредитными организациями, действующими в г. Томске, ЗАТО Северск и ГО Стрежевой, заключено 300 договоров микрозаймов на льготных </w:t>
      </w:r>
      <w:r>
        <w:rPr>
          <w:rFonts w:ascii="PT Astra Serif" w:hAnsi="PT Astra Serif"/>
          <w:sz w:val="24"/>
          <w:szCs w:val="24"/>
        </w:rPr>
        <w:t xml:space="preserve">условиях на общую сумму 431 млн</w:t>
      </w:r>
      <w:r>
        <w:rPr>
          <w:rFonts w:ascii="PT Astra Serif" w:hAnsi="PT Astra Serif"/>
          <w:sz w:val="24"/>
          <w:szCs w:val="24"/>
        </w:rPr>
        <w:t xml:space="preserve"> руб</w:t>
      </w:r>
      <w:r>
        <w:rPr>
          <w:rFonts w:ascii="PT Astra Serif" w:hAnsi="PT Astra Serif"/>
          <w:sz w:val="24"/>
          <w:szCs w:val="24"/>
        </w:rPr>
        <w:t xml:space="preserve">лей</w:t>
      </w:r>
      <w:r>
        <w:rPr>
          <w:rFonts w:ascii="PT Astra Serif" w:hAnsi="PT Astra Serif"/>
          <w:sz w:val="24"/>
          <w:szCs w:val="24"/>
        </w:rPr>
        <w:t xml:space="preserve">.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Гарантийным фондом Томской области выдано 127 поручительств и независимых гарантий на общую сумму 819,5 млн руб</w:t>
      </w:r>
      <w:r>
        <w:rPr>
          <w:rFonts w:ascii="PT Astra Serif" w:hAnsi="PT Astra Serif"/>
          <w:sz w:val="24"/>
          <w:szCs w:val="24"/>
        </w:rPr>
        <w:t xml:space="preserve">лей</w:t>
      </w:r>
      <w:r>
        <w:rPr>
          <w:rFonts w:ascii="PT Astra Serif" w:hAnsi="PT Astra Serif"/>
          <w:sz w:val="24"/>
          <w:szCs w:val="24"/>
        </w:rPr>
        <w:t xml:space="preserve">, что позволило предпринимателям привлечь финансирование на сумму более 2,4 </w:t>
      </w:r>
      <w:r>
        <w:rPr>
          <w:rFonts w:ascii="PT Astra Serif" w:hAnsi="PT Astra Serif"/>
          <w:sz w:val="24"/>
          <w:szCs w:val="24"/>
        </w:rPr>
        <w:t xml:space="preserve">млрд</w:t>
      </w:r>
      <w:r>
        <w:rPr>
          <w:rFonts w:ascii="PT Astra Serif" w:hAnsi="PT Astra Serif"/>
          <w:sz w:val="24"/>
          <w:szCs w:val="24"/>
        </w:rPr>
        <w:t xml:space="preserve"> </w:t>
      </w:r>
      <w:r>
        <w:rPr>
          <w:rFonts w:ascii="PT Astra Serif" w:hAnsi="PT Astra Serif"/>
          <w:sz w:val="24"/>
          <w:szCs w:val="24"/>
        </w:rPr>
        <w:t xml:space="preserve">руб</w:t>
      </w:r>
      <w:r>
        <w:rPr>
          <w:rFonts w:ascii="PT Astra Serif" w:hAnsi="PT Astra Serif"/>
          <w:sz w:val="24"/>
          <w:szCs w:val="24"/>
        </w:rPr>
        <w:t xml:space="preserve">лей</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Объ</w:t>
      </w:r>
      <w:r>
        <w:rPr>
          <w:rFonts w:ascii="PT Astra Serif" w:hAnsi="PT Astra Serif"/>
          <w:sz w:val="24"/>
          <w:szCs w:val="24"/>
        </w:rPr>
        <w:t xml:space="preserve">е</w:t>
      </w:r>
      <w:r>
        <w:rPr>
          <w:rFonts w:ascii="PT Astra Serif" w:hAnsi="PT Astra Serif"/>
          <w:sz w:val="24"/>
          <w:szCs w:val="24"/>
        </w:rPr>
        <w:t xml:space="preserve">м закупок крупнейших заказчиков, осуществляемых в рамках Федерального закона от 18</w:t>
      </w:r>
      <w:r>
        <w:rPr>
          <w:rFonts w:ascii="PT Astra Serif" w:hAnsi="PT Astra Serif"/>
          <w:sz w:val="24"/>
          <w:szCs w:val="24"/>
        </w:rPr>
        <w:t xml:space="preserve"> июля </w:t>
      </w:r>
      <w:r>
        <w:rPr>
          <w:rFonts w:ascii="PT Astra Serif" w:hAnsi="PT Astra Serif"/>
          <w:sz w:val="24"/>
          <w:szCs w:val="24"/>
        </w:rPr>
        <w:t xml:space="preserve">2011</w:t>
      </w:r>
      <w:r>
        <w:rPr>
          <w:rFonts w:ascii="PT Astra Serif" w:hAnsi="PT Astra Serif"/>
          <w:sz w:val="24"/>
          <w:szCs w:val="24"/>
        </w:rPr>
        <w:t xml:space="preserve"> года</w:t>
      </w:r>
      <w:r>
        <w:rPr>
          <w:rFonts w:ascii="PT Astra Serif" w:hAnsi="PT Astra Serif"/>
          <w:sz w:val="24"/>
          <w:szCs w:val="24"/>
        </w:rPr>
        <w:t xml:space="preserve"> № 223-ФЗ «О закупках товаров, работ, услуг отдельными видами юридических лиц», у 2 тыс. МСП-поставщиков со всей страны составил 45,5 </w:t>
      </w:r>
      <w:r>
        <w:rPr>
          <w:rFonts w:ascii="PT Astra Serif" w:hAnsi="PT Astra Serif"/>
          <w:sz w:val="24"/>
          <w:szCs w:val="24"/>
        </w:rPr>
        <w:t xml:space="preserve"> </w:t>
      </w:r>
      <w:r>
        <w:rPr>
          <w:rFonts w:ascii="PT Astra Serif" w:hAnsi="PT Astra Serif"/>
          <w:sz w:val="24"/>
          <w:szCs w:val="24"/>
        </w:rPr>
        <w:t xml:space="preserve">м</w:t>
      </w:r>
      <w:r>
        <w:rPr>
          <w:rFonts w:ascii="PT Astra Serif" w:hAnsi="PT Astra Serif"/>
          <w:sz w:val="24"/>
          <w:szCs w:val="24"/>
        </w:rPr>
        <w:t xml:space="preserve">лрд </w:t>
      </w:r>
      <w:r>
        <w:rPr>
          <w:rFonts w:ascii="PT Astra Serif" w:hAnsi="PT Astra Serif"/>
          <w:sz w:val="24"/>
          <w:szCs w:val="24"/>
        </w:rPr>
        <w:t xml:space="preserve">руб</w:t>
      </w:r>
      <w:r>
        <w:rPr>
          <w:rFonts w:ascii="PT Astra Serif" w:hAnsi="PT Astra Serif"/>
          <w:sz w:val="24"/>
          <w:szCs w:val="24"/>
        </w:rPr>
        <w:t xml:space="preserve">лей</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поддержкой Центра поддержки экспорта Томской области воспользовались более 200 экспортно ориентированных субъектов МСП. Для них было организовано более 50 мероприятий: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4 бизнес-миссии в Казахстан, Узбекистан, Киргизию, Малайзию;</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25 субъектов МСП Томской области приняли участие в 11 международных выставках в Казахстане, Узбекистане, Вьетнаме, ОАЭ, Бразилии, Алжире, России;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по заявкам субъектов МСП организовано 15 поисков зарубежных покупателей и онлайн-переговоры с бизнесменами Казахстана, Белоруссии, Узбекистана, Сербии, КНР, Индии, ОАЭ, Вьетнама, ЮАР;</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4 предпринимателя размещены на международных маркетплейсах WoodResource.com, национальном магазине на вьетнамской площадке LAZADA.VN, маркетплейсе Suppl.biz;</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80 субъектов МСП приняли участие в 22 семинарах и вебинарах, а также в международных консультациях АО «Российский экспортный центр» с экспертами по работе на рынках Ирана, ОАЭ, Индии, Вьетнаме, КНР, стран Африки.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16 томских предпринимателей при содействии Центра поддержки экспорта заключили 32 экспортных к</w:t>
      </w:r>
      <w:r>
        <w:rPr>
          <w:rFonts w:ascii="PT Astra Serif" w:hAnsi="PT Astra Serif"/>
          <w:sz w:val="24"/>
          <w:szCs w:val="24"/>
        </w:rPr>
        <w:t xml:space="preserve">онтракта на сумму более 6,6 млн</w:t>
      </w:r>
      <w:r>
        <w:rPr>
          <w:rFonts w:ascii="PT Astra Serif" w:hAnsi="PT Astra Serif"/>
          <w:sz w:val="24"/>
          <w:szCs w:val="24"/>
        </w:rPr>
        <w:t xml:space="preserve"> долларов, обеспечив выполнение показателя нацпроекта по развитию предпринимательства в регионе.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томская компания ООО «Эко-фабрика «Сибирский кедр» стала лауреатом Всероссийского конкурса «Экспортер года».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tabs>
          <w:tab w:val="left" w:pos="900" w:leader="none"/>
        </w:tabs>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1. Стимулирование предпринимательской активности молодых людей в возрасте до 25 лет.</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2. Смещение акцента государственной поддержки на высокотехнологичные направления производственного бизнеса.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3. Расширение практики взаимодействия власти и бизнеса посредством цифровых сервисов.</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4. Упрощение доступа субъектов МСП к льготному финансированию.</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5. Формирование положительного образа предпринимательства среди населения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shd w:val="clear" w:color="auto" w:fill="eaf1dd" w:themeFill="accent3" w:themeFillTint="33"/>
        <w:rPr>
          <w:rFonts w:ascii="PT Astra Serif" w:hAnsi="PT Astra Serif"/>
          <w:b/>
          <w:sz w:val="24"/>
          <w:szCs w:val="24"/>
        </w:rPr>
      </w:pPr>
      <w:r>
        <w:rPr>
          <w:rFonts w:ascii="PT Astra Serif" w:hAnsi="PT Astra Serif"/>
          <w:b/>
          <w:sz w:val="24"/>
          <w:szCs w:val="24"/>
        </w:rPr>
        <w:t xml:space="preserve">Лицензирование</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Защита прав, законных интересов граждан, субъектов предпринимательства при осуществлении отдельных видов деятельности обеспечивается лицензированием.</w:t>
      </w:r>
      <w:r>
        <w:rPr>
          <w:rFonts w:ascii="PT Astra Serif" w:hAnsi="PT Astra Serif"/>
          <w:sz w:val="24"/>
          <w:szCs w:val="24"/>
        </w:rPr>
      </w:r>
      <w:r>
        <w:rPr>
          <w:rFonts w:ascii="PT Astra Serif" w:hAnsi="PT Astra Serif"/>
          <w:sz w:val="24"/>
          <w:szCs w:val="24"/>
        </w:rPr>
      </w:r>
    </w:p>
    <w:p>
      <w:pPr>
        <w:pStyle w:val="1175"/>
        <w:ind w:firstLine="709"/>
        <w:jc w:val="both"/>
        <w:spacing w:line="240" w:lineRule="auto"/>
        <w:rPr>
          <w:rFonts w:ascii="PT Astra Serif" w:hAnsi="PT Astra Serif" w:cs="Times New Roman"/>
        </w:rPr>
      </w:pPr>
      <w:r>
        <w:rPr>
          <w:rFonts w:ascii="PT Astra Serif" w:hAnsi="PT Astra Serif" w:cs="Times New Roman"/>
        </w:rPr>
        <w:t xml:space="preserve">За 2023 год выдано, переоформлено, продлено  3 397 лицензий, разрешений, в том числе:</w:t>
      </w:r>
      <w:r>
        <w:rPr>
          <w:rFonts w:ascii="PT Astra Serif" w:hAnsi="PT Astra Serif" w:cs="Times New Roman"/>
        </w:rPr>
      </w:r>
      <w:r>
        <w:rPr>
          <w:rFonts w:ascii="PT Astra Serif" w:hAnsi="PT Astra Serif" w:cs="Times New Roman"/>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оборот лома металлов - 17 лицензий;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розничная продажа алкогольной продукции - 500 лицензий;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медицина, фармация, оборот наркотических средств и психотропных веществ – 244 лицензии;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перевозка пассажиров и багажа легковым такси - 2 636 разрешений.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С 01.09.2023 вступил в силу новый федеральный закон, регулирующий сферу перевозки легковых такси: введено регулирование деятельности служб заказа легкового такси,  закреплено право получить разрешение на перевозку легковым такси самозанятым гражданином. </w:t>
      </w:r>
      <w:r>
        <w:rPr>
          <w:rFonts w:ascii="PT Astra Serif" w:hAnsi="PT Astra Serif" w:eastAsia="Times New Roman"/>
          <w:sz w:val="24"/>
          <w:szCs w:val="24"/>
          <w:lang w:eastAsia="ru-RU"/>
        </w:rPr>
        <w:t xml:space="preserve">На территории Томской области принят закон и подзаконны</w:t>
      </w:r>
      <w:r>
        <w:rPr>
          <w:rFonts w:ascii="PT Astra Serif" w:hAnsi="PT Astra Serif" w:eastAsia="Times New Roman"/>
          <w:sz w:val="24"/>
          <w:szCs w:val="24"/>
          <w:lang w:eastAsia="ru-RU"/>
        </w:rPr>
        <w:t xml:space="preserve">й</w:t>
      </w:r>
      <w:r>
        <w:rPr>
          <w:rFonts w:ascii="PT Astra Serif" w:hAnsi="PT Astra Serif" w:eastAsia="Times New Roman"/>
          <w:sz w:val="24"/>
          <w:szCs w:val="24"/>
          <w:lang w:eastAsia="ru-RU"/>
        </w:rPr>
        <w:t xml:space="preserve"> акт в целях разграничения полномочий Законодательной Думы Томской области, Губернатора Томской области, исполнительных органов Томской области по отдельным вопросам регулирования перевозок пассажиров и багажа легковым такси на территории Томской области. </w:t>
      </w:r>
      <w:r>
        <w:rPr>
          <w:rFonts w:ascii="PT Astra Serif" w:hAnsi="PT Astra Serif" w:eastAsia="Times New Roman"/>
          <w:sz w:val="24"/>
          <w:szCs w:val="24"/>
          <w:lang w:eastAsia="ru-RU"/>
        </w:rPr>
        <w:t xml:space="preserve">Уполномоченным органом (Департамент лицензирования и регионального государственного контроля Томской области) п</w:t>
      </w:r>
      <w:r>
        <w:rPr>
          <w:rFonts w:ascii="PT Astra Serif" w:hAnsi="PT Astra Serif" w:eastAsia="Times New Roman"/>
          <w:sz w:val="24"/>
          <w:szCs w:val="24"/>
          <w:lang w:eastAsia="ru-RU"/>
        </w:rPr>
        <w:t xml:space="preserve">одписано соглашение с Минтрансом </w:t>
      </w:r>
      <w:r>
        <w:rPr>
          <w:rFonts w:ascii="PT Astra Serif" w:hAnsi="PT Astra Serif" w:eastAsia="Times New Roman"/>
          <w:sz w:val="24"/>
          <w:szCs w:val="24"/>
          <w:lang w:eastAsia="ru-RU"/>
        </w:rPr>
        <w:t xml:space="preserve">России</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об использовании </w:t>
      </w:r>
      <w:r>
        <w:rPr>
          <w:rFonts w:ascii="PT Astra Serif" w:hAnsi="PT Astra Serif" w:eastAsia="Times New Roman"/>
          <w:sz w:val="24"/>
          <w:szCs w:val="24"/>
          <w:lang w:eastAsia="ru-RU"/>
        </w:rPr>
        <w:t xml:space="preserve">ФГИС «ТАКСИ». Предоставлено право на осуществление деятельности 11 службам легкового такси, в реестр легковых такси внесены 3 305 автомобилей.</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right="175"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jc w:val="both"/>
        <w:spacing w:after="0" w:line="240" w:lineRule="auto"/>
        <w:shd w:val="clear" w:color="auto" w:fill="eaf1dd" w:themeFill="accent3" w:themeFillTint="33"/>
        <w:rPr>
          <w:rFonts w:ascii="PT Astra Serif" w:hAnsi="PT Astra Serif" w:eastAsia="Times New Roman"/>
          <w:b/>
          <w:sz w:val="24"/>
          <w:szCs w:val="24"/>
          <w:shd w:val="clear" w:color="auto" w:fill="eaf1dd" w:themeFill="accent3" w:themeFillTint="33"/>
        </w:rPr>
      </w:pPr>
      <w:r>
        <w:rPr>
          <w:rFonts w:ascii="PT Astra Serif" w:hAnsi="PT Astra Serif" w:eastAsia="Times New Roman"/>
          <w:b/>
          <w:sz w:val="24"/>
          <w:szCs w:val="24"/>
          <w:shd w:val="clear" w:color="auto" w:fill="eaf1dd" w:themeFill="accent3" w:themeFillTint="33"/>
        </w:rPr>
        <w:t xml:space="preserve">Регуляторная политика</w:t>
      </w:r>
      <w:r>
        <w:rPr>
          <w:rFonts w:ascii="PT Astra Serif" w:hAnsi="PT Astra Serif" w:eastAsia="Times New Roman"/>
          <w:b/>
          <w:sz w:val="24"/>
          <w:szCs w:val="24"/>
          <w:shd w:val="clear" w:color="auto" w:fill="eaf1dd" w:themeFill="accent3" w:themeFillTint="33"/>
        </w:rPr>
      </w:r>
      <w:r>
        <w:rPr>
          <w:rFonts w:ascii="PT Astra Serif" w:hAnsi="PT Astra Serif" w:eastAsia="Times New Roman"/>
          <w:b/>
          <w:sz w:val="24"/>
          <w:szCs w:val="24"/>
          <w:shd w:val="clear" w:color="auto" w:fill="eaf1dd" w:themeFill="accent3" w:themeFillTint="33"/>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в Томской области контрольно-надзорные мероприятия осуществляли 18 органов регионального контроля и 135 орган</w:t>
      </w:r>
      <w:r>
        <w:rPr>
          <w:rFonts w:ascii="PT Astra Serif" w:hAnsi="PT Astra Serif"/>
          <w:sz w:val="24"/>
          <w:szCs w:val="24"/>
        </w:rPr>
        <w:t xml:space="preserve">ов муниципального контроля. Предусмотрена реализация 29 видов регионального государственного контроля (надзора), 6 видов федерального государственного контроля (надзора), полномочия по осуществлению которых переданы на региональный уровень, а также более 5</w:t>
      </w:r>
      <w:r>
        <w:rPr>
          <w:rFonts w:ascii="PT Astra Serif" w:hAnsi="PT Astra Serif"/>
          <w:sz w:val="24"/>
          <w:szCs w:val="24"/>
        </w:rPr>
        <w:t xml:space="preserve">1</w:t>
      </w:r>
      <w:r>
        <w:rPr>
          <w:rFonts w:ascii="PT Astra Serif" w:hAnsi="PT Astra Serif"/>
          <w:sz w:val="24"/>
          <w:szCs w:val="24"/>
        </w:rPr>
        <w:t xml:space="preserve">0 видов муниципального контроля.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был продлен мораторий на проведение внеплановых контрольно-надзорных мероприятий (за исключением случаев </w:t>
      </w:r>
      <w:r>
        <w:rPr>
          <w:rFonts w:ascii="PT Astra Serif" w:hAnsi="PT Astra Serif"/>
          <w:sz w:val="24"/>
          <w:szCs w:val="24"/>
        </w:rPr>
        <w:t xml:space="preserve">проведения по согласованию с прокуратурой и только по определенному перечню оснований), а также продолжило действовать общее правило относительно непроведения плановых контрольно-надзорных мероприятий. За 2023 год региональными органами контроля проведено </w:t>
      </w:r>
      <w:r>
        <w:rPr>
          <w:rFonts w:ascii="PT Astra Serif" w:hAnsi="PT Astra Serif"/>
          <w:sz w:val="24"/>
          <w:szCs w:val="24"/>
        </w:rPr>
        <w:t xml:space="preserve">3</w:t>
      </w:r>
      <w:r>
        <w:rPr>
          <w:rFonts w:ascii="PT Astra Serif" w:hAnsi="PT Astra Serif"/>
          <w:sz w:val="24"/>
          <w:szCs w:val="24"/>
        </w:rPr>
        <w:t xml:space="preserve"> плановых и 441 внепланов</w:t>
      </w:r>
      <w:r>
        <w:rPr>
          <w:rFonts w:ascii="PT Astra Serif" w:hAnsi="PT Astra Serif"/>
          <w:sz w:val="24"/>
          <w:szCs w:val="24"/>
        </w:rPr>
        <w:t xml:space="preserve">ое</w:t>
      </w:r>
      <w:r>
        <w:rPr>
          <w:rFonts w:ascii="PT Astra Serif" w:hAnsi="PT Astra Serif"/>
          <w:sz w:val="24"/>
          <w:szCs w:val="24"/>
        </w:rPr>
        <w:t xml:space="preserve"> контрольно-надзорн</w:t>
      </w:r>
      <w:r>
        <w:rPr>
          <w:rFonts w:ascii="PT Astra Serif" w:hAnsi="PT Astra Serif"/>
          <w:sz w:val="24"/>
          <w:szCs w:val="24"/>
        </w:rPr>
        <w:t xml:space="preserve">ое</w:t>
      </w:r>
      <w:r>
        <w:rPr>
          <w:rFonts w:ascii="PT Astra Serif" w:hAnsi="PT Astra Serif"/>
          <w:sz w:val="24"/>
          <w:szCs w:val="24"/>
        </w:rPr>
        <w:t xml:space="preserve"> мероприяти</w:t>
      </w:r>
      <w:r>
        <w:rPr>
          <w:rFonts w:ascii="PT Astra Serif" w:hAnsi="PT Astra Serif"/>
          <w:sz w:val="24"/>
          <w:szCs w:val="24"/>
        </w:rPr>
        <w:t xml:space="preserve">е</w:t>
      </w:r>
      <w:r>
        <w:rPr>
          <w:rFonts w:ascii="PT Astra Serif" w:hAnsi="PT Astra Serif"/>
          <w:sz w:val="24"/>
          <w:szCs w:val="24"/>
        </w:rPr>
        <w:t xml:space="preserve"> (за 2022 год </w:t>
      </w:r>
      <w:r>
        <w:rPr>
          <w:rFonts w:ascii="PT Astra Serif" w:hAnsi="PT Astra Serif" w:cstheme="minorBidi"/>
          <w:sz w:val="24"/>
          <w:szCs w:val="24"/>
        </w:rPr>
        <w:t xml:space="preserve">–</w:t>
      </w:r>
      <w:r>
        <w:rPr>
          <w:rFonts w:ascii="PT Astra Serif" w:hAnsi="PT Astra Serif"/>
          <w:sz w:val="24"/>
          <w:szCs w:val="24"/>
        </w:rPr>
        <w:t xml:space="preserve"> 304 проверки). Увеличение числа таких проверо</w:t>
      </w:r>
      <w:r>
        <w:rPr>
          <w:rFonts w:ascii="PT Astra Serif" w:hAnsi="PT Astra Serif"/>
          <w:sz w:val="24"/>
          <w:szCs w:val="24"/>
        </w:rPr>
        <w:t xml:space="preserve">к в 2023 году связано с тем, что при выявлении индикатора риска нарушения обязательных требований по согласованию с прокуратурой можно было провести внеплановую проверку любого объекта, а в 2022 году только объектов чрезвычайно высокого и высокого рисков.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Лидерами по коли</w:t>
      </w:r>
      <w:r>
        <w:rPr>
          <w:rFonts w:ascii="PT Astra Serif" w:hAnsi="PT Astra Serif"/>
          <w:sz w:val="24"/>
          <w:szCs w:val="24"/>
        </w:rPr>
        <w:t xml:space="preserve">честву проведенных проверок за 2023 год среди региональных органов контроля стали Главная инспекция Государственного строительного надзора Томской области (186), Департамент ЖКХ и государственного жилищного надзора Томской области (146), Комитет по охране </w:t>
      </w:r>
      <w:r>
        <w:rPr>
          <w:rFonts w:ascii="PT Astra Serif" w:hAnsi="PT Astra Serif"/>
          <w:sz w:val="24"/>
          <w:szCs w:val="24"/>
        </w:rPr>
        <w:t xml:space="preserve">объектов </w:t>
      </w:r>
      <w:r>
        <w:rPr>
          <w:rFonts w:ascii="PT Astra Serif" w:hAnsi="PT Astra Serif"/>
          <w:sz w:val="24"/>
          <w:szCs w:val="24"/>
        </w:rPr>
        <w:t xml:space="preserve">культурного наследия Томской области (70).</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Региональные органы контроля Томской области активно проводят профилактическую работу, которая не требует согласования с прокуратурой (предостережения, профилактические визиты). За 2023 год проведено 3227 профилактических мероприятий (за 2022 год </w:t>
      </w:r>
      <w:r>
        <w:rPr>
          <w:rFonts w:ascii="PT Astra Serif" w:hAnsi="PT Astra Serif" w:cstheme="minorBidi"/>
          <w:sz w:val="24"/>
          <w:szCs w:val="24"/>
        </w:rPr>
        <w:t xml:space="preserve">–</w:t>
      </w:r>
      <w:r>
        <w:rPr>
          <w:rFonts w:ascii="PT Astra Serif" w:hAnsi="PT Astra Serif"/>
          <w:sz w:val="24"/>
          <w:szCs w:val="24"/>
        </w:rPr>
        <w:t xml:space="preserve"> 2845), в том числе</w:t>
      </w:r>
      <w:r>
        <w:rPr>
          <w:rFonts w:ascii="PT Astra Serif" w:hAnsi="PT Astra Serif"/>
          <w:sz w:val="24"/>
          <w:szCs w:val="24"/>
        </w:rPr>
        <w:t xml:space="preserve"> 2 606 – объявлены предостережения, 621 – профилактический визит. Лидерами по количеству проведенных </w:t>
      </w:r>
      <w:r>
        <w:rPr>
          <w:rFonts w:ascii="PT Astra Serif" w:hAnsi="PT Astra Serif"/>
          <w:sz w:val="24"/>
          <w:szCs w:val="24"/>
        </w:rPr>
        <w:t xml:space="preserve">профилактических мероприятий являются Департамент лицензирования и регионального государственного контроля Томской области (1514), Департамент общего образования Томской области (611), Инспекция государственного технического надзора Томской области (318).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предприниматели Томской области впервые воспользовались сервисом «Досудебное обжаловани</w:t>
      </w:r>
      <w:r>
        <w:rPr>
          <w:rFonts w:ascii="PT Astra Serif" w:hAnsi="PT Astra Serif"/>
          <w:sz w:val="24"/>
          <w:szCs w:val="24"/>
        </w:rPr>
        <w:t xml:space="preserve">е» ГИС «Типовое облачное решение по автоматизации контрольной (надзорной) деятельности», подав 9 жалоб, которые касались «жизненных ситуаций», связанных с нарушением процедуры проведения проверки и несогласия с действиями должностных лиц в рамках проверки.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целях развития конкуренции в Томской области в 2023 году продолжена реализация Плана мероприятий («дорожной карты») по содействию развитию конкуренции в Томской области на 2022 </w:t>
      </w:r>
      <w:r>
        <w:rPr>
          <w:rFonts w:ascii="PT Astra Serif" w:hAnsi="PT Astra Serif" w:cstheme="minorBidi"/>
          <w:sz w:val="24"/>
          <w:szCs w:val="24"/>
        </w:rPr>
        <w:t xml:space="preserve">–</w:t>
      </w:r>
      <w:r>
        <w:rPr>
          <w:rFonts w:ascii="PT Astra Serif" w:hAnsi="PT Astra Serif"/>
          <w:sz w:val="24"/>
          <w:szCs w:val="24"/>
        </w:rPr>
        <w:t xml:space="preserve"> 2025 годы, реализовано 51 системное мероприятие (100% от запланированных мероприятий).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Распоряжением Губернатора Томской области от 30.12.2021 № 304-р утвержден Перечень товарных рынков для содействия развитию конкуренции в Томской области. </w:t>
      </w:r>
      <w:r>
        <w:rPr>
          <w:rFonts w:ascii="PT Astra Serif" w:hAnsi="PT Astra Serif"/>
          <w:sz w:val="24"/>
          <w:szCs w:val="24"/>
        </w:rPr>
        <w:t xml:space="preserve">Н</w:t>
      </w:r>
      <w:r>
        <w:rPr>
          <w:rFonts w:ascii="PT Astra Serif" w:hAnsi="PT Astra Serif"/>
          <w:sz w:val="24"/>
          <w:szCs w:val="24"/>
        </w:rPr>
        <w:t xml:space="preserve">а 15 из 37 товарных рынках дол</w:t>
      </w:r>
      <w:r>
        <w:rPr>
          <w:rFonts w:ascii="PT Astra Serif" w:hAnsi="PT Astra Serif"/>
          <w:sz w:val="24"/>
          <w:szCs w:val="24"/>
        </w:rPr>
        <w:t xml:space="preserve">я организаций частной собственности составляет 100%, субъекты с государственным (муниципальным) участием на таких рынках отсутствуют. Высокий процент частной собственности в регионе сосредоточен в сферах промышленности, строительства и сельского хозяйства.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Количество государственных и муниципальных унитарных предприятий на территории Томской области по состоянию на 31.12.2023 составило 10</w:t>
      </w:r>
      <w:r>
        <w:rPr>
          <w:rFonts w:ascii="PT Astra Serif" w:hAnsi="PT Astra Serif"/>
          <w:sz w:val="24"/>
          <w:szCs w:val="24"/>
        </w:rPr>
        <w:t xml:space="preserve">0</w:t>
      </w:r>
      <w:r>
        <w:rPr>
          <w:rFonts w:ascii="PT Astra Serif" w:hAnsi="PT Astra Serif"/>
          <w:sz w:val="24"/>
          <w:szCs w:val="24"/>
        </w:rPr>
        <w:t xml:space="preserve"> ед. (в 2022 году – 96 ед.).</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отношении областных государственных унитарных предприятий в 2023 году проведены мероприятия, направленные на подготовку к приватизации в 2024 году ГУП ТО «Областное ДРСУ», ОГУП «Кожевниковское ДРСУ», ОГУП «Бакчарское».</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За отчетный год в Томской области прекратили свою деятельность 2 муниципальных унитарных предприятия.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По итогам года доля мероприятий, связанных с реализацией имущества хозяйствующих субъектов, доля участия Томской области в которых составляет 50 и более процентов, проведенных в форме публичных торгов или иных конкурентных процедур, составила 33%.</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1. Развитие системы управления рисками и индикаторов риска в качестве основного инструмента совершенствования контрольно-надзорной деятельности.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2. Обеспечение дальнейшей цифровизации контрольной (надзорной) деятельности.</w:t>
      </w:r>
      <w:r>
        <w:rPr>
          <w:rFonts w:ascii="PT Astra Serif" w:hAnsi="PT Astra Serif"/>
          <w:sz w:val="24"/>
          <w:szCs w:val="24"/>
        </w:rPr>
      </w:r>
      <w:r>
        <w:rPr>
          <w:rFonts w:ascii="PT Astra Serif" w:hAnsi="PT Astra Serif"/>
          <w:sz w:val="24"/>
          <w:szCs w:val="24"/>
        </w:rPr>
      </w:r>
    </w:p>
    <w:p>
      <w:pPr>
        <w:pStyle w:val="1149"/>
        <w:ind w:firstLine="709"/>
        <w:jc w:val="both"/>
        <w:spacing w:before="0" w:beforeAutospacing="0" w:after="0" w:afterAutospacing="0"/>
        <w:rPr>
          <w:rFonts w:ascii="PT Astra Serif" w:hAnsi="PT Astra Serif"/>
        </w:rPr>
      </w:pPr>
      <w:r>
        <w:rPr>
          <w:rFonts w:ascii="PT Astra Serif" w:hAnsi="PT Astra Serif"/>
        </w:rPr>
        <w:t xml:space="preserve">3. Осуществление мероприятий, направленных на развитие конкуренции в Томской области, снижение административной нагрузки на субъекты предпринимательства.</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rPr>
      </w:pPr>
      <w:r>
        <w:rPr>
          <w:rFonts w:ascii="PT Astra Serif" w:hAnsi="PT Astra Serif"/>
        </w:rPr>
        <w:t xml:space="preserve">4. Обеспечение равных условий деятельности на конкурентных рынках для субъектов с государственным (муниципальным) участием и организаций частной формы собственности.</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rPr>
      </w:pPr>
      <w:r>
        <w:rPr>
          <w:rFonts w:ascii="PT Astra Serif" w:hAnsi="PT Astra Serif"/>
        </w:rPr>
        <w:t xml:space="preserve">5. Обеспечение эффективного и прозрачного управления государственной и муниципальной собственностью.</w:t>
      </w:r>
      <w:r>
        <w:rPr>
          <w:rFonts w:ascii="PT Astra Serif" w:hAnsi="PT Astra Serif"/>
        </w:rPr>
      </w:r>
      <w:r>
        <w:rPr>
          <w:rFonts w:ascii="PT Astra Serif" w:hAnsi="PT Astra Serif"/>
        </w:rPr>
      </w:r>
    </w:p>
    <w:p>
      <w:pPr>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shd w:val="clear" w:color="auto" w:fill="eaf1dd" w:themeFill="accent3" w:themeFillTint="33"/>
        <w:tabs>
          <w:tab w:val="left" w:pos="4962" w:leader="none"/>
        </w:tabs>
        <w:rPr>
          <w:rFonts w:ascii="PT Astra Serif" w:hAnsi="PT Astra Serif" w:eastAsia="Times New Roman"/>
          <w:b/>
          <w:sz w:val="24"/>
          <w:szCs w:val="24"/>
        </w:rPr>
      </w:pPr>
      <w:r>
        <w:rPr>
          <w:rFonts w:ascii="PT Astra Serif" w:hAnsi="PT Astra Serif" w:eastAsia="Times New Roman"/>
          <w:b/>
          <w:sz w:val="24"/>
          <w:szCs w:val="24"/>
          <w:shd w:val="clear" w:color="auto" w:fill="eaf1dd" w:themeFill="accent3" w:themeFillTint="33"/>
        </w:rPr>
        <w:t xml:space="preserve">Потребительский рынок</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Главными трендами потребительского рынка в 2023 году </w:t>
      </w:r>
      <w:r>
        <w:rPr>
          <w:rFonts w:ascii="PT Astra Serif" w:hAnsi="PT Astra Serif"/>
          <w:sz w:val="24"/>
          <w:szCs w:val="24"/>
        </w:rPr>
        <w:t xml:space="preserve">стали повышение качества управления цепочками поставок, налаживание логистических процессов; трансформация ассортимента с учетом изменений покупательского поведения. Ввиду ухода зарубежных брендов в приоритете стали локальные производители, развитие онлайн</w:t>
      </w:r>
      <w:r>
        <w:rPr>
          <w:rFonts w:ascii="PT Astra Serif" w:hAnsi="PT Astra Serif"/>
          <w:sz w:val="24"/>
          <w:szCs w:val="24"/>
        </w:rPr>
        <w:t xml:space="preserve">-</w:t>
      </w:r>
      <w:r>
        <w:rPr>
          <w:rFonts w:ascii="PT Astra Serif" w:hAnsi="PT Astra Serif"/>
          <w:sz w:val="24"/>
          <w:szCs w:val="24"/>
        </w:rPr>
        <w:t xml:space="preserve">продаж, рост доли собственных торговых марок.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Особое внимание уделялось поддержке сбыта продукции местных сельхозтоваропроизводителей, популяризации томских предприятий в сфере потребительского рынка.</w:t>
      </w:r>
      <w:r>
        <w:rPr>
          <w:rFonts w:ascii="PT Astra Serif" w:hAnsi="PT Astra Serif"/>
          <w:sz w:val="24"/>
          <w:szCs w:val="24"/>
        </w:rPr>
      </w:r>
      <w:r>
        <w:rPr>
          <w:rFonts w:ascii="PT Astra Serif" w:hAnsi="PT Astra Serif"/>
          <w:sz w:val="24"/>
          <w:szCs w:val="24"/>
        </w:rPr>
      </w:r>
    </w:p>
    <w:p>
      <w:pPr>
        <w:ind w:firstLine="709"/>
        <w:jc w:val="right"/>
        <w:spacing w:after="0" w:line="240" w:lineRule="auto"/>
        <w:tabs>
          <w:tab w:val="center" w:pos="-1080" w:leader="none"/>
          <w:tab w:val="left" w:pos="1605" w:leader="none"/>
        </w:tabs>
        <w:rPr>
          <w:rFonts w:ascii="PT Astra Serif" w:hAnsi="PT Astra Serif" w:eastAsia="PT Astra Serif"/>
          <w:sz w:val="24"/>
          <w:szCs w:val="24"/>
        </w:rPr>
      </w:pPr>
      <w:r>
        <w:rPr>
          <w:rFonts w:ascii="PT Astra Serif" w:hAnsi="PT Astra Serif" w:eastAsia="PT Astra Serif"/>
          <w:sz w:val="24"/>
          <w:szCs w:val="24"/>
        </w:rPr>
        <w:t xml:space="preserve">Таблица 4</w:t>
      </w:r>
      <w:r>
        <w:rPr>
          <w:rFonts w:ascii="PT Astra Serif" w:hAnsi="PT Astra Serif" w:eastAsia="PT Astra Serif"/>
          <w:sz w:val="24"/>
          <w:szCs w:val="24"/>
        </w:rPr>
      </w:r>
      <w:r>
        <w:rPr>
          <w:rFonts w:ascii="PT Astra Serif" w:hAnsi="PT Astra Serif" w:eastAsia="PT Astra Serif"/>
          <w:sz w:val="24"/>
          <w:szCs w:val="24"/>
        </w:rPr>
      </w:r>
    </w:p>
    <w:p>
      <w:pPr>
        <w:jc w:val="center"/>
        <w:spacing w:after="0" w:line="240" w:lineRule="auto"/>
        <w:tabs>
          <w:tab w:val="left" w:pos="851" w:leader="none"/>
          <w:tab w:val="left" w:pos="4962" w:leader="none"/>
        </w:tabs>
        <w:rPr>
          <w:rFonts w:ascii="PT Astra Serif" w:hAnsi="PT Astra Serif" w:eastAsia="Calibri"/>
          <w:sz w:val="24"/>
          <w:szCs w:val="24"/>
        </w:rPr>
      </w:pPr>
      <w:r>
        <w:rPr>
          <w:rFonts w:ascii="PT Astra Serif" w:hAnsi="PT Astra Serif" w:eastAsia="Calibri"/>
          <w:sz w:val="24"/>
          <w:szCs w:val="24"/>
        </w:rPr>
        <w:t xml:space="preserve">Оборот розничной торговли Томской области</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tbl>
      <w:tblPr>
        <w:tblStyle w:val="1142"/>
        <w:tblW w:w="0" w:type="auto"/>
        <w:jc w:val="center"/>
        <w:tblLook w:val="04A0" w:firstRow="1" w:lastRow="0" w:firstColumn="1" w:lastColumn="0" w:noHBand="0" w:noVBand="1"/>
      </w:tblPr>
      <w:tblGrid>
        <w:gridCol w:w="5550"/>
        <w:gridCol w:w="1325"/>
        <w:gridCol w:w="1111"/>
        <w:gridCol w:w="1270"/>
      </w:tblGrid>
      <w:tr>
        <w:tblPrEx/>
        <w:trPr>
          <w:jc w:val="center"/>
          <w:trHeight w:val="299"/>
        </w:trPr>
        <w:tc>
          <w:tcPr>
            <w:tcBorders>
              <w:top w:val="single" w:color="auto" w:sz="4" w:space="0"/>
              <w:left w:val="single" w:color="auto" w:sz="4" w:space="0"/>
              <w:bottom w:val="single" w:color="auto" w:sz="4" w:space="0"/>
              <w:right w:val="single" w:color="auto" w:sz="4" w:space="0"/>
            </w:tcBorders>
            <w:tcW w:w="5550" w:type="dxa"/>
            <w:textDirection w:val="lrTb"/>
            <w:noWrap w:val="false"/>
          </w:tcPr>
          <w:p>
            <w:pPr>
              <w:rPr>
                <w:rFonts w:ascii="PT Astra Serif" w:hAnsi="PT Astra Serif"/>
                <w:sz w:val="24"/>
                <w:szCs w:val="24"/>
              </w:rPr>
            </w:pPr>
            <w:r>
              <w:rPr>
                <w:rFonts w:ascii="PT Astra Serif" w:hAnsi="PT Astra Serif"/>
                <w:sz w:val="24"/>
                <w:szCs w:val="24"/>
              </w:rPr>
              <w:t xml:space="preserve">Наименование показателя</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325" w:type="dxa"/>
            <w:textDirection w:val="lrTb"/>
            <w:noWrap/>
          </w:tcPr>
          <w:p>
            <w:pPr>
              <w:jc w:val="center"/>
              <w:rPr>
                <w:rFonts w:ascii="PT Astra Serif" w:hAnsi="PT Astra Serif"/>
                <w:sz w:val="24"/>
                <w:szCs w:val="24"/>
              </w:rPr>
            </w:pPr>
            <w:r>
              <w:rPr>
                <w:rFonts w:ascii="PT Astra Serif" w:hAnsi="PT Astra Serif"/>
                <w:sz w:val="24"/>
                <w:szCs w:val="24"/>
              </w:rPr>
              <w:t xml:space="preserve">2021 год</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111" w:type="dxa"/>
            <w:textDirection w:val="lrTb"/>
            <w:noWrap/>
          </w:tcPr>
          <w:p>
            <w:pPr>
              <w:jc w:val="center"/>
              <w:rPr>
                <w:rFonts w:ascii="PT Astra Serif" w:hAnsi="PT Astra Serif"/>
                <w:sz w:val="24"/>
                <w:szCs w:val="24"/>
              </w:rPr>
            </w:pPr>
            <w:r>
              <w:rPr>
                <w:rFonts w:ascii="PT Astra Serif" w:hAnsi="PT Astra Serif"/>
                <w:sz w:val="24"/>
                <w:szCs w:val="24"/>
              </w:rPr>
              <w:t xml:space="preserve">2022 год</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jc w:val="center"/>
              <w:rPr>
                <w:rFonts w:ascii="PT Astra Serif" w:hAnsi="PT Astra Serif"/>
                <w:sz w:val="24"/>
                <w:szCs w:val="24"/>
              </w:rPr>
            </w:pPr>
            <w:r>
              <w:rPr>
                <w:rFonts w:ascii="PT Astra Serif" w:hAnsi="PT Astra Serif"/>
                <w:sz w:val="24"/>
                <w:szCs w:val="24"/>
              </w:rPr>
              <w:t xml:space="preserve">2023 год</w:t>
            </w:r>
            <w:r>
              <w:rPr>
                <w:rFonts w:ascii="PT Astra Serif" w:hAnsi="PT Astra Serif"/>
                <w:sz w:val="24"/>
                <w:szCs w:val="24"/>
              </w:rPr>
            </w:r>
            <w:r>
              <w:rPr>
                <w:rFonts w:ascii="PT Astra Serif" w:hAnsi="PT Astra Serif"/>
                <w:sz w:val="24"/>
                <w:szCs w:val="24"/>
              </w:rPr>
            </w:r>
          </w:p>
        </w:tc>
      </w:tr>
      <w:tr>
        <w:tblPrEx/>
        <w:trPr>
          <w:jc w:val="center"/>
          <w:trHeight w:val="273"/>
        </w:trPr>
        <w:tc>
          <w:tcPr>
            <w:tcBorders>
              <w:top w:val="single" w:color="auto" w:sz="4" w:space="0"/>
              <w:left w:val="single" w:color="auto" w:sz="4" w:space="0"/>
              <w:bottom w:val="single" w:color="auto" w:sz="4" w:space="0"/>
              <w:right w:val="single" w:color="auto" w:sz="4" w:space="0"/>
            </w:tcBorders>
            <w:tcW w:w="5550" w:type="dxa"/>
            <w:textDirection w:val="lrTb"/>
            <w:noWrap w:val="false"/>
          </w:tcPr>
          <w:p>
            <w:pPr>
              <w:rPr>
                <w:rFonts w:ascii="PT Astra Serif" w:hAnsi="PT Astra Serif"/>
                <w:i/>
                <w:sz w:val="24"/>
                <w:szCs w:val="24"/>
              </w:rPr>
            </w:pPr>
            <w:r>
              <w:rPr>
                <w:rFonts w:ascii="PT Astra Serif" w:hAnsi="PT Astra Serif"/>
                <w:i/>
                <w:sz w:val="24"/>
                <w:szCs w:val="24"/>
              </w:rPr>
              <w:t xml:space="preserve">Оборот розничной торговли Томской области (</w:t>
            </w:r>
            <w:r>
              <w:rPr>
                <w:rFonts w:ascii="PT Astra Serif" w:hAnsi="PT Astra Serif"/>
                <w:i/>
                <w:sz w:val="24"/>
                <w:szCs w:val="24"/>
              </w:rPr>
              <w:t xml:space="preserve">млрд</w:t>
            </w:r>
            <w:r>
              <w:rPr>
                <w:rFonts w:ascii="PT Astra Serif" w:hAnsi="PT Astra Serif"/>
                <w:i/>
                <w:sz w:val="24"/>
                <w:szCs w:val="24"/>
              </w:rPr>
              <w:t xml:space="preserve"> </w:t>
            </w:r>
            <w:r>
              <w:rPr>
                <w:rFonts w:ascii="PT Astra Serif" w:hAnsi="PT Astra Serif"/>
                <w:i/>
                <w:sz w:val="24"/>
                <w:szCs w:val="24"/>
              </w:rPr>
              <w:t xml:space="preserve">рублей)</w:t>
            </w:r>
            <w:r>
              <w:rPr>
                <w:rFonts w:ascii="PT Astra Serif" w:hAnsi="PT Astra Serif"/>
                <w:i/>
                <w:sz w:val="24"/>
                <w:szCs w:val="24"/>
              </w:rPr>
            </w:r>
            <w:r>
              <w:rPr>
                <w:rFonts w:ascii="PT Astra Serif" w:hAnsi="PT Astra Serif"/>
                <w:i/>
                <w:sz w:val="24"/>
                <w:szCs w:val="24"/>
              </w:rPr>
            </w:r>
          </w:p>
        </w:tc>
        <w:tc>
          <w:tcPr>
            <w:tcBorders>
              <w:top w:val="single" w:color="auto" w:sz="4" w:space="0"/>
              <w:left w:val="single" w:color="auto" w:sz="4" w:space="0"/>
              <w:bottom w:val="single" w:color="auto" w:sz="4" w:space="0"/>
              <w:right w:val="single" w:color="auto" w:sz="4" w:space="0"/>
            </w:tcBorders>
            <w:tcW w:w="1325" w:type="dxa"/>
            <w:textDirection w:val="lrTb"/>
            <w:noWrap/>
          </w:tcPr>
          <w:p>
            <w:pPr>
              <w:jc w:val="center"/>
              <w:rPr>
                <w:rFonts w:ascii="PT Astra Serif" w:hAnsi="PT Astra Serif"/>
                <w:i/>
                <w:sz w:val="24"/>
                <w:szCs w:val="24"/>
              </w:rPr>
            </w:pPr>
            <w:r>
              <w:rPr>
                <w:rFonts w:ascii="PT Astra Serif" w:hAnsi="PT Astra Serif"/>
                <w:i/>
                <w:sz w:val="24"/>
                <w:szCs w:val="24"/>
              </w:rPr>
              <w:t xml:space="preserve">209,9</w:t>
            </w:r>
            <w:r>
              <w:rPr>
                <w:rFonts w:ascii="PT Astra Serif" w:hAnsi="PT Astra Serif"/>
                <w:i/>
                <w:sz w:val="24"/>
                <w:szCs w:val="24"/>
              </w:rPr>
            </w:r>
            <w:r>
              <w:rPr>
                <w:rFonts w:ascii="PT Astra Serif" w:hAnsi="PT Astra Serif"/>
                <w:i/>
                <w:sz w:val="24"/>
                <w:szCs w:val="24"/>
              </w:rPr>
            </w:r>
          </w:p>
        </w:tc>
        <w:tc>
          <w:tcPr>
            <w:tcBorders>
              <w:top w:val="single" w:color="auto" w:sz="4" w:space="0"/>
              <w:left w:val="single" w:color="auto" w:sz="4" w:space="0"/>
              <w:bottom w:val="single" w:color="auto" w:sz="4" w:space="0"/>
              <w:right w:val="single" w:color="auto" w:sz="4" w:space="0"/>
            </w:tcBorders>
            <w:tcW w:w="1111" w:type="dxa"/>
            <w:textDirection w:val="lrTb"/>
            <w:noWrap/>
          </w:tcPr>
          <w:p>
            <w:pPr>
              <w:jc w:val="center"/>
              <w:rPr>
                <w:rFonts w:ascii="PT Astra Serif" w:hAnsi="PT Astra Serif"/>
                <w:i/>
                <w:sz w:val="24"/>
                <w:szCs w:val="24"/>
              </w:rPr>
            </w:pPr>
            <w:r>
              <w:rPr>
                <w:rFonts w:ascii="PT Astra Serif" w:hAnsi="PT Astra Serif"/>
                <w:i/>
                <w:sz w:val="24"/>
                <w:szCs w:val="24"/>
              </w:rPr>
              <w:t xml:space="preserve">235,8</w:t>
            </w:r>
            <w:r>
              <w:rPr>
                <w:rFonts w:ascii="PT Astra Serif" w:hAnsi="PT Astra Serif"/>
                <w:i/>
                <w:sz w:val="24"/>
                <w:szCs w:val="24"/>
              </w:rPr>
            </w:r>
            <w:r>
              <w:rPr>
                <w:rFonts w:ascii="PT Astra Serif" w:hAnsi="PT Astra Serif"/>
                <w:i/>
                <w:sz w:val="24"/>
                <w:szCs w:val="24"/>
              </w:rP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jc w:val="center"/>
              <w:rPr>
                <w:rFonts w:ascii="PT Astra Serif" w:hAnsi="PT Astra Serif"/>
                <w:i/>
                <w:sz w:val="24"/>
                <w:szCs w:val="24"/>
              </w:rPr>
            </w:pPr>
            <w:r>
              <w:rPr>
                <w:rFonts w:ascii="PT Astra Serif" w:hAnsi="PT Astra Serif"/>
                <w:i/>
                <w:sz w:val="24"/>
                <w:szCs w:val="24"/>
              </w:rPr>
              <w:t xml:space="preserve">262,8</w:t>
            </w:r>
            <w:r>
              <w:rPr>
                <w:rFonts w:ascii="PT Astra Serif" w:hAnsi="PT Astra Serif"/>
                <w:i/>
                <w:sz w:val="24"/>
                <w:szCs w:val="24"/>
              </w:rPr>
            </w:r>
            <w:r>
              <w:rPr>
                <w:rFonts w:ascii="PT Astra Serif" w:hAnsi="PT Astra Serif"/>
                <w:i/>
                <w:sz w:val="24"/>
                <w:szCs w:val="24"/>
              </w:rPr>
            </w:r>
          </w:p>
        </w:tc>
      </w:tr>
      <w:tr>
        <w:tblPrEx/>
        <w:trPr>
          <w:jc w:val="center"/>
          <w:trHeight w:val="198"/>
        </w:trPr>
        <w:tc>
          <w:tcPr>
            <w:tcBorders>
              <w:top w:val="single" w:color="auto" w:sz="4" w:space="0"/>
              <w:left w:val="single" w:color="auto" w:sz="4" w:space="0"/>
              <w:bottom w:val="single" w:color="auto" w:sz="4" w:space="0"/>
              <w:right w:val="single" w:color="auto" w:sz="4" w:space="0"/>
            </w:tcBorders>
            <w:tcW w:w="5550" w:type="dxa"/>
            <w:textDirection w:val="lrTb"/>
            <w:noWrap w:val="false"/>
          </w:tcPr>
          <w:p>
            <w:pPr>
              <w:rPr>
                <w:rFonts w:ascii="PT Astra Serif" w:hAnsi="PT Astra Serif"/>
                <w:sz w:val="24"/>
                <w:szCs w:val="24"/>
              </w:rPr>
            </w:pPr>
            <w:r>
              <w:rPr>
                <w:rFonts w:ascii="PT Astra Serif" w:hAnsi="PT Astra Serif"/>
                <w:sz w:val="24"/>
                <w:szCs w:val="24"/>
              </w:rPr>
              <w:t xml:space="preserve">ИФО Томская область, %</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325" w:type="dxa"/>
            <w:textDirection w:val="lrTb"/>
            <w:noWrap/>
          </w:tcPr>
          <w:p>
            <w:pPr>
              <w:jc w:val="center"/>
              <w:rPr>
                <w:rFonts w:ascii="PT Astra Serif" w:hAnsi="PT Astra Serif"/>
                <w:sz w:val="24"/>
                <w:szCs w:val="24"/>
              </w:rPr>
            </w:pPr>
            <w:r>
              <w:rPr>
                <w:rFonts w:ascii="PT Astra Serif" w:hAnsi="PT Astra Serif"/>
                <w:sz w:val="24"/>
                <w:szCs w:val="24"/>
              </w:rPr>
              <w:t xml:space="preserve">112,9</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111" w:type="dxa"/>
            <w:textDirection w:val="lrTb"/>
            <w:noWrap/>
          </w:tcPr>
          <w:p>
            <w:pPr>
              <w:jc w:val="center"/>
              <w:rPr>
                <w:rFonts w:ascii="PT Astra Serif" w:hAnsi="PT Astra Serif"/>
                <w:sz w:val="24"/>
                <w:szCs w:val="24"/>
              </w:rPr>
            </w:pPr>
            <w:r>
              <w:rPr>
                <w:rFonts w:ascii="PT Astra Serif" w:hAnsi="PT Astra Serif"/>
                <w:sz w:val="24"/>
                <w:szCs w:val="24"/>
              </w:rPr>
              <w:t xml:space="preserve">97,6</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jc w:val="center"/>
              <w:rPr>
                <w:rFonts w:ascii="PT Astra Serif" w:hAnsi="PT Astra Serif"/>
                <w:sz w:val="24"/>
                <w:szCs w:val="24"/>
              </w:rPr>
            </w:pPr>
            <w:r>
              <w:rPr>
                <w:rFonts w:ascii="PT Astra Serif" w:hAnsi="PT Astra Serif"/>
                <w:sz w:val="24"/>
                <w:szCs w:val="24"/>
              </w:rPr>
              <w:t xml:space="preserve">107,5</w:t>
            </w:r>
            <w:r>
              <w:rPr>
                <w:rFonts w:ascii="PT Astra Serif" w:hAnsi="PT Astra Serif"/>
                <w:sz w:val="24"/>
                <w:szCs w:val="24"/>
              </w:rPr>
            </w:r>
            <w:r>
              <w:rPr>
                <w:rFonts w:ascii="PT Astra Serif" w:hAnsi="PT Astra Serif"/>
                <w:sz w:val="24"/>
                <w:szCs w:val="24"/>
              </w:rPr>
            </w:r>
          </w:p>
        </w:tc>
      </w:tr>
      <w:tr>
        <w:tblPrEx/>
        <w:trPr>
          <w:jc w:val="center"/>
          <w:trHeight w:val="217"/>
        </w:trPr>
        <w:tc>
          <w:tcPr>
            <w:shd w:val="clear" w:color="auto" w:fill="ffffff" w:themeFill="background1"/>
            <w:tcBorders>
              <w:top w:val="single" w:color="auto" w:sz="4" w:space="0"/>
              <w:left w:val="single" w:color="auto" w:sz="4" w:space="0"/>
              <w:bottom w:val="single" w:color="auto" w:sz="4" w:space="0"/>
              <w:right w:val="single" w:color="auto" w:sz="4" w:space="0"/>
            </w:tcBorders>
            <w:tcW w:w="5550" w:type="dxa"/>
            <w:textDirection w:val="lrTb"/>
            <w:noWrap w:val="false"/>
          </w:tcPr>
          <w:p>
            <w:pPr>
              <w:rPr>
                <w:rFonts w:ascii="PT Astra Serif" w:hAnsi="PT Astra Serif"/>
                <w:sz w:val="24"/>
                <w:szCs w:val="24"/>
              </w:rPr>
            </w:pPr>
            <w:r>
              <w:rPr>
                <w:rFonts w:ascii="PT Astra Serif" w:hAnsi="PT Astra Serif"/>
                <w:sz w:val="24"/>
                <w:szCs w:val="24"/>
              </w:rPr>
              <w:t xml:space="preserve">ИФО Россия, %</w:t>
            </w:r>
            <w:r>
              <w:rPr>
                <w:rFonts w:ascii="PT Astra Serif" w:hAnsi="PT Astra Serif"/>
                <w:sz w:val="24"/>
                <w:szCs w:val="24"/>
              </w:rPr>
            </w:r>
            <w:r>
              <w:rPr>
                <w:rFonts w:ascii="PT Astra Serif" w:hAnsi="PT Astra Serif"/>
                <w:sz w:val="24"/>
                <w:szCs w:val="24"/>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325" w:type="dxa"/>
            <w:textDirection w:val="lrTb"/>
            <w:noWrap/>
          </w:tcPr>
          <w:p>
            <w:pPr>
              <w:jc w:val="center"/>
              <w:rPr>
                <w:rFonts w:ascii="PT Astra Serif" w:hAnsi="PT Astra Serif"/>
                <w:sz w:val="24"/>
                <w:szCs w:val="24"/>
              </w:rPr>
            </w:pPr>
            <w:r>
              <w:rPr>
                <w:rFonts w:ascii="PT Astra Serif" w:hAnsi="PT Astra Serif"/>
                <w:sz w:val="24"/>
                <w:szCs w:val="24"/>
              </w:rPr>
              <w:t xml:space="preserve">107,8</w:t>
            </w:r>
            <w:r>
              <w:rPr>
                <w:rFonts w:ascii="PT Astra Serif" w:hAnsi="PT Astra Serif"/>
                <w:sz w:val="24"/>
                <w:szCs w:val="24"/>
              </w:rPr>
            </w:r>
            <w:r>
              <w:rPr>
                <w:rFonts w:ascii="PT Astra Serif" w:hAnsi="PT Astra Serif"/>
                <w:sz w:val="24"/>
                <w:szCs w:val="24"/>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111" w:type="dxa"/>
            <w:textDirection w:val="lrTb"/>
            <w:noWrap/>
          </w:tcPr>
          <w:p>
            <w:pPr>
              <w:jc w:val="center"/>
              <w:rPr>
                <w:rFonts w:ascii="PT Astra Serif" w:hAnsi="PT Astra Serif"/>
                <w:sz w:val="24"/>
                <w:szCs w:val="24"/>
              </w:rPr>
            </w:pPr>
            <w:r>
              <w:rPr>
                <w:rFonts w:ascii="PT Astra Serif" w:hAnsi="PT Astra Serif"/>
                <w:sz w:val="24"/>
                <w:szCs w:val="24"/>
              </w:rPr>
              <w:t xml:space="preserve">93,5</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jc w:val="center"/>
              <w:rPr>
                <w:rFonts w:ascii="PT Astra Serif" w:hAnsi="PT Astra Serif"/>
                <w:sz w:val="24"/>
                <w:szCs w:val="24"/>
              </w:rPr>
            </w:pPr>
            <w:r>
              <w:rPr>
                <w:rFonts w:ascii="PT Astra Serif" w:hAnsi="PT Astra Serif"/>
                <w:sz w:val="24"/>
                <w:szCs w:val="24"/>
              </w:rPr>
              <w:t xml:space="preserve">106,4</w:t>
            </w:r>
            <w:r>
              <w:rPr>
                <w:rFonts w:ascii="PT Astra Serif" w:hAnsi="PT Astra Serif"/>
                <w:sz w:val="24"/>
                <w:szCs w:val="24"/>
              </w:rPr>
            </w:r>
            <w:r>
              <w:rPr>
                <w:rFonts w:ascii="PT Astra Serif" w:hAnsi="PT Astra Serif"/>
                <w:sz w:val="24"/>
                <w:szCs w:val="24"/>
              </w:rPr>
            </w:r>
          </w:p>
        </w:tc>
      </w:tr>
    </w:tbl>
    <w:p>
      <w:pPr>
        <w:jc w:val="both"/>
        <w:spacing w:after="0" w:line="240" w:lineRule="auto"/>
        <w:tabs>
          <w:tab w:val="left" w:pos="900"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Оборот </w:t>
      </w:r>
      <w:r>
        <w:rPr>
          <w:rFonts w:ascii="PT Astra Serif" w:hAnsi="PT Astra Serif" w:eastAsia="Times New Roman"/>
          <w:b/>
          <w:sz w:val="24"/>
          <w:szCs w:val="24"/>
        </w:rPr>
        <w:t xml:space="preserve">розничной торговли</w:t>
      </w:r>
      <w:r>
        <w:rPr>
          <w:rFonts w:ascii="PT Astra Serif" w:hAnsi="PT Astra Serif" w:eastAsia="Times New Roman"/>
          <w:sz w:val="24"/>
          <w:szCs w:val="24"/>
        </w:rPr>
        <w:t xml:space="preserve"> за 2023 год составил 262,8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 или 107,5% к прошлому году. В структуре оборота розничной торговли по-прежнему преобладали непродовольственные товары: за 2023 год их удельный вес составил 51,4%, продовольственных товаров – 48,6%.</w:t>
      </w:r>
      <w:r>
        <w:rPr>
          <w:rFonts w:ascii="PT Astra Serif" w:hAnsi="PT Astra Serif" w:eastAsia="Times New Roman"/>
          <w:sz w:val="24"/>
          <w:szCs w:val="24"/>
        </w:rPr>
      </w:r>
      <w:r>
        <w:rPr>
          <w:rFonts w:ascii="PT Astra Serif" w:hAnsi="PT Astra Serif" w:eastAsia="Times New Roman"/>
          <w:sz w:val="24"/>
          <w:szCs w:val="24"/>
        </w:rPr>
      </w:r>
    </w:p>
    <w:p>
      <w:pPr>
        <w:ind w:firstLine="709"/>
        <w:jc w:val="right"/>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right"/>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Таблица 5</w:t>
      </w:r>
      <w:r>
        <w:rPr>
          <w:rFonts w:ascii="PT Astra Serif" w:hAnsi="PT Astra Serif" w:eastAsia="Times New Roman"/>
          <w:sz w:val="24"/>
          <w:szCs w:val="24"/>
        </w:rPr>
      </w:r>
      <w:r>
        <w:rPr>
          <w:rFonts w:ascii="PT Astra Serif" w:hAnsi="PT Astra Serif" w:eastAsia="Times New Roman"/>
          <w:sz w:val="24"/>
          <w:szCs w:val="24"/>
        </w:rPr>
      </w:r>
    </w:p>
    <w:p>
      <w:pPr>
        <w:jc w:val="center"/>
        <w:spacing w:after="0" w:line="240" w:lineRule="auto"/>
        <w:tabs>
          <w:tab w:val="left" w:pos="851" w:leader="none"/>
          <w:tab w:val="left" w:pos="4962" w:leader="none"/>
        </w:tabs>
        <w:rPr>
          <w:rFonts w:ascii="PT Astra Serif" w:hAnsi="PT Astra Serif" w:eastAsia="Calibri"/>
          <w:sz w:val="24"/>
          <w:szCs w:val="24"/>
        </w:rPr>
      </w:pPr>
      <w:r>
        <w:rPr>
          <w:rFonts w:ascii="PT Astra Serif" w:hAnsi="PT Astra Serif" w:eastAsia="Calibri"/>
          <w:sz w:val="24"/>
          <w:szCs w:val="24"/>
        </w:rPr>
        <w:t xml:space="preserve">ИФО оборота розничной торговли Томской области</w:t>
      </w:r>
      <w:r>
        <w:rPr>
          <w:rFonts w:ascii="PT Astra Serif" w:hAnsi="PT Astra Serif" w:eastAsia="Calibri"/>
          <w:sz w:val="24"/>
          <w:szCs w:val="24"/>
        </w:rPr>
      </w:r>
      <w:r>
        <w:rPr>
          <w:rFonts w:ascii="PT Astra Serif" w:hAnsi="PT Astra Serif" w:eastAsia="Calibri"/>
          <w:sz w:val="24"/>
          <w:szCs w:val="24"/>
        </w:rPr>
      </w:r>
    </w:p>
    <w:p>
      <w:pPr>
        <w:ind w:firstLine="709"/>
        <w:jc w:val="right"/>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tbl>
      <w:tblPr>
        <w:tblStyle w:val="1142"/>
        <w:tblW w:w="0" w:type="auto"/>
        <w:jc w:val="center"/>
        <w:tblLook w:val="04A0" w:firstRow="1" w:lastRow="0" w:firstColumn="1" w:lastColumn="0" w:noHBand="0" w:noVBand="1"/>
      </w:tblPr>
      <w:tblGrid>
        <w:gridCol w:w="5529"/>
        <w:gridCol w:w="1195"/>
        <w:gridCol w:w="1119"/>
        <w:gridCol w:w="1188"/>
      </w:tblGrid>
      <w:tr>
        <w:tblPrEx/>
        <w:trPr>
          <w:jc w:val="center"/>
          <w:trHeight w:val="250"/>
        </w:trPr>
        <w:tc>
          <w:tcPr>
            <w:tcBorders>
              <w:top w:val="single" w:color="auto" w:sz="4" w:space="0"/>
              <w:left w:val="single" w:color="auto" w:sz="4" w:space="0"/>
              <w:bottom w:val="single" w:color="auto" w:sz="4" w:space="0"/>
              <w:right w:val="single" w:color="auto" w:sz="4" w:space="0"/>
            </w:tcBorders>
            <w:tcW w:w="5529" w:type="dxa"/>
            <w:textDirection w:val="lrTb"/>
            <w:noWrap w:val="false"/>
          </w:tcPr>
          <w:p>
            <w:pPr>
              <w:jc w:val="both"/>
              <w:rPr>
                <w:rFonts w:ascii="PT Astra Serif" w:hAnsi="PT Astra Serif"/>
                <w:sz w:val="24"/>
                <w:szCs w:val="24"/>
              </w:rPr>
            </w:pPr>
            <w:r>
              <w:rPr>
                <w:rFonts w:ascii="PT Astra Serif" w:hAnsi="PT Astra Serif"/>
                <w:sz w:val="24"/>
                <w:szCs w:val="24"/>
              </w:rPr>
              <w:t xml:space="preserve">Наименование показателя</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rPr>
                <w:rFonts w:ascii="PT Astra Serif" w:hAnsi="PT Astra Serif"/>
                <w:sz w:val="24"/>
                <w:szCs w:val="24"/>
              </w:rPr>
            </w:pPr>
            <w:r>
              <w:rPr>
                <w:rFonts w:ascii="PT Astra Serif" w:hAnsi="PT Astra Serif"/>
                <w:sz w:val="24"/>
                <w:szCs w:val="24"/>
              </w:rPr>
              <w:t xml:space="preserve">2021 год</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119" w:type="dxa"/>
            <w:textDirection w:val="lrTb"/>
            <w:noWrap w:val="false"/>
          </w:tcPr>
          <w:p>
            <w:pPr>
              <w:jc w:val="center"/>
              <w:rPr>
                <w:rFonts w:ascii="PT Astra Serif" w:hAnsi="PT Astra Serif"/>
                <w:sz w:val="24"/>
                <w:szCs w:val="24"/>
              </w:rPr>
            </w:pPr>
            <w:r>
              <w:rPr>
                <w:rFonts w:ascii="PT Astra Serif" w:hAnsi="PT Astra Serif"/>
                <w:sz w:val="24"/>
                <w:szCs w:val="24"/>
              </w:rPr>
              <w:t xml:space="preserve">2022 год</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ind w:firstLine="33"/>
              <w:jc w:val="center"/>
              <w:rPr>
                <w:rFonts w:ascii="PT Astra Serif" w:hAnsi="PT Astra Serif"/>
                <w:sz w:val="24"/>
                <w:szCs w:val="24"/>
              </w:rPr>
            </w:pPr>
            <w:r>
              <w:rPr>
                <w:rFonts w:ascii="PT Astra Serif" w:hAnsi="PT Astra Serif"/>
                <w:sz w:val="24"/>
                <w:szCs w:val="24"/>
              </w:rPr>
              <w:t xml:space="preserve">2023 год</w:t>
            </w:r>
            <w:r>
              <w:rPr>
                <w:rFonts w:ascii="PT Astra Serif" w:hAnsi="PT Astra Serif"/>
                <w:sz w:val="24"/>
                <w:szCs w:val="24"/>
              </w:rPr>
            </w:r>
            <w:r>
              <w:rPr>
                <w:rFonts w:ascii="PT Astra Serif" w:hAnsi="PT Astra Serif"/>
                <w:sz w:val="24"/>
                <w:szCs w:val="24"/>
              </w:rPr>
            </w:r>
          </w:p>
        </w:tc>
      </w:tr>
      <w:tr>
        <w:tblPrEx/>
        <w:trPr>
          <w:jc w:val="center"/>
          <w:trHeight w:val="523"/>
        </w:trPr>
        <w:tc>
          <w:tcPr>
            <w:tcBorders>
              <w:top w:val="single" w:color="auto" w:sz="4" w:space="0"/>
              <w:left w:val="single" w:color="auto" w:sz="4" w:space="0"/>
              <w:bottom w:val="single" w:color="auto" w:sz="4" w:space="0"/>
              <w:right w:val="single" w:color="auto" w:sz="4" w:space="0"/>
            </w:tcBorders>
            <w:tcW w:w="5529" w:type="dxa"/>
            <w:textDirection w:val="lrTb"/>
            <w:noWrap w:val="false"/>
          </w:tcPr>
          <w:p>
            <w:pPr>
              <w:rPr>
                <w:rFonts w:ascii="PT Astra Serif" w:hAnsi="PT Astra Serif"/>
                <w:i/>
                <w:sz w:val="24"/>
                <w:szCs w:val="24"/>
              </w:rPr>
            </w:pPr>
            <w:r>
              <w:rPr>
                <w:rFonts w:ascii="PT Astra Serif" w:hAnsi="PT Astra Serif"/>
                <w:i/>
                <w:sz w:val="24"/>
                <w:szCs w:val="24"/>
              </w:rPr>
              <w:t xml:space="preserve">ИФО оборота розничной торговли Томской области, %</w:t>
            </w:r>
            <w:r>
              <w:rPr>
                <w:rFonts w:ascii="PT Astra Serif" w:hAnsi="PT Astra Serif"/>
                <w:i/>
                <w:sz w:val="24"/>
                <w:szCs w:val="24"/>
              </w:rPr>
            </w:r>
            <w:r>
              <w:rPr>
                <w:rFonts w:ascii="PT Astra Serif" w:hAnsi="PT Astra Serif"/>
                <w:i/>
                <w:sz w:val="24"/>
                <w:szCs w:val="24"/>
              </w:rPr>
            </w:r>
          </w:p>
        </w:tc>
        <w:tc>
          <w:tcPr>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rPr>
                <w:rFonts w:ascii="PT Astra Serif" w:hAnsi="PT Astra Serif"/>
                <w:i/>
                <w:sz w:val="24"/>
                <w:szCs w:val="24"/>
              </w:rPr>
            </w:pPr>
            <w:r>
              <w:rPr>
                <w:rFonts w:ascii="PT Astra Serif" w:hAnsi="PT Astra Serif"/>
                <w:i/>
                <w:sz w:val="24"/>
                <w:szCs w:val="24"/>
              </w:rPr>
              <w:t xml:space="preserve">112,9</w:t>
            </w:r>
            <w:r>
              <w:rPr>
                <w:rFonts w:ascii="PT Astra Serif" w:hAnsi="PT Astra Serif"/>
                <w:i/>
                <w:sz w:val="24"/>
                <w:szCs w:val="24"/>
              </w:rPr>
            </w:r>
            <w:r>
              <w:rPr>
                <w:rFonts w:ascii="PT Astra Serif" w:hAnsi="PT Astra Serif"/>
                <w:i/>
                <w:sz w:val="24"/>
                <w:szCs w:val="24"/>
              </w:rPr>
            </w:r>
          </w:p>
        </w:tc>
        <w:tc>
          <w:tcPr>
            <w:tcBorders>
              <w:top w:val="single" w:color="auto" w:sz="4" w:space="0"/>
              <w:left w:val="single" w:color="auto" w:sz="4" w:space="0"/>
              <w:bottom w:val="single" w:color="auto" w:sz="4" w:space="0"/>
              <w:right w:val="single" w:color="auto" w:sz="4" w:space="0"/>
            </w:tcBorders>
            <w:tcW w:w="1119" w:type="dxa"/>
            <w:textDirection w:val="lrTb"/>
            <w:noWrap w:val="false"/>
          </w:tcPr>
          <w:p>
            <w:pPr>
              <w:ind w:firstLine="33"/>
              <w:jc w:val="center"/>
              <w:rPr>
                <w:rFonts w:ascii="PT Astra Serif" w:hAnsi="PT Astra Serif"/>
                <w:i/>
                <w:sz w:val="24"/>
                <w:szCs w:val="24"/>
              </w:rPr>
            </w:pPr>
            <w:r>
              <w:rPr>
                <w:rFonts w:ascii="PT Astra Serif" w:hAnsi="PT Astra Serif"/>
                <w:i/>
                <w:sz w:val="24"/>
                <w:szCs w:val="24"/>
              </w:rPr>
              <w:t xml:space="preserve">101,3</w:t>
            </w:r>
            <w:r>
              <w:rPr>
                <w:rFonts w:ascii="PT Astra Serif" w:hAnsi="PT Astra Serif"/>
                <w:i/>
                <w:sz w:val="24"/>
                <w:szCs w:val="24"/>
              </w:rPr>
            </w:r>
            <w:r>
              <w:rPr>
                <w:rFonts w:ascii="PT Astra Serif" w:hAnsi="PT Astra Serif"/>
                <w:i/>
                <w:sz w:val="24"/>
                <w:szCs w:val="24"/>
              </w:rP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ind w:firstLine="33"/>
              <w:jc w:val="center"/>
              <w:rPr>
                <w:rFonts w:ascii="PT Astra Serif" w:hAnsi="PT Astra Serif"/>
                <w:i/>
                <w:sz w:val="24"/>
                <w:szCs w:val="24"/>
              </w:rPr>
            </w:pPr>
            <w:r>
              <w:rPr>
                <w:rFonts w:ascii="PT Astra Serif" w:hAnsi="PT Astra Serif"/>
                <w:i/>
                <w:sz w:val="24"/>
                <w:szCs w:val="24"/>
              </w:rPr>
              <w:t xml:space="preserve">107,5</w:t>
            </w:r>
            <w:r>
              <w:rPr>
                <w:rFonts w:ascii="PT Astra Serif" w:hAnsi="PT Astra Serif"/>
                <w:i/>
                <w:sz w:val="24"/>
                <w:szCs w:val="24"/>
              </w:rPr>
            </w:r>
            <w:r>
              <w:rPr>
                <w:rFonts w:ascii="PT Astra Serif" w:hAnsi="PT Astra Serif"/>
                <w:i/>
                <w:sz w:val="24"/>
                <w:szCs w:val="24"/>
              </w:rPr>
            </w:r>
          </w:p>
        </w:tc>
      </w:tr>
      <w:tr>
        <w:tblPrEx/>
        <w:trPr>
          <w:jc w:val="center"/>
          <w:trHeight w:val="531"/>
        </w:trPr>
        <w:tc>
          <w:tcPr>
            <w:tcBorders>
              <w:top w:val="single" w:color="auto" w:sz="4" w:space="0"/>
              <w:left w:val="single" w:color="auto" w:sz="4" w:space="0"/>
              <w:bottom w:val="single" w:color="auto" w:sz="4" w:space="0"/>
              <w:right w:val="single" w:color="auto" w:sz="4" w:space="0"/>
            </w:tcBorders>
            <w:tcW w:w="5529" w:type="dxa"/>
            <w:textDirection w:val="lrTb"/>
            <w:noWrap w:val="false"/>
          </w:tcPr>
          <w:p>
            <w:pPr>
              <w:rPr>
                <w:rFonts w:ascii="PT Astra Serif" w:hAnsi="PT Astra Serif"/>
                <w:sz w:val="24"/>
                <w:szCs w:val="24"/>
              </w:rPr>
            </w:pPr>
            <w:r>
              <w:rPr>
                <w:rFonts w:ascii="PT Astra Serif" w:hAnsi="PT Astra Serif"/>
                <w:sz w:val="24"/>
                <w:szCs w:val="24"/>
              </w:rPr>
              <w:t xml:space="preserve">ИФО пищевые продукты, включая напитки, и табачные изделия, % </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rPr>
                <w:rFonts w:ascii="PT Astra Serif" w:hAnsi="PT Astra Serif"/>
                <w:sz w:val="24"/>
                <w:szCs w:val="24"/>
              </w:rPr>
            </w:pPr>
            <w:r>
              <w:rPr>
                <w:rFonts w:ascii="PT Astra Serif" w:hAnsi="PT Astra Serif"/>
                <w:sz w:val="24"/>
                <w:szCs w:val="24"/>
              </w:rPr>
              <w:t xml:space="preserve">111,8</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119" w:type="dxa"/>
            <w:textDirection w:val="lrTb"/>
            <w:noWrap w:val="false"/>
          </w:tcPr>
          <w:p>
            <w:pPr>
              <w:jc w:val="center"/>
              <w:rPr>
                <w:rFonts w:ascii="PT Astra Serif" w:hAnsi="PT Astra Serif"/>
                <w:sz w:val="24"/>
                <w:szCs w:val="24"/>
              </w:rPr>
            </w:pPr>
            <w:r>
              <w:rPr>
                <w:rFonts w:ascii="PT Astra Serif" w:hAnsi="PT Astra Serif"/>
                <w:sz w:val="24"/>
                <w:szCs w:val="24"/>
              </w:rPr>
              <w:t xml:space="preserve">102,5</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jc w:val="center"/>
              <w:rPr>
                <w:rFonts w:ascii="PT Astra Serif" w:hAnsi="PT Astra Serif"/>
                <w:sz w:val="24"/>
                <w:szCs w:val="24"/>
              </w:rPr>
            </w:pPr>
            <w:r>
              <w:rPr>
                <w:rFonts w:ascii="PT Astra Serif" w:hAnsi="PT Astra Serif"/>
                <w:sz w:val="24"/>
                <w:szCs w:val="24"/>
              </w:rPr>
              <w:t xml:space="preserve">107,7</w:t>
            </w:r>
            <w:r>
              <w:rPr>
                <w:rFonts w:ascii="PT Astra Serif" w:hAnsi="PT Astra Serif"/>
                <w:sz w:val="24"/>
                <w:szCs w:val="24"/>
              </w:rPr>
            </w:r>
            <w:r>
              <w:rPr>
                <w:rFonts w:ascii="PT Astra Serif" w:hAnsi="PT Astra Serif"/>
                <w:sz w:val="24"/>
                <w:szCs w:val="24"/>
              </w:rPr>
            </w:r>
          </w:p>
        </w:tc>
      </w:tr>
      <w:tr>
        <w:tblPrEx/>
        <w:trPr>
          <w:jc w:val="center"/>
          <w:trHeight w:val="241"/>
        </w:trPr>
        <w:tc>
          <w:tcPr>
            <w:tcBorders>
              <w:top w:val="single" w:color="auto" w:sz="4" w:space="0"/>
              <w:left w:val="single" w:color="auto" w:sz="4" w:space="0"/>
              <w:bottom w:val="single" w:color="auto" w:sz="4" w:space="0"/>
              <w:right w:val="single" w:color="auto" w:sz="4" w:space="0"/>
            </w:tcBorders>
            <w:tcW w:w="5529" w:type="dxa"/>
            <w:textDirection w:val="lrTb"/>
            <w:noWrap w:val="false"/>
          </w:tcPr>
          <w:p>
            <w:pPr>
              <w:rPr>
                <w:rFonts w:ascii="PT Astra Serif" w:hAnsi="PT Astra Serif"/>
                <w:sz w:val="24"/>
                <w:szCs w:val="24"/>
              </w:rPr>
            </w:pPr>
            <w:r>
              <w:rPr>
                <w:rFonts w:ascii="PT Astra Serif" w:hAnsi="PT Astra Serif"/>
                <w:sz w:val="24"/>
                <w:szCs w:val="24"/>
              </w:rPr>
              <w:t xml:space="preserve">ИФО непродовольственные товары, %</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rPr>
                <w:rFonts w:ascii="PT Astra Serif" w:hAnsi="PT Astra Serif"/>
                <w:sz w:val="24"/>
                <w:szCs w:val="24"/>
              </w:rPr>
            </w:pPr>
            <w:r>
              <w:rPr>
                <w:rFonts w:ascii="PT Astra Serif" w:hAnsi="PT Astra Serif"/>
                <w:sz w:val="24"/>
                <w:szCs w:val="24"/>
              </w:rPr>
              <w:t xml:space="preserve">114,0</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119" w:type="dxa"/>
            <w:textDirection w:val="lrTb"/>
            <w:noWrap w:val="false"/>
          </w:tcPr>
          <w:p>
            <w:pPr>
              <w:jc w:val="center"/>
              <w:rPr>
                <w:rFonts w:ascii="PT Astra Serif" w:hAnsi="PT Astra Serif"/>
                <w:sz w:val="24"/>
                <w:szCs w:val="24"/>
              </w:rPr>
            </w:pPr>
            <w:r>
              <w:rPr>
                <w:rFonts w:ascii="PT Astra Serif" w:hAnsi="PT Astra Serif"/>
                <w:sz w:val="24"/>
                <w:szCs w:val="24"/>
              </w:rPr>
              <w:t xml:space="preserve">100,2</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jc w:val="center"/>
              <w:rPr>
                <w:rFonts w:ascii="PT Astra Serif" w:hAnsi="PT Astra Serif"/>
                <w:sz w:val="24"/>
                <w:szCs w:val="24"/>
              </w:rPr>
            </w:pPr>
            <w:r>
              <w:rPr>
                <w:rFonts w:ascii="PT Astra Serif" w:hAnsi="PT Astra Serif"/>
                <w:sz w:val="24"/>
                <w:szCs w:val="24"/>
              </w:rPr>
              <w:t xml:space="preserve">107,4</w:t>
            </w:r>
            <w:r>
              <w:rPr>
                <w:rFonts w:ascii="PT Astra Serif" w:hAnsi="PT Astra Serif"/>
                <w:sz w:val="24"/>
                <w:szCs w:val="24"/>
              </w:rPr>
            </w:r>
            <w:r>
              <w:rPr>
                <w:rFonts w:ascii="PT Astra Serif" w:hAnsi="PT Astra Serif"/>
                <w:sz w:val="24"/>
                <w:szCs w:val="24"/>
              </w:rPr>
            </w:r>
          </w:p>
        </w:tc>
      </w:tr>
    </w:tbl>
    <w:p>
      <w:pPr>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Положительную динамику к уровню 2022 года демонстрирует как оборот розничной торговли пищевыми продуктами (107,7%), так и оборот розничной торговли непродовольственными товарами (107,4%).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По итогам 2023 года оборот розничной торговли на 96,6% формировался торгующими организациями и индивидуальными предпринимателями, осуществляющими деятельность вне рынка. Доля продажи товаров на розничных рынках и ярмарках составила 3,4%.</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В отч</w:t>
      </w:r>
      <w:r>
        <w:rPr>
          <w:rFonts w:ascii="PT Astra Serif" w:hAnsi="PT Astra Serif" w:eastAsia="Times New Roman"/>
          <w:sz w:val="24"/>
          <w:szCs w:val="24"/>
        </w:rPr>
        <w:t xml:space="preserve">е</w:t>
      </w:r>
      <w:r>
        <w:rPr>
          <w:rFonts w:ascii="PT Astra Serif" w:hAnsi="PT Astra Serif" w:eastAsia="Times New Roman"/>
          <w:sz w:val="24"/>
          <w:szCs w:val="24"/>
        </w:rPr>
        <w:t xml:space="preserve">тном периоде отмечается рост оборота розничной торговли в 1,8 раза по субъектам среднего предпринимательства, по малым предприятиям (включая микропредприятия) ИФО составил 108,4%, по индивидуальным предпринимателям, реализующим товары вне рынка и ярмарки</w:t>
      </w:r>
      <w:r>
        <w:rPr>
          <w:rFonts w:ascii="PT Astra Serif" w:hAnsi="PT Astra Serif" w:eastAsia="Times New Roman"/>
          <w:sz w:val="24"/>
          <w:szCs w:val="24"/>
        </w:rPr>
        <w:t xml:space="preserve">,</w:t>
      </w:r>
      <w:r>
        <w:rPr>
          <w:rFonts w:ascii="PT Astra Serif" w:hAnsi="PT Astra Serif" w:eastAsia="Times New Roman"/>
          <w:sz w:val="24"/>
          <w:szCs w:val="24"/>
        </w:rPr>
        <w:t xml:space="preserve"> ИФО составил 108%, по торгующим организациям и индивидуальным предпринимателям, реализующим товары вне рынка</w:t>
      </w:r>
      <w:r>
        <w:rPr>
          <w:rFonts w:ascii="PT Astra Serif" w:hAnsi="PT Astra Serif" w:eastAsia="Times New Roman"/>
          <w:sz w:val="24"/>
          <w:szCs w:val="24"/>
        </w:rPr>
        <w:t xml:space="preserve">,</w:t>
      </w:r>
      <w:r>
        <w:rPr>
          <w:rFonts w:ascii="PT Astra Serif" w:hAnsi="PT Astra Serif" w:eastAsia="Times New Roman"/>
          <w:sz w:val="24"/>
          <w:szCs w:val="24"/>
        </w:rPr>
        <w:t xml:space="preserve"> ИФО составил 107,6%, по крупным организациям и субъектам среднего предпринимательства ИФО составил 105,6% и 178,6% соответственно.</w:t>
      </w:r>
      <w:r>
        <w:rPr>
          <w:rFonts w:ascii="PT Astra Serif" w:hAnsi="PT Astra Serif" w:eastAsia="Times New Roman"/>
          <w:sz w:val="24"/>
          <w:szCs w:val="24"/>
        </w:rPr>
      </w:r>
      <w:r>
        <w:rPr>
          <w:rFonts w:ascii="PT Astra Serif" w:hAnsi="PT Astra Serif" w:eastAsia="Times New Roman"/>
          <w:sz w:val="24"/>
          <w:szCs w:val="24"/>
        </w:rPr>
      </w:r>
    </w:p>
    <w:p>
      <w:pPr>
        <w:ind w:firstLine="708"/>
        <w:jc w:val="both"/>
        <w:spacing w:after="0" w:line="240" w:lineRule="auto"/>
        <w:rPr>
          <w:rFonts w:ascii="PT Astra Serif" w:hAnsi="PT Astra Serif"/>
          <w:sz w:val="24"/>
          <w:szCs w:val="24"/>
        </w:rPr>
      </w:pPr>
      <w:r>
        <w:rPr>
          <w:rFonts w:ascii="PT Astra Serif" w:hAnsi="PT Astra Serif" w:eastAsia="Times New Roman"/>
          <w:sz w:val="24"/>
          <w:szCs w:val="24"/>
        </w:rPr>
        <w:t xml:space="preserve">На душу населения оборот розничной торговли по итогам 2023 г</w:t>
      </w:r>
      <w:r>
        <w:rPr>
          <w:rFonts w:ascii="PT Astra Serif" w:hAnsi="PT Astra Serif" w:eastAsia="Times New Roman"/>
          <w:sz w:val="24"/>
          <w:szCs w:val="24"/>
        </w:rPr>
        <w:t xml:space="preserve">ода</w:t>
      </w:r>
      <w:r>
        <w:rPr>
          <w:rFonts w:ascii="PT Astra Serif" w:hAnsi="PT Astra Serif" w:eastAsia="Times New Roman"/>
          <w:sz w:val="24"/>
          <w:szCs w:val="24"/>
        </w:rPr>
        <w:t xml:space="preserve"> вырос на 65,9 тыс. руб</w:t>
      </w:r>
      <w:r>
        <w:rPr>
          <w:rFonts w:ascii="PT Astra Serif" w:hAnsi="PT Astra Serif" w:eastAsia="Times New Roman"/>
          <w:sz w:val="24"/>
          <w:szCs w:val="24"/>
        </w:rPr>
        <w:t xml:space="preserve">лей</w:t>
      </w:r>
      <w:r>
        <w:rPr>
          <w:rFonts w:ascii="PT Astra Serif" w:hAnsi="PT Astra Serif" w:eastAsia="Times New Roman"/>
          <w:sz w:val="24"/>
          <w:szCs w:val="24"/>
        </w:rPr>
        <w:t xml:space="preserve"> к 2022 г</w:t>
      </w:r>
      <w:r>
        <w:rPr>
          <w:rFonts w:ascii="PT Astra Serif" w:hAnsi="PT Astra Serif" w:eastAsia="Times New Roman"/>
          <w:sz w:val="24"/>
          <w:szCs w:val="24"/>
        </w:rPr>
        <w:t xml:space="preserve">оду</w:t>
      </w:r>
      <w:r>
        <w:rPr>
          <w:rFonts w:ascii="PT Astra Serif" w:hAnsi="PT Astra Serif" w:eastAsia="Times New Roman"/>
          <w:sz w:val="24"/>
          <w:szCs w:val="24"/>
        </w:rPr>
        <w:t xml:space="preserve"> и составил – 248,5 тыс. руб</w:t>
      </w:r>
      <w:r>
        <w:rPr>
          <w:rFonts w:ascii="PT Astra Serif" w:hAnsi="PT Astra Serif" w:eastAsia="Times New Roman"/>
          <w:sz w:val="24"/>
          <w:szCs w:val="24"/>
        </w:rPr>
        <w:t xml:space="preserve">лей</w:t>
      </w:r>
      <w:r>
        <w:rPr>
          <w:rFonts w:ascii="PT Astra Serif" w:hAnsi="PT Astra Serif" w:eastAsia="Times New Roman"/>
          <w:sz w:val="24"/>
          <w:szCs w:val="24"/>
        </w:rPr>
        <w:t xml:space="preserve">. Среди регионов СФО Томская область по данному показателю занимает 4</w:t>
      </w:r>
      <w:r>
        <w:rPr>
          <w:rFonts w:ascii="PT Astra Serif" w:hAnsi="PT Astra Serif" w:eastAsia="Times New Roman"/>
          <w:sz w:val="24"/>
          <w:szCs w:val="24"/>
        </w:rPr>
        <w:t xml:space="preserve">-е</w:t>
      </w:r>
      <w:r>
        <w:rPr>
          <w:rFonts w:ascii="PT Astra Serif" w:hAnsi="PT Astra Serif" w:eastAsia="Times New Roman"/>
          <w:sz w:val="24"/>
          <w:szCs w:val="24"/>
        </w:rPr>
        <w:t xml:space="preserve"> место.</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Фактическая обеспеченность населения торговыми площадями в Томской области превышает норматив минимальной обеспеченности населения площадью (количеством) стационарных торговых объектов более чем в 2 раза и составляет 6 764 ед.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Стоимость минимального набора продуктов питания в Томской области на конец декабря 2023 года составила 5 872,79 рубл</w:t>
      </w:r>
      <w:r>
        <w:rPr>
          <w:rFonts w:ascii="PT Astra Serif" w:hAnsi="PT Astra Serif" w:eastAsia="Times New Roman"/>
          <w:sz w:val="24"/>
          <w:szCs w:val="24"/>
        </w:rPr>
        <w:t xml:space="preserve">я</w:t>
      </w:r>
      <w:r>
        <w:rPr>
          <w:rFonts w:ascii="PT Astra Serif" w:hAnsi="PT Astra Serif" w:eastAsia="Times New Roman"/>
          <w:sz w:val="24"/>
          <w:szCs w:val="24"/>
        </w:rPr>
        <w:t xml:space="preserve">.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jc w:val="center"/>
        <w:spacing w:after="0" w:line="240" w:lineRule="auto"/>
        <w:tabs>
          <w:tab w:val="left" w:pos="4962" w:leader="none"/>
        </w:tabs>
        <w:rPr>
          <w:rFonts w:ascii="PT Astra Serif" w:hAnsi="PT Astra Serif" w:eastAsia="Times New Roman"/>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Times New Roman"/>
          <w:b/>
          <w:sz w:val="24"/>
          <w:szCs w:val="24"/>
        </w:rPr>
        <w:t xml:space="preserve">По стоимости минимального набора продуктов питания в рейтинге среди регионов СФО Томская область занимает 3-е место </w:t>
      </w:r>
      <w:r>
        <w:rPr>
          <w:rFonts w:ascii="PT Astra Serif" w:hAnsi="PT Astra Serif" w:eastAsia="Times New Roman"/>
          <w:b/>
          <w:sz w:val="24"/>
          <w:szCs w:val="24"/>
        </w:rPr>
      </w:r>
      <w:r>
        <w:rPr>
          <w:rFonts w:ascii="PT Astra Serif" w:hAnsi="PT Astra Serif" w:eastAsia="Times New Roman"/>
          <w:b/>
          <w:sz w:val="24"/>
          <w:szCs w:val="24"/>
        </w:rPr>
      </w:r>
    </w:p>
    <w:p>
      <w:pPr>
        <w:jc w:val="center"/>
        <w:spacing w:after="0" w:line="240" w:lineRule="auto"/>
        <w:tabs>
          <w:tab w:val="left" w:pos="4962" w:leader="none"/>
        </w:tabs>
        <w:rPr>
          <w:rFonts w:ascii="PT Astra Serif" w:hAnsi="PT Astra Serif" w:eastAsia="Times New Roman"/>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Times New Roman"/>
          <w:b/>
          <w:sz w:val="24"/>
          <w:szCs w:val="24"/>
        </w:rPr>
        <w:t xml:space="preserve">(минимальному значению соответствует высший рейтинг)</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Ситуация в сфере торговли остается стабильной, несмотря на внешние условия (ограничение импортных поставок товаров). Положительную роль в этом играет организация торгово-закупочных сессий </w:t>
      </w:r>
      <w:r>
        <w:rPr>
          <w:rFonts w:ascii="PT Astra Serif" w:hAnsi="PT Astra Serif" w:cstheme="minorBidi"/>
          <w:sz w:val="24"/>
          <w:szCs w:val="24"/>
        </w:rPr>
        <w:t xml:space="preserve">–</w:t>
      </w:r>
      <w:r>
        <w:rPr>
          <w:rFonts w:ascii="PT Astra Serif" w:hAnsi="PT Astra Serif" w:eastAsia="Times New Roman"/>
          <w:sz w:val="24"/>
          <w:szCs w:val="24"/>
        </w:rPr>
        <w:t xml:space="preserve"> в 2023 году организованы площадки с российским сервисом экспресс</w:t>
      </w:r>
      <w:r>
        <w:rPr>
          <w:rFonts w:ascii="PT Astra Serif" w:hAnsi="PT Astra Serif" w:cstheme="minorBidi"/>
          <w:sz w:val="24"/>
          <w:szCs w:val="24"/>
        </w:rPr>
        <w:t xml:space="preserve">–</w:t>
      </w:r>
      <w:r>
        <w:rPr>
          <w:rFonts w:ascii="PT Astra Serif" w:hAnsi="PT Astra Serif" w:eastAsia="Times New Roman"/>
          <w:sz w:val="24"/>
          <w:szCs w:val="24"/>
        </w:rPr>
        <w:t xml:space="preserve">доставки продуктов питания и товаров для дома «Самокат», торговой</w:t>
      </w:r>
      <w:r>
        <w:rPr>
          <w:rFonts w:ascii="PT Astra Serif" w:hAnsi="PT Astra Serif"/>
          <w:sz w:val="24"/>
          <w:szCs w:val="24"/>
        </w:rPr>
        <w:t xml:space="preserve"> </w:t>
      </w:r>
      <w:r>
        <w:rPr>
          <w:rFonts w:ascii="PT Astra Serif" w:hAnsi="PT Astra Serif" w:eastAsia="Times New Roman"/>
          <w:sz w:val="24"/>
          <w:szCs w:val="24"/>
        </w:rPr>
        <w:t xml:space="preserve">сетью «Светофор» и компанией «Метро».</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С целью содействия в реализации продукции региональных товаро- и сельхозпроизводителей, фермеров и удовлетворения спроса населения в товарах местного производства в 2023 году большое внимание уделялось развитию ярмарочной торговли.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sz w:val="24"/>
          <w:szCs w:val="24"/>
        </w:rPr>
      </w:pPr>
      <w:r>
        <w:rPr>
          <w:rFonts w:ascii="PT Astra Serif" w:hAnsi="PT Astra Serif" w:eastAsia="Times New Roman"/>
          <w:sz w:val="24"/>
          <w:szCs w:val="24"/>
        </w:rPr>
        <w:t xml:space="preserve">По итогам 2023 года на территории Томской области количество п</w:t>
      </w:r>
      <w:r>
        <w:rPr>
          <w:rFonts w:ascii="PT Astra Serif" w:hAnsi="PT Astra Serif" w:eastAsia="Times New Roman"/>
          <w:sz w:val="24"/>
          <w:szCs w:val="24"/>
        </w:rPr>
        <w:t xml:space="preserve">роведенных ярмарок сохранилось на уровне 2022 года и составило 1882 ед., из них 800 ярмарок «выходного дня» и 1082 специализированных ярмарок. Проведены крупные региональные ярмарки: «Масленица», «Пасхальная Ярмарка», «Все для сада и огорода», «Медовый Спа</w:t>
      </w:r>
      <w:r>
        <w:rPr>
          <w:rFonts w:ascii="PT Astra Serif" w:hAnsi="PT Astra Serif" w:eastAsia="Times New Roman"/>
          <w:sz w:val="24"/>
          <w:szCs w:val="24"/>
        </w:rPr>
        <w:t xml:space="preserve">с» и «Урожай». На каждой ярмарке работало от 80 до 100 торговых точек, свою продукцию в широком ассортименте представляли фермеры, сельхозпредприятия и личные подворья из районов Томской области. Посещаемость ярмарок достигла 6 000 жителей и гостей города.</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4962" w:leader="none"/>
        </w:tabs>
        <w:rPr>
          <w:rFonts w:ascii="PT Astra Serif" w:hAnsi="PT Astra Serif"/>
          <w:sz w:val="24"/>
          <w:szCs w:val="24"/>
        </w:rPr>
      </w:pPr>
      <w:r>
        <w:rPr>
          <w:rFonts w:ascii="PT Astra Serif" w:hAnsi="PT Astra Serif" w:eastAsia="Times New Roman"/>
          <w:sz w:val="24"/>
          <w:szCs w:val="24"/>
        </w:rPr>
        <w:t xml:space="preserve">Продолжила развиваться инфраструктура розничной торговли региона, по итогам отчетного периода она пополнилась 66 новыми объектами торговых сетей. По экспертной оценке, на территории Томско</w:t>
      </w:r>
      <w:r>
        <w:rPr>
          <w:rFonts w:ascii="PT Astra Serif" w:hAnsi="PT Astra Serif" w:eastAsia="Times New Roman"/>
          <w:sz w:val="24"/>
          <w:szCs w:val="24"/>
        </w:rPr>
        <w:t xml:space="preserve">й области функционируют 927 магазинов торговых сетей. Заметным в г. Томске стало открытие точек в формате «жесткого дискаунтера» под брендом «Чижик» от крупнейшего российского продовольственного ретейлера X5 Retail Group (сети «Пятерочка», «Перекресток»).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Одним из крупных проектов в сфере торговли является открытие (08.12.2023) центра мелкооптовой торговли в формате «Кэш&amp;Кэрри» - «Ярче ОПТ Розница» (г. Томск, ул. Пушкина) региональной торговой сетью ООО «Камелот-А».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jc w:val="center"/>
        <w:spacing w:after="0" w:line="240" w:lineRule="auto"/>
        <w:tabs>
          <w:tab w:val="left" w:pos="4962" w:leader="none"/>
        </w:tabs>
        <w:rPr>
          <w:rFonts w:ascii="PT Astra Serif" w:hAnsi="PT Astra Serif" w:eastAsia="Times New Roman"/>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Times New Roman"/>
          <w:b/>
          <w:sz w:val="24"/>
          <w:szCs w:val="24"/>
        </w:rPr>
        <w:t xml:space="preserve">По доле современных форматов (дискаунтеры, супермаркеты, гипермаркеты)</w:t>
      </w:r>
      <w:r>
        <w:rPr>
          <w:rFonts w:ascii="PT Astra Serif" w:hAnsi="PT Astra Serif" w:eastAsia="Times New Roman"/>
          <w:b/>
          <w:sz w:val="24"/>
          <w:szCs w:val="24"/>
        </w:rPr>
        <w:br/>
        <w:t xml:space="preserve">в общем товарообороте Томская область входит в тройку лидеров </w:t>
      </w:r>
      <w:r>
        <w:rPr>
          <w:rFonts w:ascii="PT Astra Serif" w:hAnsi="PT Astra Serif" w:eastAsia="Times New Roman"/>
          <w:b/>
          <w:sz w:val="24"/>
          <w:szCs w:val="24"/>
        </w:rPr>
      </w:r>
      <w:r>
        <w:rPr>
          <w:rFonts w:ascii="PT Astra Serif" w:hAnsi="PT Astra Serif" w:eastAsia="Times New Roman"/>
          <w:b/>
          <w:sz w:val="24"/>
          <w:szCs w:val="24"/>
        </w:rPr>
      </w:r>
    </w:p>
    <w:p>
      <w:pPr>
        <w:jc w:val="center"/>
        <w:spacing w:after="0" w:line="240" w:lineRule="auto"/>
        <w:tabs>
          <w:tab w:val="left" w:pos="4962" w:leader="none"/>
        </w:tabs>
        <w:rPr>
          <w:rFonts w:ascii="PT Astra Serif" w:hAnsi="PT Astra Serif" w:eastAsia="Times New Roman"/>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Times New Roman"/>
          <w:b/>
          <w:sz w:val="24"/>
          <w:szCs w:val="24"/>
        </w:rPr>
        <w:t xml:space="preserve">среди регионов СФО</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В 2023 году в регионе как и в целом по России продолжает развиваться электронная коммерция </w:t>
      </w:r>
      <w:r>
        <w:rPr>
          <w:rFonts w:ascii="PT Astra Serif" w:hAnsi="PT Astra Serif" w:cstheme="minorBidi"/>
          <w:sz w:val="24"/>
          <w:szCs w:val="24"/>
        </w:rPr>
        <w:t xml:space="preserve">–</w:t>
      </w:r>
      <w:r>
        <w:rPr>
          <w:rFonts w:ascii="PT Astra Serif" w:hAnsi="PT Astra Serif" w:eastAsia="Times New Roman"/>
          <w:sz w:val="24"/>
          <w:szCs w:val="24"/>
        </w:rPr>
        <w:t xml:space="preserve"> все активнее используются торговые онлайн-сервисы и услуги по доставке товаров. Так, доля розничной торговли через </w:t>
      </w:r>
      <w:r>
        <w:rPr>
          <w:rFonts w:ascii="PT Astra Serif" w:hAnsi="PT Astra Serif" w:eastAsia="Times New Roman"/>
          <w:sz w:val="24"/>
          <w:szCs w:val="24"/>
        </w:rPr>
        <w:t xml:space="preserve">информационно-телекоммуникационную сеть «Интернет»</w:t>
      </w:r>
      <w:r>
        <w:rPr>
          <w:rFonts w:ascii="PT Astra Serif" w:hAnsi="PT Astra Serif" w:eastAsia="Times New Roman"/>
          <w:sz w:val="24"/>
          <w:szCs w:val="24"/>
        </w:rPr>
        <w:t xml:space="preserve"> </w:t>
      </w:r>
      <w:r>
        <w:rPr>
          <w:rFonts w:ascii="PT Astra Serif" w:hAnsi="PT Astra Serif" w:eastAsia="Times New Roman"/>
          <w:sz w:val="24"/>
          <w:szCs w:val="24"/>
        </w:rPr>
        <w:t xml:space="preserve">(далее – сеть Интернет) </w:t>
      </w:r>
      <w:r>
        <w:rPr>
          <w:rFonts w:ascii="PT Astra Serif" w:hAnsi="PT Astra Serif" w:eastAsia="Times New Roman"/>
          <w:sz w:val="24"/>
          <w:szCs w:val="24"/>
        </w:rPr>
        <w:t xml:space="preserve">в Томской области составила 6,4% (4-е место среди регионов СФО), а доставку товаров в регионе организовали все крупные торговые сети практически во всех муниципальных образованиях. </w:t>
      </w:r>
      <w:r>
        <w:rPr>
          <w:rFonts w:ascii="PT Astra Serif" w:hAnsi="PT Astra Serif" w:eastAsia="Times New Roman"/>
          <w:sz w:val="24"/>
          <w:szCs w:val="24"/>
        </w:rPr>
      </w:r>
      <w:r>
        <w:rPr>
          <w:rFonts w:ascii="PT Astra Serif" w:hAnsi="PT Astra Serif" w:eastAsia="Times New Roman"/>
          <w:sz w:val="24"/>
          <w:szCs w:val="24"/>
        </w:rPr>
      </w:r>
    </w:p>
    <w:p>
      <w:pPr>
        <w:ind w:firstLine="709"/>
        <w:jc w:val="right"/>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right"/>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right"/>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Таблица 6</w:t>
      </w:r>
      <w:r>
        <w:rPr>
          <w:rFonts w:ascii="PT Astra Serif" w:hAnsi="PT Astra Serif" w:eastAsia="Times New Roman"/>
          <w:sz w:val="24"/>
          <w:szCs w:val="24"/>
        </w:rPr>
      </w:r>
      <w:r>
        <w:rPr>
          <w:rFonts w:ascii="PT Astra Serif" w:hAnsi="PT Astra Serif" w:eastAsia="Times New Roman"/>
          <w:sz w:val="24"/>
          <w:szCs w:val="24"/>
        </w:rPr>
      </w:r>
    </w:p>
    <w:p>
      <w:pPr>
        <w:jc w:val="center"/>
        <w:spacing w:after="0" w:line="240" w:lineRule="auto"/>
        <w:tabs>
          <w:tab w:val="left" w:pos="851" w:leader="none"/>
          <w:tab w:val="left" w:pos="4962" w:leader="none"/>
        </w:tabs>
        <w:rPr>
          <w:rFonts w:ascii="PT Astra Serif" w:hAnsi="PT Astra Serif" w:eastAsia="Calibri"/>
          <w:sz w:val="24"/>
          <w:szCs w:val="24"/>
        </w:rPr>
      </w:pPr>
      <w:r>
        <w:rPr>
          <w:rFonts w:ascii="PT Astra Serif" w:hAnsi="PT Astra Serif" w:eastAsia="Calibri"/>
          <w:sz w:val="24"/>
          <w:szCs w:val="24"/>
        </w:rPr>
        <w:t xml:space="preserve">Динамика оборота общественного питания</w:t>
      </w:r>
      <w:r>
        <w:rPr>
          <w:rFonts w:ascii="PT Astra Serif" w:hAnsi="PT Astra Serif" w:eastAsia="Calibri"/>
          <w:sz w:val="24"/>
          <w:szCs w:val="24"/>
        </w:rPr>
      </w:r>
      <w:r>
        <w:rPr>
          <w:rFonts w:ascii="PT Astra Serif" w:hAnsi="PT Astra Serif" w:eastAsia="Calibri"/>
          <w:sz w:val="24"/>
          <w:szCs w:val="24"/>
        </w:rPr>
      </w:r>
    </w:p>
    <w:p>
      <w:pPr>
        <w:jc w:val="center"/>
        <w:spacing w:after="0" w:line="240" w:lineRule="auto"/>
        <w:tabs>
          <w:tab w:val="left" w:pos="851" w:leader="none"/>
          <w:tab w:val="left" w:pos="4962" w:leader="none"/>
        </w:tabs>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tbl>
      <w:tblPr>
        <w:tblStyle w:val="1142"/>
        <w:tblW w:w="9272" w:type="dxa"/>
        <w:jc w:val="center"/>
        <w:tblLook w:val="04A0" w:firstRow="1" w:lastRow="0" w:firstColumn="1" w:lastColumn="0" w:noHBand="0" w:noVBand="1"/>
      </w:tblPr>
      <w:tblGrid>
        <w:gridCol w:w="5634"/>
        <w:gridCol w:w="1322"/>
        <w:gridCol w:w="1185"/>
        <w:gridCol w:w="1131"/>
      </w:tblGrid>
      <w:tr>
        <w:tblPrEx/>
        <w:trPr>
          <w:jc w:val="center"/>
          <w:trHeight w:val="323"/>
        </w:trPr>
        <w:tc>
          <w:tcPr>
            <w:tcBorders>
              <w:top w:val="single" w:color="auto" w:sz="4" w:space="0"/>
              <w:left w:val="single" w:color="auto" w:sz="4" w:space="0"/>
              <w:bottom w:val="single" w:color="auto" w:sz="4" w:space="0"/>
              <w:right w:val="single" w:color="auto" w:sz="4" w:space="0"/>
            </w:tcBorders>
            <w:tcW w:w="5634" w:type="dxa"/>
            <w:textDirection w:val="lrTb"/>
            <w:noWrap w:val="false"/>
          </w:tcPr>
          <w:p>
            <w:pPr>
              <w:rPr>
                <w:rFonts w:ascii="PT Astra Serif" w:hAnsi="PT Astra Serif"/>
                <w:sz w:val="24"/>
                <w:szCs w:val="24"/>
              </w:rPr>
            </w:pPr>
            <w:r>
              <w:rPr>
                <w:rFonts w:ascii="PT Astra Serif" w:hAnsi="PT Astra Serif"/>
                <w:sz w:val="24"/>
                <w:szCs w:val="24"/>
              </w:rPr>
              <w:t xml:space="preserve">Наименование показателя</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ascii="PT Astra Serif" w:hAnsi="PT Astra Serif"/>
                <w:sz w:val="24"/>
                <w:szCs w:val="24"/>
              </w:rPr>
            </w:pPr>
            <w:r>
              <w:rPr>
                <w:rFonts w:ascii="PT Astra Serif" w:hAnsi="PT Astra Serif"/>
                <w:sz w:val="24"/>
                <w:szCs w:val="24"/>
              </w:rPr>
              <w:t xml:space="preserve">2021 год</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jc w:val="center"/>
              <w:rPr>
                <w:rFonts w:ascii="PT Astra Serif" w:hAnsi="PT Astra Serif"/>
                <w:sz w:val="24"/>
                <w:szCs w:val="24"/>
              </w:rPr>
            </w:pPr>
            <w:r>
              <w:rPr>
                <w:rFonts w:ascii="PT Astra Serif" w:hAnsi="PT Astra Serif"/>
                <w:sz w:val="24"/>
                <w:szCs w:val="24"/>
              </w:rPr>
              <w:t xml:space="preserve">2022 год</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rPr>
                <w:rFonts w:ascii="PT Astra Serif" w:hAnsi="PT Astra Serif"/>
                <w:sz w:val="24"/>
                <w:szCs w:val="24"/>
              </w:rPr>
            </w:pPr>
            <w:r>
              <w:rPr>
                <w:rFonts w:ascii="PT Astra Serif" w:hAnsi="PT Astra Serif"/>
                <w:sz w:val="24"/>
                <w:szCs w:val="24"/>
              </w:rPr>
              <w:t xml:space="preserve">2023 год</w:t>
            </w:r>
            <w:r>
              <w:rPr>
                <w:rFonts w:ascii="PT Astra Serif" w:hAnsi="PT Astra Serif"/>
                <w:sz w:val="24"/>
                <w:szCs w:val="24"/>
              </w:rPr>
            </w:r>
            <w:r>
              <w:rPr>
                <w:rFonts w:ascii="PT Astra Serif" w:hAnsi="PT Astra Serif"/>
                <w:sz w:val="24"/>
                <w:szCs w:val="24"/>
              </w:rPr>
            </w:r>
          </w:p>
        </w:tc>
      </w:tr>
      <w:tr>
        <w:tblPrEx/>
        <w:trPr>
          <w:jc w:val="center"/>
          <w:trHeight w:val="273"/>
        </w:trPr>
        <w:tc>
          <w:tcPr>
            <w:tcBorders>
              <w:top w:val="single" w:color="auto" w:sz="4" w:space="0"/>
              <w:left w:val="single" w:color="auto" w:sz="4" w:space="0"/>
              <w:bottom w:val="single" w:color="auto" w:sz="4" w:space="0"/>
              <w:right w:val="single" w:color="auto" w:sz="4" w:space="0"/>
            </w:tcBorders>
            <w:tcW w:w="5634" w:type="dxa"/>
            <w:vAlign w:val="center"/>
            <w:textDirection w:val="lrTb"/>
            <w:noWrap w:val="false"/>
          </w:tcPr>
          <w:p>
            <w:pPr>
              <w:rPr>
                <w:rFonts w:ascii="PT Astra Serif" w:hAnsi="PT Astra Serif"/>
                <w:i/>
                <w:sz w:val="24"/>
                <w:szCs w:val="24"/>
              </w:rPr>
            </w:pPr>
            <w:r>
              <w:rPr>
                <w:rFonts w:ascii="PT Astra Serif" w:hAnsi="PT Astra Serif"/>
                <w:i/>
                <w:sz w:val="24"/>
                <w:szCs w:val="24"/>
              </w:rPr>
              <w:t xml:space="preserve">Оборот общественного питания Томской области (</w:t>
            </w:r>
            <w:r>
              <w:rPr>
                <w:rFonts w:ascii="PT Astra Serif" w:hAnsi="PT Astra Serif"/>
                <w:i/>
                <w:sz w:val="24"/>
                <w:szCs w:val="24"/>
              </w:rPr>
              <w:t xml:space="preserve">млрд </w:t>
            </w:r>
            <w:r>
              <w:rPr>
                <w:rFonts w:ascii="PT Astra Serif" w:hAnsi="PT Astra Serif"/>
                <w:i/>
                <w:sz w:val="24"/>
                <w:szCs w:val="24"/>
              </w:rPr>
              <w:t xml:space="preserve">рублей)</w:t>
            </w:r>
            <w:r>
              <w:rPr>
                <w:rFonts w:ascii="PT Astra Serif" w:hAnsi="PT Astra Serif"/>
                <w:i/>
                <w:sz w:val="24"/>
                <w:szCs w:val="24"/>
              </w:rPr>
            </w:r>
            <w:r>
              <w:rPr>
                <w:rFonts w:ascii="PT Astra Serif" w:hAnsi="PT Astra Serif"/>
                <w:i/>
                <w:sz w:val="24"/>
                <w:szCs w:val="24"/>
              </w:rP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ascii="PT Astra Serif" w:hAnsi="PT Astra Serif"/>
                <w:i/>
                <w:sz w:val="24"/>
                <w:szCs w:val="24"/>
              </w:rPr>
            </w:pPr>
            <w:r>
              <w:rPr>
                <w:rFonts w:ascii="PT Astra Serif" w:hAnsi="PT Astra Serif"/>
                <w:i/>
                <w:sz w:val="24"/>
                <w:szCs w:val="24"/>
              </w:rPr>
              <w:t xml:space="preserve">7,3</w:t>
            </w:r>
            <w:r>
              <w:rPr>
                <w:rFonts w:ascii="PT Astra Serif" w:hAnsi="PT Astra Serif"/>
                <w:i/>
                <w:sz w:val="24"/>
                <w:szCs w:val="24"/>
              </w:rPr>
            </w:r>
            <w:r>
              <w:rPr>
                <w:rFonts w:ascii="PT Astra Serif" w:hAnsi="PT Astra Serif"/>
                <w:i/>
                <w:sz w:val="24"/>
                <w:szCs w:val="24"/>
              </w:rP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jc w:val="center"/>
              <w:rPr>
                <w:rFonts w:ascii="PT Astra Serif" w:hAnsi="PT Astra Serif"/>
                <w:i/>
                <w:sz w:val="24"/>
                <w:szCs w:val="24"/>
              </w:rPr>
            </w:pPr>
            <w:r>
              <w:rPr>
                <w:rFonts w:ascii="PT Astra Serif" w:hAnsi="PT Astra Serif"/>
                <w:i/>
                <w:sz w:val="24"/>
                <w:szCs w:val="24"/>
              </w:rPr>
              <w:t xml:space="preserve">9,6</w:t>
            </w:r>
            <w:r>
              <w:rPr>
                <w:rFonts w:ascii="PT Astra Serif" w:hAnsi="PT Astra Serif"/>
                <w:i/>
                <w:sz w:val="24"/>
                <w:szCs w:val="24"/>
              </w:rPr>
            </w:r>
            <w:r>
              <w:rPr>
                <w:rFonts w:ascii="PT Astra Serif" w:hAnsi="PT Astra Serif"/>
                <w:i/>
                <w:sz w:val="24"/>
                <w:szCs w:val="24"/>
              </w:rP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rPr>
                <w:rFonts w:ascii="PT Astra Serif" w:hAnsi="PT Astra Serif"/>
                <w:i/>
                <w:sz w:val="24"/>
                <w:szCs w:val="24"/>
              </w:rPr>
            </w:pPr>
            <w:r>
              <w:rPr>
                <w:rFonts w:ascii="PT Astra Serif" w:hAnsi="PT Astra Serif"/>
                <w:i/>
                <w:sz w:val="24"/>
                <w:szCs w:val="24"/>
              </w:rPr>
              <w:t xml:space="preserve">11,9</w:t>
            </w:r>
            <w:r>
              <w:rPr>
                <w:rFonts w:ascii="PT Astra Serif" w:hAnsi="PT Astra Serif"/>
                <w:i/>
                <w:sz w:val="24"/>
                <w:szCs w:val="24"/>
              </w:rPr>
            </w:r>
            <w:r>
              <w:rPr>
                <w:rFonts w:ascii="PT Astra Serif" w:hAnsi="PT Astra Serif"/>
                <w:i/>
                <w:sz w:val="24"/>
                <w:szCs w:val="24"/>
              </w:rPr>
            </w:r>
          </w:p>
        </w:tc>
      </w:tr>
      <w:tr>
        <w:tblPrEx/>
        <w:trPr>
          <w:jc w:val="center"/>
          <w:trHeight w:val="277"/>
        </w:trPr>
        <w:tc>
          <w:tcPr>
            <w:tcBorders>
              <w:top w:val="single" w:color="auto" w:sz="4" w:space="0"/>
              <w:left w:val="single" w:color="auto" w:sz="4" w:space="0"/>
              <w:bottom w:val="single" w:color="auto" w:sz="4" w:space="0"/>
              <w:right w:val="single" w:color="auto" w:sz="4" w:space="0"/>
            </w:tcBorders>
            <w:tcW w:w="5634" w:type="dxa"/>
            <w:vAlign w:val="center"/>
            <w:textDirection w:val="lrTb"/>
            <w:noWrap w:val="false"/>
          </w:tcPr>
          <w:p>
            <w:pPr>
              <w:rPr>
                <w:rFonts w:ascii="PT Astra Serif" w:hAnsi="PT Astra Serif"/>
                <w:sz w:val="24"/>
                <w:szCs w:val="24"/>
              </w:rPr>
            </w:pPr>
            <w:r>
              <w:rPr>
                <w:rFonts w:ascii="PT Astra Serif" w:hAnsi="PT Astra Serif"/>
                <w:sz w:val="24"/>
                <w:szCs w:val="24"/>
              </w:rPr>
              <w:t xml:space="preserve">ИФО Томская область, %</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ascii="PT Astra Serif" w:hAnsi="PT Astra Serif"/>
                <w:sz w:val="24"/>
                <w:szCs w:val="24"/>
              </w:rPr>
            </w:pPr>
            <w:r>
              <w:rPr>
                <w:rFonts w:ascii="PT Astra Serif" w:hAnsi="PT Astra Serif"/>
                <w:sz w:val="24"/>
                <w:szCs w:val="24"/>
              </w:rPr>
              <w:t xml:space="preserve">120,7</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jc w:val="center"/>
              <w:rPr>
                <w:rFonts w:ascii="PT Astra Serif" w:hAnsi="PT Astra Serif"/>
                <w:sz w:val="24"/>
                <w:szCs w:val="24"/>
              </w:rPr>
            </w:pPr>
            <w:r>
              <w:rPr>
                <w:rFonts w:ascii="PT Astra Serif" w:hAnsi="PT Astra Serif"/>
                <w:sz w:val="24"/>
                <w:szCs w:val="24"/>
              </w:rPr>
              <w:t xml:space="preserve">107,6</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rPr>
                <w:rFonts w:ascii="PT Astra Serif" w:hAnsi="PT Astra Serif"/>
                <w:sz w:val="24"/>
                <w:szCs w:val="24"/>
              </w:rPr>
            </w:pPr>
            <w:r>
              <w:rPr>
                <w:rFonts w:ascii="PT Astra Serif" w:hAnsi="PT Astra Serif"/>
                <w:sz w:val="24"/>
                <w:szCs w:val="24"/>
              </w:rPr>
              <w:t xml:space="preserve">119,6</w:t>
            </w:r>
            <w:r>
              <w:rPr>
                <w:rFonts w:ascii="PT Astra Serif" w:hAnsi="PT Astra Serif"/>
                <w:sz w:val="24"/>
                <w:szCs w:val="24"/>
              </w:rPr>
            </w:r>
            <w:r>
              <w:rPr>
                <w:rFonts w:ascii="PT Astra Serif" w:hAnsi="PT Astra Serif"/>
                <w:sz w:val="24"/>
                <w:szCs w:val="24"/>
              </w:rPr>
            </w:r>
          </w:p>
        </w:tc>
      </w:tr>
      <w:tr>
        <w:tblPrEx/>
        <w:trPr>
          <w:jc w:val="center"/>
          <w:trHeight w:val="267"/>
        </w:trPr>
        <w:tc>
          <w:tcPr>
            <w:shd w:val="clear" w:color="auto" w:fill="ffffff" w:themeFill="background1"/>
            <w:tcBorders>
              <w:top w:val="single" w:color="auto" w:sz="4" w:space="0"/>
              <w:left w:val="single" w:color="auto" w:sz="4" w:space="0"/>
              <w:bottom w:val="single" w:color="auto" w:sz="4" w:space="0"/>
              <w:right w:val="single" w:color="auto" w:sz="4" w:space="0"/>
            </w:tcBorders>
            <w:tcW w:w="5634" w:type="dxa"/>
            <w:vAlign w:val="center"/>
            <w:textDirection w:val="lrTb"/>
            <w:noWrap w:val="false"/>
          </w:tcPr>
          <w:p>
            <w:pPr>
              <w:rPr>
                <w:rFonts w:ascii="PT Astra Serif" w:hAnsi="PT Astra Serif"/>
                <w:sz w:val="24"/>
                <w:szCs w:val="24"/>
              </w:rPr>
            </w:pPr>
            <w:r>
              <w:rPr>
                <w:rFonts w:ascii="PT Astra Serif" w:hAnsi="PT Astra Serif"/>
                <w:sz w:val="24"/>
                <w:szCs w:val="24"/>
              </w:rPr>
              <w:t xml:space="preserve">ИФО Россия, %</w:t>
            </w:r>
            <w:r>
              <w:rPr>
                <w:rFonts w:ascii="PT Astra Serif" w:hAnsi="PT Astra Serif"/>
                <w:sz w:val="24"/>
                <w:szCs w:val="24"/>
              </w:rPr>
            </w:r>
            <w:r>
              <w:rPr>
                <w:rFonts w:ascii="PT Astra Serif" w:hAnsi="PT Astra Serif"/>
                <w:sz w:val="24"/>
                <w:szCs w:val="24"/>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ascii="PT Astra Serif" w:hAnsi="PT Astra Serif"/>
                <w:sz w:val="24"/>
                <w:szCs w:val="24"/>
              </w:rPr>
            </w:pPr>
            <w:r>
              <w:rPr>
                <w:rFonts w:ascii="PT Astra Serif" w:hAnsi="PT Astra Serif"/>
                <w:sz w:val="24"/>
                <w:szCs w:val="24"/>
              </w:rPr>
              <w:t xml:space="preserve">126,7</w:t>
            </w:r>
            <w:r>
              <w:rPr>
                <w:rFonts w:ascii="PT Astra Serif" w:hAnsi="PT Astra Serif"/>
                <w:sz w:val="24"/>
                <w:szCs w:val="24"/>
              </w:rPr>
            </w:r>
            <w:r>
              <w:rPr>
                <w:rFonts w:ascii="PT Astra Serif" w:hAnsi="PT Astra Serif"/>
                <w:sz w:val="24"/>
                <w:szCs w:val="24"/>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185" w:type="dxa"/>
            <w:vAlign w:val="center"/>
            <w:textDirection w:val="lrTb"/>
            <w:noWrap/>
          </w:tcPr>
          <w:p>
            <w:pPr>
              <w:jc w:val="center"/>
              <w:rPr>
                <w:rFonts w:ascii="PT Astra Serif" w:hAnsi="PT Astra Serif"/>
                <w:sz w:val="24"/>
                <w:szCs w:val="24"/>
              </w:rPr>
            </w:pPr>
            <w:r>
              <w:rPr>
                <w:rFonts w:ascii="PT Astra Serif" w:hAnsi="PT Astra Serif"/>
                <w:sz w:val="24"/>
                <w:szCs w:val="24"/>
              </w:rPr>
              <w:t xml:space="preserve">104,7</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rPr>
                <w:rFonts w:ascii="PT Astra Serif" w:hAnsi="PT Astra Serif"/>
                <w:sz w:val="24"/>
                <w:szCs w:val="24"/>
              </w:rPr>
            </w:pPr>
            <w:r>
              <w:rPr>
                <w:rFonts w:ascii="PT Astra Serif" w:hAnsi="PT Astra Serif"/>
                <w:sz w:val="24"/>
                <w:szCs w:val="24"/>
              </w:rPr>
              <w:t xml:space="preserve">112,3</w:t>
            </w:r>
            <w:r>
              <w:rPr>
                <w:rFonts w:ascii="PT Astra Serif" w:hAnsi="PT Astra Serif"/>
                <w:sz w:val="24"/>
                <w:szCs w:val="24"/>
              </w:rPr>
            </w:r>
            <w:r>
              <w:rPr>
                <w:rFonts w:ascii="PT Astra Serif" w:hAnsi="PT Astra Serif"/>
                <w:sz w:val="24"/>
                <w:szCs w:val="24"/>
              </w:rPr>
            </w:r>
          </w:p>
        </w:tc>
      </w:tr>
    </w:tbl>
    <w:p>
      <w:pPr>
        <w:jc w:val="center"/>
        <w:spacing w:after="0" w:line="240" w:lineRule="auto"/>
        <w:tabs>
          <w:tab w:val="left" w:pos="851" w:leader="none"/>
          <w:tab w:val="left" w:pos="4962" w:leader="none"/>
        </w:tabs>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По итогам 2023 года оборот </w:t>
      </w:r>
      <w:r>
        <w:rPr>
          <w:rFonts w:ascii="PT Astra Serif" w:hAnsi="PT Astra Serif" w:eastAsia="Times New Roman"/>
          <w:b/>
          <w:sz w:val="24"/>
          <w:szCs w:val="24"/>
        </w:rPr>
        <w:t xml:space="preserve">общественного питания</w:t>
      </w:r>
      <w:r>
        <w:rPr>
          <w:rFonts w:ascii="PT Astra Serif" w:hAnsi="PT Astra Serif" w:eastAsia="Times New Roman"/>
          <w:sz w:val="24"/>
          <w:szCs w:val="24"/>
        </w:rPr>
        <w:t xml:space="preserve"> составил 11,94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 с ростом к уровню 2022 года на 19,6%.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jc w:val="center"/>
        <w:spacing w:after="0" w:line="240" w:lineRule="auto"/>
        <w:tabs>
          <w:tab w:val="left" w:pos="4962" w:leader="none"/>
        </w:tabs>
        <w:rPr>
          <w:rFonts w:ascii="PT Astra Serif" w:hAnsi="PT Astra Serif" w:eastAsia="Times New Roman"/>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Times New Roman"/>
          <w:b/>
          <w:sz w:val="24"/>
          <w:szCs w:val="24"/>
        </w:rPr>
        <w:t xml:space="preserve">По темпам роста оборот общественного питания занимает второе рейтинговое место в </w:t>
      </w:r>
      <w:r>
        <w:rPr>
          <w:rFonts w:ascii="PT Astra Serif" w:hAnsi="PT Astra Serif" w:eastAsia="Times New Roman"/>
          <w:b/>
          <w:sz w:val="24"/>
          <w:szCs w:val="24"/>
        </w:rPr>
        <w:t xml:space="preserve">СФО </w:t>
      </w:r>
      <w:r>
        <w:rPr>
          <w:rFonts w:ascii="PT Astra Serif" w:hAnsi="PT Astra Serif" w:eastAsia="Times New Roman"/>
          <w:b/>
          <w:sz w:val="24"/>
          <w:szCs w:val="24"/>
        </w:rPr>
        <w:t xml:space="preserve">(после Омской области)</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На динамику оборота общественного питания существенное влияние оказывает деятельность субъектов малого предпринимательства и индивидуальных предпринимателей, формирующих 71,2% оборота.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По крупным и средним организациям наблюдается рост </w:t>
      </w:r>
      <w:r>
        <w:rPr>
          <w:rFonts w:ascii="PT Astra Serif" w:hAnsi="PT Astra Serif" w:cstheme="minorBidi"/>
          <w:sz w:val="24"/>
          <w:szCs w:val="24"/>
        </w:rPr>
        <w:t xml:space="preserve">–</w:t>
      </w:r>
      <w:r>
        <w:rPr>
          <w:rFonts w:ascii="PT Astra Serif" w:hAnsi="PT Astra Serif" w:eastAsia="Times New Roman"/>
          <w:sz w:val="24"/>
          <w:szCs w:val="24"/>
        </w:rPr>
        <w:t xml:space="preserve"> 121,4% к уровню 2022 года, из них субъекты среднего предпринимательства показали наиболее высокий рост </w:t>
      </w:r>
      <w:r>
        <w:rPr>
          <w:rFonts w:ascii="PT Astra Serif" w:hAnsi="PT Astra Serif" w:cstheme="minorBidi"/>
          <w:sz w:val="24"/>
          <w:szCs w:val="24"/>
        </w:rPr>
        <w:t xml:space="preserve">–</w:t>
      </w:r>
      <w:r>
        <w:rPr>
          <w:rFonts w:ascii="PT Astra Serif" w:hAnsi="PT Astra Serif" w:eastAsia="Times New Roman"/>
          <w:sz w:val="24"/>
          <w:szCs w:val="24"/>
        </w:rPr>
        <w:t xml:space="preserve"> 86,8% к уровню 2022 года.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В течение 2023 года на рынке услуг общественного питания наблюдается положительная динамика и стабильно растущий тренд, что поддерживается восстановлением потребительского спроса на услуги питания «вне дома», расширением объектов общественного питания.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trike/>
          <w:sz w:val="24"/>
          <w:szCs w:val="24"/>
        </w:rPr>
      </w:pPr>
      <w:r>
        <w:rPr>
          <w:rFonts w:ascii="PT Astra Serif" w:hAnsi="PT Astra Serif" w:eastAsia="Times New Roman"/>
          <w:sz w:val="24"/>
          <w:szCs w:val="24"/>
        </w:rPr>
        <w:t xml:space="preserve">Рынок общественного питания характеризируется высокой степенью подвижности. По экспертной оценке в 2023 году только в областном центре открылось порядка 30 объектов общественного питания общедоступной сети, пр</w:t>
      </w:r>
      <w:r>
        <w:rPr>
          <w:rFonts w:ascii="PT Astra Serif" w:hAnsi="PT Astra Serif" w:eastAsia="Times New Roman"/>
          <w:sz w:val="24"/>
          <w:szCs w:val="24"/>
        </w:rPr>
        <w:t xml:space="preserve">еимущественно в сегменте фастфуд, в кофейном и кондитерском направлениях. При этом в отрасли сохраняется кадровая проблема, усиленная оттоком работников в период ограничений, перетоком кадров на услуги доставки, а также рабочей миграцией в другие регионы. </w:t>
      </w:r>
      <w:r>
        <w:rPr>
          <w:rFonts w:ascii="PT Astra Serif" w:hAnsi="PT Astra Serif" w:eastAsia="Times New Roman"/>
          <w:strike/>
          <w:sz w:val="24"/>
          <w:szCs w:val="24"/>
        </w:rPr>
      </w:r>
      <w:r>
        <w:rPr>
          <w:rFonts w:ascii="PT Astra Serif" w:hAnsi="PT Astra Serif" w:eastAsia="Times New Roman"/>
          <w:strike/>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В 2023 году наиболее динамичное развитие отмечается в демократичных сегментах (рестораны быстрого обслуживания и Grab&amp;Go), являющихся драйверами отрасли. Все большую конкуренцию заведениям общепита составляют сети FM</w:t>
      </w:r>
      <w:r>
        <w:rPr>
          <w:rFonts w:ascii="PT Astra Serif" w:hAnsi="PT Astra Serif" w:eastAsia="Times New Roman"/>
          <w:sz w:val="24"/>
          <w:szCs w:val="24"/>
        </w:rPr>
        <w:t xml:space="preserve">CG, наращивающие долю готовой еды и открывающие собственные кафе на территории магазинов более выгодных по цене. Активно продолжают развитие региональные сети общественного питания и федеральные сети по франшизе. Наибольший потребительский спрос отмечается</w:t>
      </w:r>
      <w:r>
        <w:rPr>
          <w:rFonts w:ascii="PT Astra Serif" w:hAnsi="PT Astra Serif" w:eastAsia="Times New Roman"/>
          <w:sz w:val="24"/>
          <w:szCs w:val="24"/>
        </w:rPr>
        <w:t xml:space="preserve"> у азиатских заведений, кафе национальной кухни, кофейен, обеспечивающих своих гостей ежедневным потреблением, поскольку дают населению возможность не готовить дома, закрывая эту потребность доставками, покупкой готовой еды или быстрого питания «вне дома».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Наряду с общероссийской тенденцией по развитию фудхоллов, в областном центре </w:t>
      </w:r>
      <w:r>
        <w:rPr>
          <w:rFonts w:ascii="PT Astra Serif" w:hAnsi="PT Astra Serif" w:eastAsia="Times New Roman"/>
          <w:sz w:val="24"/>
          <w:szCs w:val="24"/>
        </w:rPr>
        <w:t xml:space="preserve">реализуется</w:t>
      </w:r>
      <w:r>
        <w:rPr>
          <w:rFonts w:ascii="PT Astra Serif" w:hAnsi="PT Astra Serif" w:eastAsia="Times New Roman"/>
          <w:sz w:val="24"/>
          <w:szCs w:val="24"/>
        </w:rPr>
        <w:t xml:space="preserve"> проект создания гастрохолла «Лампочка»</w:t>
      </w:r>
      <w:r>
        <w:rPr>
          <w:rFonts w:ascii="PT Astra Serif" w:hAnsi="PT Astra Serif" w:eastAsia="Times New Roman"/>
          <w:sz w:val="24"/>
          <w:szCs w:val="24"/>
        </w:rPr>
        <w:t xml:space="preserve"> </w:t>
      </w:r>
      <w:r>
        <w:rPr>
          <w:rFonts w:ascii="PT Astra Serif" w:hAnsi="PT Astra Serif" w:eastAsia="Times New Roman"/>
          <w:sz w:val="24"/>
          <w:szCs w:val="24"/>
        </w:rPr>
        <w:t xml:space="preserve">в г. Томске с размещением порядка 25 разнообразных концепций общепита и кухонь мира.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b/>
          <w:sz w:val="24"/>
          <w:szCs w:val="24"/>
        </w:rPr>
        <w:t xml:space="preserve">В легкой промышленности в</w:t>
      </w:r>
      <w:r>
        <w:rPr>
          <w:rFonts w:ascii="PT Astra Serif" w:hAnsi="PT Astra Serif" w:eastAsia="Times New Roman"/>
          <w:sz w:val="24"/>
          <w:szCs w:val="24"/>
        </w:rPr>
        <w:t xml:space="preserve"> 2023 году положительная динамика показателей зафиксирована в производстве одежды, ИПП составил 132,4%, в производстве текстильных изделий</w:t>
      </w:r>
      <w:r>
        <w:rPr>
          <w:rFonts w:ascii="PT Astra Serif" w:hAnsi="PT Astra Serif" w:eastAsia="Times New Roman"/>
          <w:sz w:val="24"/>
          <w:szCs w:val="24"/>
        </w:rPr>
        <w:t xml:space="preserve"> </w:t>
      </w:r>
      <w:r>
        <w:rPr>
          <w:rFonts w:ascii="PT Astra Serif" w:hAnsi="PT Astra Serif" w:eastAsia="Times New Roman"/>
          <w:sz w:val="24"/>
          <w:szCs w:val="24"/>
        </w:rPr>
        <w:t xml:space="preserve">– 94,3%. Совокупный объем отгруженных товаров (текстильные изделия и одежда) по итогам  2023 года составил 398,4 млн рублей, что выше уровня 2022 года на 145,9 млн рублей.</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Легкую промышленность региона можно отнести к динамично развивающейся отрасли. К концу 2023 года </w:t>
      </w:r>
      <w:r>
        <w:rPr>
          <w:rFonts w:ascii="PT Astra Serif" w:hAnsi="PT Astra Serif" w:eastAsia="Times New Roman"/>
          <w:sz w:val="24"/>
          <w:szCs w:val="24"/>
        </w:rPr>
        <w:t xml:space="preserve">в регионе работает порядка 275</w:t>
      </w:r>
      <w:r>
        <w:rPr>
          <w:rFonts w:ascii="PT Astra Serif" w:hAnsi="PT Astra Serif" w:eastAsia="Times New Roman"/>
          <w:sz w:val="24"/>
          <w:szCs w:val="24"/>
        </w:rPr>
        <w:t xml:space="preserve"> хозяйствующих субъектов, в основном в сфере производства одежды – 201 ед. Основу бизнеса составляет малый бизнес. За 2023 прирост количества предприятий в отрасли составил 18 ед.</w:t>
      </w:r>
      <w:r>
        <w:rPr>
          <w:rFonts w:ascii="PT Astra Serif" w:hAnsi="PT Astra Serif" w:eastAsia="Times New Roman"/>
          <w:sz w:val="24"/>
          <w:szCs w:val="24"/>
        </w:rPr>
      </w:r>
      <w:r>
        <w:rPr>
          <w:rFonts w:ascii="PT Astra Serif" w:hAnsi="PT Astra Serif" w:eastAsia="Times New Roman"/>
          <w:sz w:val="24"/>
          <w:szCs w:val="24"/>
        </w:rPr>
      </w:r>
    </w:p>
    <w:p>
      <w:pPr>
        <w:ind w:firstLine="567"/>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Крупными предприятиями, оказывающими наибольшее влияние на социально-экономические показатели в отрасли, являются учреждения УФСИН России по Томской области и ОГАУЗ «ТКПБ», промышленный выпуск изделий которых зависим от федеральных заказов.</w:t>
      </w:r>
      <w:r>
        <w:rPr>
          <w:rFonts w:ascii="PT Astra Serif" w:hAnsi="PT Astra Serif" w:eastAsia="Times New Roman"/>
          <w:sz w:val="24"/>
          <w:szCs w:val="24"/>
        </w:rPr>
      </w:r>
      <w:r>
        <w:rPr>
          <w:rFonts w:ascii="PT Astra Serif" w:hAnsi="PT Astra Serif" w:eastAsia="Times New Roman"/>
          <w:sz w:val="24"/>
          <w:szCs w:val="24"/>
        </w:rPr>
      </w:r>
    </w:p>
    <w:p>
      <w:pPr>
        <w:ind w:firstLine="567"/>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Среди наиболее заметных региональных предприятий по производству одежды </w:t>
      </w:r>
      <w:r>
        <w:rPr>
          <w:rFonts w:ascii="PT Astra Serif" w:hAnsi="PT Astra Serif" w:eastAsia="Times New Roman"/>
          <w:sz w:val="24"/>
          <w:szCs w:val="24"/>
        </w:rPr>
        <w:t xml:space="preserve">–</w:t>
      </w:r>
      <w:r>
        <w:rPr>
          <w:rFonts w:ascii="PT Astra Serif" w:hAnsi="PT Astra Serif" w:eastAsia="Times New Roman"/>
          <w:sz w:val="24"/>
          <w:szCs w:val="24"/>
        </w:rPr>
        <w:t xml:space="preserve"> ИП</w:t>
      </w:r>
      <w:r>
        <w:rPr>
          <w:rFonts w:ascii="PT Astra Serif" w:hAnsi="PT Astra Serif" w:eastAsia="Times New Roman"/>
          <w:sz w:val="24"/>
          <w:szCs w:val="24"/>
        </w:rPr>
        <w:t xml:space="preserve"> </w:t>
      </w:r>
      <w:r>
        <w:rPr>
          <w:rFonts w:ascii="PT Astra Serif" w:hAnsi="PT Astra Serif" w:eastAsia="Times New Roman"/>
          <w:sz w:val="24"/>
          <w:szCs w:val="24"/>
        </w:rPr>
        <w:t xml:space="preserve">Алфимов Денис Юрьевич (бренд </w:t>
      </w:r>
      <w:r>
        <w:rPr>
          <w:rFonts w:ascii="PT Astra Serif" w:hAnsi="PT Astra Serif" w:cstheme="minorBidi"/>
          <w:sz w:val="24"/>
          <w:szCs w:val="24"/>
        </w:rPr>
        <w:t xml:space="preserve">–</w:t>
      </w:r>
      <w:r>
        <w:rPr>
          <w:rFonts w:ascii="PT Astra Serif" w:hAnsi="PT Astra Serif" w:eastAsia="Times New Roman"/>
          <w:sz w:val="24"/>
          <w:szCs w:val="24"/>
        </w:rPr>
        <w:t xml:space="preserve"> DenVer), ИП Золотарев Денис Игоревич (бренд </w:t>
      </w:r>
      <w:r>
        <w:rPr>
          <w:rFonts w:ascii="PT Astra Serif" w:hAnsi="PT Astra Serif" w:cstheme="minorBidi"/>
          <w:sz w:val="24"/>
          <w:szCs w:val="24"/>
        </w:rPr>
        <w:t xml:space="preserve">–</w:t>
      </w:r>
      <w:r>
        <w:rPr>
          <w:rFonts w:ascii="PT Astra Serif" w:hAnsi="PT Astra Serif" w:eastAsia="Times New Roman"/>
          <w:sz w:val="24"/>
          <w:szCs w:val="24"/>
        </w:rPr>
        <w:t xml:space="preserve"> Caribou &amp; BearCape), ООО «Милослава», ООО «Макспро» (бренд – DAISYKNIT), ИП</w:t>
      </w:r>
      <w:r>
        <w:rPr>
          <w:rFonts w:ascii="PT Astra Serif" w:hAnsi="PT Astra Serif" w:eastAsia="Times New Roman"/>
          <w:sz w:val="24"/>
          <w:szCs w:val="24"/>
        </w:rPr>
        <w:t xml:space="preserve"> </w:t>
      </w:r>
      <w:r>
        <w:rPr>
          <w:rFonts w:ascii="PT Astra Serif" w:hAnsi="PT Astra Serif" w:eastAsia="Times New Roman"/>
          <w:sz w:val="24"/>
          <w:szCs w:val="24"/>
        </w:rPr>
        <w:t xml:space="preserve">Князев Антон Александрович (бренд </w:t>
      </w:r>
      <w:r>
        <w:rPr>
          <w:rFonts w:ascii="PT Astra Serif" w:hAnsi="PT Astra Serif" w:cstheme="minorBidi"/>
          <w:sz w:val="24"/>
          <w:szCs w:val="24"/>
        </w:rPr>
        <w:t xml:space="preserve">–</w:t>
      </w:r>
      <w:r>
        <w:rPr>
          <w:rFonts w:ascii="PT Astra Serif" w:hAnsi="PT Astra Serif" w:eastAsia="Times New Roman"/>
          <w:sz w:val="24"/>
          <w:szCs w:val="24"/>
        </w:rPr>
        <w:t xml:space="preserve"> Уже выхожу), ООО «Комбизи» (бренд </w:t>
      </w:r>
      <w:r>
        <w:rPr>
          <w:rFonts w:ascii="PT Astra Serif" w:hAnsi="PT Astra Serif" w:cstheme="minorBidi"/>
          <w:sz w:val="24"/>
          <w:szCs w:val="24"/>
        </w:rPr>
        <w:t xml:space="preserve">–</w:t>
      </w:r>
      <w:r>
        <w:rPr>
          <w:rFonts w:ascii="PT Astra Serif" w:hAnsi="PT Astra Serif" w:eastAsia="Times New Roman"/>
          <w:sz w:val="24"/>
          <w:szCs w:val="24"/>
        </w:rPr>
        <w:t xml:space="preserve"> INZIBE), ИП Сергеев Матвей Викторович (бренд – Martichelli) ИП Никитина Марина А</w:t>
      </w:r>
      <w:r>
        <w:rPr>
          <w:rFonts w:ascii="PT Astra Serif" w:hAnsi="PT Astra Serif" w:eastAsia="Times New Roman"/>
          <w:sz w:val="24"/>
          <w:szCs w:val="24"/>
        </w:rPr>
        <w:t xml:space="preserve">лександровна (бренд </w:t>
      </w:r>
      <w:r>
        <w:rPr>
          <w:rFonts w:ascii="PT Astra Serif" w:hAnsi="PT Astra Serif" w:cstheme="minorBidi"/>
          <w:sz w:val="24"/>
          <w:szCs w:val="24"/>
        </w:rPr>
        <w:t xml:space="preserve">– </w:t>
      </w:r>
      <w:r>
        <w:rPr>
          <w:rFonts w:ascii="PT Astra Serif" w:hAnsi="PT Astra Serif" w:eastAsia="Times New Roman"/>
          <w:sz w:val="24"/>
          <w:szCs w:val="24"/>
        </w:rPr>
        <w:t xml:space="preserve">FABRIKA), </w:t>
      </w:r>
      <w:r>
        <w:rPr>
          <w:rFonts w:ascii="PT Astra Serif" w:hAnsi="PT Astra Serif" w:eastAsia="Times New Roman"/>
          <w:sz w:val="24"/>
          <w:szCs w:val="24"/>
        </w:rPr>
        <w:t xml:space="preserve">ИП Васин Игорь Владимирович (бренд </w:t>
      </w:r>
      <w:r>
        <w:rPr>
          <w:rFonts w:ascii="PT Astra Serif" w:hAnsi="PT Astra Serif" w:cstheme="minorBidi"/>
          <w:sz w:val="24"/>
          <w:szCs w:val="24"/>
        </w:rPr>
        <w:t xml:space="preserve">–</w:t>
      </w:r>
      <w:r>
        <w:rPr>
          <w:rFonts w:ascii="PT Astra Serif" w:hAnsi="PT Astra Serif" w:eastAsia="Times New Roman"/>
          <w:sz w:val="24"/>
          <w:szCs w:val="24"/>
        </w:rPr>
        <w:t xml:space="preserve"> SMUZY).</w:t>
      </w:r>
      <w:r>
        <w:rPr>
          <w:rFonts w:ascii="PT Astra Serif" w:hAnsi="PT Astra Serif" w:eastAsia="Times New Roman"/>
          <w:sz w:val="24"/>
          <w:szCs w:val="24"/>
        </w:rPr>
      </w:r>
      <w:r>
        <w:rPr>
          <w:rFonts w:ascii="PT Astra Serif" w:hAnsi="PT Astra Serif" w:eastAsia="Times New Roman"/>
          <w:sz w:val="24"/>
          <w:szCs w:val="24"/>
        </w:rPr>
      </w:r>
    </w:p>
    <w:p>
      <w:pPr>
        <w:ind w:firstLine="567"/>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Региональные предприятия в сфере легкой промышленности активно развиваются и наращивают объемы выпуска, активно ведут работу по продвижению продукции и поиска новых партнеров. Реализуют товары посредств</w:t>
      </w:r>
      <w:r>
        <w:rPr>
          <w:rFonts w:ascii="PT Astra Serif" w:hAnsi="PT Astra Serif" w:eastAsia="Times New Roman"/>
          <w:sz w:val="24"/>
          <w:szCs w:val="24"/>
        </w:rPr>
        <w:t xml:space="preserve">о</w:t>
      </w:r>
      <w:r>
        <w:rPr>
          <w:rFonts w:ascii="PT Astra Serif" w:hAnsi="PT Astra Serif" w:eastAsia="Times New Roman"/>
          <w:sz w:val="24"/>
          <w:szCs w:val="24"/>
        </w:rPr>
        <w:t xml:space="preserve">м маркетплейсов, открывают магазины не только на территории Томска, но и в других регионах и даже в странах ближнего зарубежья (Казахстан). </w:t>
      </w:r>
      <w:r>
        <w:rPr>
          <w:rFonts w:ascii="PT Astra Serif" w:hAnsi="PT Astra Serif" w:eastAsia="Times New Roman"/>
          <w:sz w:val="24"/>
          <w:szCs w:val="24"/>
        </w:rPr>
      </w:r>
      <w:r>
        <w:rPr>
          <w:rFonts w:ascii="PT Astra Serif" w:hAnsi="PT Astra Serif" w:eastAsia="Times New Roman"/>
          <w:sz w:val="24"/>
          <w:szCs w:val="24"/>
        </w:rPr>
      </w:r>
    </w:p>
    <w:p>
      <w:pPr>
        <w:ind w:firstLine="567"/>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В Томской области уже насчитывается порядка 50 брендов одежды.</w:t>
      </w:r>
      <w:r>
        <w:rPr>
          <w:rFonts w:ascii="PT Astra Serif" w:hAnsi="PT Astra Serif" w:eastAsia="Times New Roman"/>
          <w:sz w:val="24"/>
          <w:szCs w:val="24"/>
        </w:rPr>
      </w:r>
      <w:r>
        <w:rPr>
          <w:rFonts w:ascii="PT Astra Serif" w:hAnsi="PT Astra Serif" w:eastAsia="Times New Roman"/>
          <w:sz w:val="24"/>
          <w:szCs w:val="24"/>
        </w:rPr>
      </w:r>
    </w:p>
    <w:p>
      <w:pPr>
        <w:ind w:firstLine="567"/>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Положительным стал опыт открытия в г. Томске мультибрендовых площадок. Так</w:t>
      </w:r>
      <w:r>
        <w:rPr>
          <w:rFonts w:ascii="PT Astra Serif" w:hAnsi="PT Astra Serif" w:eastAsia="Times New Roman"/>
          <w:sz w:val="24"/>
          <w:szCs w:val="24"/>
        </w:rPr>
        <w:t xml:space="preserve">,</w:t>
      </w:r>
      <w:r>
        <w:rPr>
          <w:rFonts w:ascii="PT Astra Serif" w:hAnsi="PT Astra Serif" w:eastAsia="Times New Roman"/>
          <w:sz w:val="24"/>
          <w:szCs w:val="24"/>
        </w:rPr>
        <w:t xml:space="preserve"> 16 декабря в ТЦ «Форум» состоялось открытие Галереи Российских Дизайнеров «Мультибренд», где в одном торговом пространстве томские производители представили свои коллекции одежды и многое другое, сделанное в Томске.</w:t>
      </w:r>
      <w:r>
        <w:rPr>
          <w:rFonts w:ascii="PT Astra Serif" w:hAnsi="PT Astra Serif" w:eastAsia="Times New Roman"/>
          <w:sz w:val="24"/>
          <w:szCs w:val="24"/>
        </w:rPr>
      </w:r>
      <w:r>
        <w:rPr>
          <w:rFonts w:ascii="PT Astra Serif" w:hAnsi="PT Astra Serif" w:eastAsia="Times New Roman"/>
          <w:sz w:val="24"/>
          <w:szCs w:val="24"/>
        </w:rPr>
      </w:r>
    </w:p>
    <w:p>
      <w:pPr>
        <w:ind w:firstLine="567"/>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Ключевым региона</w:t>
      </w:r>
      <w:r>
        <w:rPr>
          <w:rFonts w:ascii="PT Astra Serif" w:hAnsi="PT Astra Serif" w:eastAsia="Times New Roman"/>
          <w:sz w:val="24"/>
          <w:szCs w:val="24"/>
        </w:rPr>
        <w:t xml:space="preserve">льным мероприятием в сфере легкой промышленности является Томский фестиваль брендов одежды «Модный дворик», приуроченный ко Дню работников текстильной и легкой промышленности. Главной целью Фестиваля является популяризация и продвижение локальных брендов.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Населению Томской области в 2023 году оказано </w:t>
      </w:r>
      <w:r>
        <w:rPr>
          <w:rFonts w:ascii="PT Astra Serif" w:hAnsi="PT Astra Serif" w:eastAsia="Times New Roman"/>
          <w:b/>
          <w:sz w:val="24"/>
          <w:szCs w:val="24"/>
        </w:rPr>
        <w:t xml:space="preserve">платных услуг</w:t>
      </w:r>
      <w:r>
        <w:rPr>
          <w:rFonts w:ascii="PT Astra Serif" w:hAnsi="PT Astra Serif" w:eastAsia="Times New Roman"/>
          <w:sz w:val="24"/>
          <w:szCs w:val="24"/>
        </w:rPr>
        <w:t xml:space="preserve"> на сумму 62,1</w:t>
      </w:r>
      <w:r>
        <w:rPr>
          <w:rFonts w:ascii="PT Astra Serif" w:hAnsi="PT Astra Serif" w:eastAsia="Times New Roman"/>
          <w:sz w:val="24"/>
          <w:szCs w:val="24"/>
        </w:rPr>
        <w:t xml:space="preserve">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 что в сопоставимых ценах к предыдущему году составило 100,7%. Отсутствие значительного роста показателя обусловлено в целом общим состоянием экономики и покупательской способностью населения.</w:t>
      </w:r>
      <w:r>
        <w:rPr>
          <w:rFonts w:ascii="PT Astra Serif" w:hAnsi="PT Astra Serif" w:eastAsia="Times New Roman"/>
          <w:sz w:val="24"/>
          <w:szCs w:val="24"/>
        </w:rPr>
      </w:r>
      <w:r>
        <w:rPr>
          <w:rFonts w:ascii="PT Astra Serif" w:hAnsi="PT Astra Serif" w:eastAsia="Times New Roman"/>
          <w:sz w:val="24"/>
          <w:szCs w:val="24"/>
        </w:rPr>
      </w:r>
    </w:p>
    <w:p>
      <w:pPr>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right"/>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Таблица 7</w:t>
      </w:r>
      <w:r>
        <w:rPr>
          <w:rFonts w:ascii="PT Astra Serif" w:hAnsi="PT Astra Serif" w:eastAsia="Times New Roman"/>
          <w:sz w:val="24"/>
          <w:szCs w:val="24"/>
        </w:rPr>
      </w:r>
      <w:r>
        <w:rPr>
          <w:rFonts w:ascii="PT Astra Serif" w:hAnsi="PT Astra Serif" w:eastAsia="Times New Roman"/>
          <w:sz w:val="24"/>
          <w:szCs w:val="24"/>
        </w:rPr>
      </w:r>
    </w:p>
    <w:p>
      <w:pPr>
        <w:jc w:val="center"/>
        <w:spacing w:after="0" w:line="240" w:lineRule="auto"/>
        <w:tabs>
          <w:tab w:val="left" w:pos="0" w:leader="none"/>
        </w:tabs>
        <w:rPr>
          <w:rFonts w:ascii="PT Astra Serif" w:hAnsi="PT Astra Serif" w:eastAsia="Calibri"/>
          <w:sz w:val="24"/>
          <w:szCs w:val="24"/>
        </w:rPr>
      </w:pPr>
      <w:r>
        <w:rPr>
          <w:rFonts w:ascii="PT Astra Serif" w:hAnsi="PT Astra Serif" w:eastAsia="Calibri"/>
          <w:sz w:val="24"/>
          <w:szCs w:val="24"/>
        </w:rPr>
        <w:t xml:space="preserve">Динамика объема платных услуг</w:t>
      </w:r>
      <w:r>
        <w:rPr>
          <w:rFonts w:ascii="PT Astra Serif" w:hAnsi="PT Astra Serif" w:eastAsia="Calibri"/>
          <w:sz w:val="24"/>
          <w:szCs w:val="24"/>
        </w:rPr>
      </w:r>
      <w:r>
        <w:rPr>
          <w:rFonts w:ascii="PT Astra Serif" w:hAnsi="PT Astra Serif" w:eastAsia="Calibri"/>
          <w:sz w:val="24"/>
          <w:szCs w:val="24"/>
        </w:rPr>
      </w:r>
    </w:p>
    <w:p>
      <w:pPr>
        <w:jc w:val="center"/>
        <w:spacing w:after="0" w:line="240" w:lineRule="auto"/>
        <w:tabs>
          <w:tab w:val="left" w:pos="0" w:leader="none"/>
        </w:tabs>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tbl>
      <w:tblPr>
        <w:tblStyle w:val="1141"/>
        <w:tblW w:w="9551" w:type="dxa"/>
        <w:jc w:val="center"/>
        <w:tblLook w:val="04A0" w:firstRow="1" w:lastRow="0" w:firstColumn="1" w:lastColumn="0" w:noHBand="0" w:noVBand="1"/>
      </w:tblPr>
      <w:tblGrid>
        <w:gridCol w:w="5467"/>
        <w:gridCol w:w="1540"/>
        <w:gridCol w:w="1343"/>
        <w:gridCol w:w="1201"/>
      </w:tblGrid>
      <w:tr>
        <w:tblPrEx/>
        <w:trPr>
          <w:jc w:val="center"/>
          <w:trHeight w:val="339"/>
        </w:trPr>
        <w:tc>
          <w:tcPr>
            <w:tcBorders>
              <w:top w:val="single" w:color="auto" w:sz="4" w:space="0"/>
              <w:left w:val="single" w:color="auto" w:sz="4" w:space="0"/>
              <w:bottom w:val="single" w:color="auto" w:sz="4" w:space="0"/>
              <w:right w:val="single" w:color="auto" w:sz="4" w:space="0"/>
            </w:tcBorders>
            <w:tcW w:w="5467" w:type="dxa"/>
            <w:textDirection w:val="lrTb"/>
            <w:noWrap w:val="false"/>
          </w:tcPr>
          <w:p>
            <w:pPr>
              <w:rPr>
                <w:rFonts w:ascii="PT Astra Serif" w:hAnsi="PT Astra Serif"/>
                <w:sz w:val="24"/>
                <w:szCs w:val="24"/>
              </w:rPr>
            </w:pPr>
            <w:r>
              <w:rPr>
                <w:rFonts w:ascii="PT Astra Serif" w:hAnsi="PT Astra Serif"/>
                <w:sz w:val="24"/>
                <w:szCs w:val="24"/>
              </w:rPr>
              <w:t xml:space="preserve">Наименование показателя</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tcPr>
          <w:p>
            <w:pPr>
              <w:jc w:val="center"/>
              <w:rPr>
                <w:rFonts w:ascii="PT Astra Serif" w:hAnsi="PT Astra Serif"/>
                <w:sz w:val="24"/>
                <w:szCs w:val="24"/>
              </w:rPr>
            </w:pPr>
            <w:r>
              <w:rPr>
                <w:rFonts w:ascii="PT Astra Serif" w:hAnsi="PT Astra Serif"/>
                <w:sz w:val="24"/>
                <w:szCs w:val="24"/>
              </w:rPr>
              <w:t xml:space="preserve">2021 год</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343" w:type="dxa"/>
            <w:vAlign w:val="center"/>
            <w:textDirection w:val="lrTb"/>
            <w:noWrap/>
          </w:tcPr>
          <w:p>
            <w:pPr>
              <w:jc w:val="center"/>
              <w:rPr>
                <w:rFonts w:ascii="PT Astra Serif" w:hAnsi="PT Astra Serif"/>
                <w:sz w:val="24"/>
                <w:szCs w:val="24"/>
              </w:rPr>
            </w:pPr>
            <w:r>
              <w:rPr>
                <w:rFonts w:ascii="PT Astra Serif" w:hAnsi="PT Astra Serif"/>
                <w:sz w:val="24"/>
                <w:szCs w:val="24"/>
              </w:rPr>
              <w:t xml:space="preserve">2022 год</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rPr>
                <w:rFonts w:ascii="PT Astra Serif" w:hAnsi="PT Astra Serif"/>
                <w:sz w:val="24"/>
                <w:szCs w:val="24"/>
              </w:rPr>
            </w:pPr>
            <w:r>
              <w:rPr>
                <w:rFonts w:ascii="PT Astra Serif" w:hAnsi="PT Astra Serif"/>
                <w:sz w:val="24"/>
                <w:szCs w:val="24"/>
              </w:rPr>
              <w:t xml:space="preserve">2023 год</w:t>
            </w:r>
            <w:r>
              <w:rPr>
                <w:rFonts w:ascii="PT Astra Serif" w:hAnsi="PT Astra Serif"/>
                <w:sz w:val="24"/>
                <w:szCs w:val="24"/>
              </w:rPr>
            </w:r>
            <w:r>
              <w:rPr>
                <w:rFonts w:ascii="PT Astra Serif" w:hAnsi="PT Astra Serif"/>
                <w:sz w:val="24"/>
                <w:szCs w:val="24"/>
              </w:rPr>
            </w:r>
          </w:p>
        </w:tc>
      </w:tr>
      <w:tr>
        <w:tblPrEx/>
        <w:trPr>
          <w:jc w:val="center"/>
          <w:trHeight w:val="2"/>
        </w:trPr>
        <w:tc>
          <w:tcPr>
            <w:tcBorders>
              <w:top w:val="single" w:color="auto" w:sz="4" w:space="0"/>
              <w:left w:val="single" w:color="auto" w:sz="4" w:space="0"/>
              <w:bottom w:val="single" w:color="auto" w:sz="4" w:space="0"/>
              <w:right w:val="single" w:color="auto" w:sz="4" w:space="0"/>
            </w:tcBorders>
            <w:tcW w:w="5467" w:type="dxa"/>
            <w:vAlign w:val="center"/>
            <w:textDirection w:val="lrTb"/>
            <w:noWrap w:val="false"/>
          </w:tcPr>
          <w:p>
            <w:pPr>
              <w:rPr>
                <w:rFonts w:ascii="PT Astra Serif" w:hAnsi="PT Astra Serif"/>
                <w:i/>
                <w:sz w:val="24"/>
                <w:szCs w:val="24"/>
              </w:rPr>
            </w:pPr>
            <w:r>
              <w:rPr>
                <w:rFonts w:ascii="PT Astra Serif" w:hAnsi="PT Astra Serif"/>
                <w:i/>
                <w:sz w:val="24"/>
                <w:szCs w:val="24"/>
              </w:rPr>
              <w:t xml:space="preserve">Объем платных услуг населению Томской области (</w:t>
            </w:r>
            <w:r>
              <w:rPr>
                <w:rFonts w:ascii="PT Astra Serif" w:hAnsi="PT Astra Serif"/>
                <w:i/>
                <w:sz w:val="24"/>
                <w:szCs w:val="24"/>
              </w:rPr>
              <w:t xml:space="preserve">млрд</w:t>
            </w:r>
            <w:r>
              <w:rPr>
                <w:rFonts w:ascii="PT Astra Serif" w:hAnsi="PT Astra Serif"/>
                <w:i/>
                <w:sz w:val="24"/>
                <w:szCs w:val="24"/>
              </w:rPr>
              <w:t xml:space="preserve"> </w:t>
            </w:r>
            <w:r>
              <w:rPr>
                <w:rFonts w:ascii="PT Astra Serif" w:hAnsi="PT Astra Serif"/>
                <w:i/>
                <w:sz w:val="24"/>
                <w:szCs w:val="24"/>
              </w:rPr>
              <w:t xml:space="preserve">рублей)</w:t>
            </w:r>
            <w:r>
              <w:rPr>
                <w:rFonts w:ascii="PT Astra Serif" w:hAnsi="PT Astra Serif"/>
                <w:i/>
                <w:sz w:val="24"/>
                <w:szCs w:val="24"/>
              </w:rPr>
            </w:r>
            <w:r>
              <w:rPr>
                <w:rFonts w:ascii="PT Astra Serif" w:hAnsi="PT Astra Serif"/>
                <w:i/>
                <w:sz w:val="24"/>
                <w:szCs w:val="24"/>
              </w:rP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tcPr>
          <w:p>
            <w:pPr>
              <w:jc w:val="center"/>
              <w:rPr>
                <w:rFonts w:ascii="PT Astra Serif" w:hAnsi="PT Astra Serif"/>
                <w:i/>
                <w:sz w:val="24"/>
                <w:szCs w:val="24"/>
              </w:rPr>
            </w:pPr>
            <w:r>
              <w:rPr>
                <w:rFonts w:ascii="PT Astra Serif" w:hAnsi="PT Astra Serif"/>
                <w:i/>
                <w:sz w:val="24"/>
                <w:szCs w:val="24"/>
              </w:rPr>
              <w:t xml:space="preserve">53,0</w:t>
            </w:r>
            <w:r>
              <w:rPr>
                <w:rFonts w:ascii="PT Astra Serif" w:hAnsi="PT Astra Serif"/>
                <w:i/>
                <w:sz w:val="24"/>
                <w:szCs w:val="24"/>
              </w:rPr>
            </w:r>
            <w:r>
              <w:rPr>
                <w:rFonts w:ascii="PT Astra Serif" w:hAnsi="PT Astra Serif"/>
                <w:i/>
                <w:sz w:val="24"/>
                <w:szCs w:val="24"/>
              </w:rPr>
            </w:r>
          </w:p>
        </w:tc>
        <w:tc>
          <w:tcPr>
            <w:tcBorders>
              <w:top w:val="single" w:color="auto" w:sz="4" w:space="0"/>
              <w:left w:val="single" w:color="auto" w:sz="4" w:space="0"/>
              <w:bottom w:val="single" w:color="auto" w:sz="4" w:space="0"/>
              <w:right w:val="single" w:color="auto" w:sz="4" w:space="0"/>
            </w:tcBorders>
            <w:tcW w:w="1343" w:type="dxa"/>
            <w:vAlign w:val="center"/>
            <w:textDirection w:val="lrTb"/>
            <w:noWrap/>
          </w:tcPr>
          <w:p>
            <w:pPr>
              <w:jc w:val="center"/>
              <w:rPr>
                <w:rFonts w:ascii="PT Astra Serif" w:hAnsi="PT Astra Serif"/>
                <w:i/>
                <w:sz w:val="24"/>
                <w:szCs w:val="24"/>
              </w:rPr>
            </w:pPr>
            <w:r>
              <w:rPr>
                <w:rFonts w:ascii="PT Astra Serif" w:hAnsi="PT Astra Serif"/>
                <w:i/>
                <w:sz w:val="24"/>
                <w:szCs w:val="24"/>
              </w:rPr>
              <w:t xml:space="preserve">59,9</w:t>
            </w:r>
            <w:r>
              <w:rPr>
                <w:rFonts w:ascii="PT Astra Serif" w:hAnsi="PT Astra Serif"/>
                <w:i/>
                <w:sz w:val="24"/>
                <w:szCs w:val="24"/>
              </w:rPr>
            </w:r>
            <w:r>
              <w:rPr>
                <w:rFonts w:ascii="PT Astra Serif" w:hAnsi="PT Astra Serif"/>
                <w:i/>
                <w:sz w:val="24"/>
                <w:szCs w:val="24"/>
              </w:rPr>
            </w:r>
          </w:p>
        </w:tc>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rPr>
                <w:rFonts w:ascii="PT Astra Serif" w:hAnsi="PT Astra Serif"/>
                <w:i/>
                <w:sz w:val="24"/>
                <w:szCs w:val="24"/>
              </w:rPr>
            </w:pPr>
            <w:r>
              <w:rPr>
                <w:rFonts w:ascii="PT Astra Serif" w:hAnsi="PT Astra Serif"/>
                <w:i/>
                <w:sz w:val="24"/>
                <w:szCs w:val="24"/>
              </w:rPr>
              <w:t xml:space="preserve">62,1</w:t>
            </w:r>
            <w:r>
              <w:rPr>
                <w:rFonts w:ascii="PT Astra Serif" w:hAnsi="PT Astra Serif"/>
                <w:i/>
                <w:sz w:val="24"/>
                <w:szCs w:val="24"/>
              </w:rPr>
            </w:r>
            <w:r>
              <w:rPr>
                <w:rFonts w:ascii="PT Astra Serif" w:hAnsi="PT Astra Serif"/>
                <w:i/>
                <w:sz w:val="24"/>
                <w:szCs w:val="24"/>
              </w:rPr>
            </w:r>
          </w:p>
        </w:tc>
      </w:tr>
      <w:tr>
        <w:tblPrEx/>
        <w:trPr>
          <w:jc w:val="center"/>
          <w:trHeight w:val="2"/>
        </w:trPr>
        <w:tc>
          <w:tcPr>
            <w:tcBorders>
              <w:top w:val="single" w:color="auto" w:sz="4" w:space="0"/>
              <w:left w:val="single" w:color="auto" w:sz="4" w:space="0"/>
              <w:bottom w:val="single" w:color="auto" w:sz="4" w:space="0"/>
              <w:right w:val="single" w:color="auto" w:sz="4" w:space="0"/>
            </w:tcBorders>
            <w:tcW w:w="5467" w:type="dxa"/>
            <w:vAlign w:val="center"/>
            <w:textDirection w:val="lrTb"/>
            <w:noWrap w:val="false"/>
          </w:tcPr>
          <w:p>
            <w:pPr>
              <w:rPr>
                <w:rFonts w:ascii="PT Astra Serif" w:hAnsi="PT Astra Serif"/>
                <w:sz w:val="24"/>
                <w:szCs w:val="24"/>
              </w:rPr>
            </w:pPr>
            <w:r>
              <w:rPr>
                <w:rFonts w:ascii="PT Astra Serif" w:hAnsi="PT Astra Serif"/>
                <w:sz w:val="24"/>
                <w:szCs w:val="24"/>
              </w:rPr>
              <w:t xml:space="preserve">ИФО Томская область, %</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tcPr>
          <w:p>
            <w:pPr>
              <w:jc w:val="center"/>
              <w:rPr>
                <w:rFonts w:ascii="PT Astra Serif" w:hAnsi="PT Astra Serif"/>
                <w:sz w:val="24"/>
                <w:szCs w:val="24"/>
              </w:rPr>
            </w:pPr>
            <w:r>
              <w:rPr>
                <w:rFonts w:ascii="PT Astra Serif" w:hAnsi="PT Astra Serif"/>
                <w:sz w:val="24"/>
                <w:szCs w:val="24"/>
              </w:rPr>
              <w:t xml:space="preserve">97,9</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343" w:type="dxa"/>
            <w:vAlign w:val="center"/>
            <w:textDirection w:val="lrTb"/>
            <w:noWrap/>
          </w:tcPr>
          <w:p>
            <w:pPr>
              <w:jc w:val="center"/>
              <w:rPr>
                <w:rFonts w:ascii="PT Astra Serif" w:hAnsi="PT Astra Serif"/>
                <w:sz w:val="24"/>
                <w:szCs w:val="24"/>
              </w:rPr>
            </w:pPr>
            <w:r>
              <w:rPr>
                <w:rFonts w:ascii="PT Astra Serif" w:hAnsi="PT Astra Serif"/>
                <w:sz w:val="24"/>
                <w:szCs w:val="24"/>
              </w:rPr>
              <w:t xml:space="preserve">104,0</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rPr>
                <w:rFonts w:ascii="PT Astra Serif" w:hAnsi="PT Astra Serif"/>
                <w:sz w:val="24"/>
                <w:szCs w:val="24"/>
              </w:rPr>
            </w:pPr>
            <w:r>
              <w:rPr>
                <w:rFonts w:ascii="PT Astra Serif" w:hAnsi="PT Astra Serif"/>
                <w:sz w:val="24"/>
                <w:szCs w:val="24"/>
              </w:rPr>
              <w:t xml:space="preserve">100,7</w:t>
            </w:r>
            <w:r>
              <w:rPr>
                <w:rFonts w:ascii="PT Astra Serif" w:hAnsi="PT Astra Serif"/>
                <w:sz w:val="24"/>
                <w:szCs w:val="24"/>
              </w:rPr>
            </w:r>
            <w:r>
              <w:rPr>
                <w:rFonts w:ascii="PT Astra Serif" w:hAnsi="PT Astra Serif"/>
                <w:sz w:val="24"/>
                <w:szCs w:val="24"/>
              </w:rPr>
            </w:r>
          </w:p>
        </w:tc>
      </w:tr>
      <w:tr>
        <w:tblPrEx/>
        <w:trPr>
          <w:jc w:val="center"/>
          <w:trHeight w:val="3"/>
        </w:trPr>
        <w:tc>
          <w:tcPr>
            <w:shd w:val="clear" w:color="auto" w:fill="ffffff" w:themeFill="background1"/>
            <w:tcBorders>
              <w:top w:val="single" w:color="auto" w:sz="4" w:space="0"/>
              <w:left w:val="single" w:color="auto" w:sz="4" w:space="0"/>
              <w:bottom w:val="single" w:color="auto" w:sz="4" w:space="0"/>
              <w:right w:val="single" w:color="auto" w:sz="4" w:space="0"/>
            </w:tcBorders>
            <w:tcW w:w="5467" w:type="dxa"/>
            <w:vAlign w:val="center"/>
            <w:textDirection w:val="lrTb"/>
            <w:noWrap w:val="false"/>
          </w:tcPr>
          <w:p>
            <w:pPr>
              <w:rPr>
                <w:rFonts w:ascii="PT Astra Serif" w:hAnsi="PT Astra Serif"/>
                <w:sz w:val="24"/>
                <w:szCs w:val="24"/>
              </w:rPr>
            </w:pPr>
            <w:r>
              <w:rPr>
                <w:rFonts w:ascii="PT Astra Serif" w:hAnsi="PT Astra Serif"/>
                <w:sz w:val="24"/>
                <w:szCs w:val="24"/>
              </w:rPr>
              <w:t xml:space="preserve">ИФО Россия, %</w:t>
            </w:r>
            <w:r>
              <w:rPr>
                <w:rFonts w:ascii="PT Astra Serif" w:hAnsi="PT Astra Serif"/>
                <w:sz w:val="24"/>
                <w:szCs w:val="24"/>
              </w:rPr>
            </w:r>
            <w:r>
              <w:rPr>
                <w:rFonts w:ascii="PT Astra Serif" w:hAnsi="PT Astra Serif"/>
                <w:sz w:val="24"/>
                <w:szCs w:val="24"/>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540" w:type="dxa"/>
            <w:vAlign w:val="center"/>
            <w:textDirection w:val="lrTb"/>
            <w:noWrap/>
          </w:tcPr>
          <w:p>
            <w:pPr>
              <w:jc w:val="center"/>
              <w:rPr>
                <w:rFonts w:ascii="PT Astra Serif" w:hAnsi="PT Astra Serif"/>
                <w:sz w:val="24"/>
                <w:szCs w:val="24"/>
              </w:rPr>
            </w:pPr>
            <w:r>
              <w:rPr>
                <w:rFonts w:ascii="PT Astra Serif" w:hAnsi="PT Astra Serif"/>
                <w:sz w:val="24"/>
                <w:szCs w:val="24"/>
              </w:rPr>
              <w:t xml:space="preserve">116,7</w:t>
            </w:r>
            <w:r>
              <w:rPr>
                <w:rFonts w:ascii="PT Astra Serif" w:hAnsi="PT Astra Serif"/>
                <w:sz w:val="24"/>
                <w:szCs w:val="24"/>
              </w:rPr>
            </w:r>
            <w:r>
              <w:rPr>
                <w:rFonts w:ascii="PT Astra Serif" w:hAnsi="PT Astra Serif"/>
                <w:sz w:val="24"/>
                <w:szCs w:val="24"/>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343" w:type="dxa"/>
            <w:vAlign w:val="center"/>
            <w:textDirection w:val="lrTb"/>
            <w:noWrap/>
          </w:tcPr>
          <w:p>
            <w:pPr>
              <w:jc w:val="center"/>
              <w:rPr>
                <w:rFonts w:ascii="PT Astra Serif" w:hAnsi="PT Astra Serif"/>
                <w:sz w:val="24"/>
                <w:szCs w:val="24"/>
              </w:rPr>
            </w:pPr>
            <w:r>
              <w:rPr>
                <w:rFonts w:ascii="PT Astra Serif" w:hAnsi="PT Astra Serif"/>
                <w:sz w:val="24"/>
                <w:szCs w:val="24"/>
              </w:rPr>
              <w:t xml:space="preserve">103,2</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rPr>
                <w:rFonts w:ascii="PT Astra Serif" w:hAnsi="PT Astra Serif"/>
                <w:sz w:val="24"/>
                <w:szCs w:val="24"/>
              </w:rPr>
            </w:pPr>
            <w:r>
              <w:rPr>
                <w:rFonts w:ascii="PT Astra Serif" w:hAnsi="PT Astra Serif"/>
                <w:sz w:val="24"/>
                <w:szCs w:val="24"/>
              </w:rPr>
              <w:t xml:space="preserve">104,4</w:t>
            </w:r>
            <w:r>
              <w:rPr>
                <w:rFonts w:ascii="PT Astra Serif" w:hAnsi="PT Astra Serif"/>
                <w:sz w:val="24"/>
                <w:szCs w:val="24"/>
              </w:rPr>
            </w:r>
            <w:r>
              <w:rPr>
                <w:rFonts w:ascii="PT Astra Serif" w:hAnsi="PT Astra Serif"/>
                <w:sz w:val="24"/>
                <w:szCs w:val="24"/>
              </w:rPr>
            </w:r>
          </w:p>
        </w:tc>
      </w:tr>
    </w:tbl>
    <w:p>
      <w:pPr>
        <w:jc w:val="center"/>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Наиболее востребованными платными услугами в Томской области в 2023 году по-прежнему остаются: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cstheme="minorBidi"/>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коммунальные услуги (доля – 31,8%), объем составил 18,5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 с индексом физического объема 101,2%, что обусловлено погодными условиями, температурой наружного воздуха и продолжительностью отопительного сезона;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cstheme="minorBidi"/>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телекоммуникационные услуги (доля - 15,1%), объем составил 9,8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 с индексом - 99,4%. Снижение связано с падением спроса на фоне роста цен на услуги;</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бытовые услуги (доля - 10,5%), объем составил 6,2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 с индексом </w:t>
      </w:r>
      <w:r>
        <w:rPr>
          <w:rFonts w:ascii="PT Astra Serif" w:hAnsi="PT Astra Serif" w:cstheme="minorBidi"/>
          <w:sz w:val="24"/>
          <w:szCs w:val="24"/>
        </w:rPr>
        <w:t xml:space="preserve">–</w:t>
      </w:r>
      <w:r>
        <w:rPr>
          <w:rFonts w:ascii="PT Astra Serif" w:hAnsi="PT Astra Serif" w:eastAsia="Times New Roman"/>
          <w:sz w:val="24"/>
          <w:szCs w:val="24"/>
        </w:rPr>
        <w:t xml:space="preserve"> 93,2%, что обусловлено факторами, лимитирующими развитие организаций бытового обслуживания, среди</w:t>
      </w:r>
      <w:r>
        <w:rPr>
          <w:rFonts w:ascii="PT Astra Serif" w:hAnsi="PT Astra Serif" w:eastAsia="Times New Roman"/>
          <w:sz w:val="24"/>
          <w:szCs w:val="24"/>
        </w:rPr>
        <w:t xml:space="preserve"> которых доминирует недостаточный спрос на услуги по техническому обслуживанию и ремонту транспортных средств, машин и оборудования, на долю которых в структуре объема бытовых услуг приходится 27,6%. При этом рост объемов бытовых услуг отмечен в 8 из 13 по</w:t>
      </w:r>
      <w:r>
        <w:rPr>
          <w:rFonts w:ascii="PT Astra Serif" w:hAnsi="PT Astra Serif" w:eastAsia="Times New Roman"/>
          <w:sz w:val="24"/>
          <w:szCs w:val="24"/>
        </w:rPr>
        <w:t xml:space="preserve">дотраслей, в том числе: услуги по ремонту, окраске и пошиву обуви – 122,7%, ремонту и пошиву швейных, меховых и кожаных изделий – 100,2%, ремонту и техническому обслуживанию бытовой радиоэлектронной техники – 102,7%, изготовлению и ремонту мебели – 102,4%,</w:t>
      </w:r>
      <w:r>
        <w:rPr>
          <w:rFonts w:ascii="PT Astra Serif" w:hAnsi="PT Astra Serif"/>
          <w:sz w:val="24"/>
          <w:szCs w:val="24"/>
        </w:rPr>
        <w:t xml:space="preserve"> </w:t>
      </w:r>
      <w:r>
        <w:rPr>
          <w:rFonts w:ascii="PT Astra Serif" w:hAnsi="PT Astra Serif" w:eastAsia="Times New Roman"/>
          <w:sz w:val="24"/>
          <w:szCs w:val="24"/>
        </w:rPr>
        <w:t xml:space="preserve">химической чистки и крашения, услуг прачечных – 112,5%,</w:t>
      </w:r>
      <w:r>
        <w:rPr>
          <w:rFonts w:ascii="PT Astra Serif" w:hAnsi="PT Astra Serif"/>
          <w:sz w:val="24"/>
          <w:szCs w:val="24"/>
        </w:rPr>
        <w:t xml:space="preserve"> </w:t>
      </w:r>
      <w:r>
        <w:rPr>
          <w:rFonts w:ascii="PT Astra Serif" w:hAnsi="PT Astra Serif" w:eastAsia="Times New Roman"/>
          <w:sz w:val="24"/>
          <w:szCs w:val="24"/>
        </w:rPr>
        <w:t xml:space="preserve">ремонту и строительству жилья и других построек – 102,3%; услуги фотоателье – 108,2%,  а также услуги парикмахерских – 106,9%;</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 </w:t>
      </w:r>
      <w:r>
        <w:rPr>
          <w:rFonts w:ascii="PT Astra Serif" w:hAnsi="PT Astra Serif" w:eastAsia="Times New Roman"/>
          <w:sz w:val="24"/>
          <w:szCs w:val="24"/>
        </w:rPr>
        <w:t xml:space="preserve">медицинские услуги (доля – 9,8%), объем составил 6,7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 с индексом - 101,4%, что связано с увеличением количества обращений в коммерческие медицинские учреждения, а также появление новых видов услуг, оказываемых медицинскими лабораториями.</w:t>
      </w:r>
      <w:r>
        <w:rPr>
          <w:rFonts w:ascii="PT Astra Serif" w:hAnsi="PT Astra Serif" w:eastAsia="Times New Roman"/>
          <w:sz w:val="24"/>
          <w:szCs w:val="24"/>
        </w:rPr>
      </w:r>
      <w:r>
        <w:rPr>
          <w:rFonts w:ascii="PT Astra Serif" w:hAnsi="PT Astra Serif" w:eastAsia="Times New Roman"/>
          <w:sz w:val="24"/>
          <w:szCs w:val="24"/>
        </w:rPr>
      </w:r>
    </w:p>
    <w:p>
      <w:pPr>
        <w:jc w:val="both"/>
        <w:spacing w:after="0" w:line="240" w:lineRule="auto"/>
        <w:tabs>
          <w:tab w:val="left" w:pos="900"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tabs>
          <w:tab w:val="left" w:pos="900" w:leader="none"/>
        </w:tabs>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4962" w:leader="none"/>
        </w:tabs>
        <w:rPr>
          <w:rFonts w:ascii="PT Astra Serif" w:hAnsi="PT Astra Serif" w:eastAsia="Times New Roman"/>
          <w:strike/>
          <w:sz w:val="24"/>
          <w:szCs w:val="24"/>
        </w:rPr>
      </w:pPr>
      <w:r>
        <w:rPr>
          <w:rFonts w:ascii="PT Astra Serif" w:hAnsi="PT Astra Serif" w:eastAsia="Times New Roman"/>
          <w:sz w:val="24"/>
          <w:szCs w:val="24"/>
        </w:rPr>
        <w:t xml:space="preserve">1. Повышение уровня конкурентоспособности предприятий потребительского рынка.</w:t>
      </w:r>
      <w:r>
        <w:rPr>
          <w:rFonts w:ascii="PT Astra Serif" w:hAnsi="PT Astra Serif" w:eastAsia="Times New Roman"/>
          <w:strike/>
          <w:sz w:val="24"/>
          <w:szCs w:val="24"/>
        </w:rPr>
      </w:r>
      <w:r>
        <w:rPr>
          <w:rFonts w:ascii="PT Astra Serif" w:hAnsi="PT Astra Serif" w:eastAsia="Times New Roman"/>
          <w:strike/>
          <w:sz w:val="24"/>
          <w:szCs w:val="24"/>
        </w:rPr>
      </w:r>
    </w:p>
    <w:p>
      <w:pPr>
        <w:pStyle w:val="1170"/>
        <w:tabs>
          <w:tab w:val="left" w:pos="851" w:leader="none"/>
          <w:tab w:val="left" w:pos="993" w:leader="none"/>
        </w:tabs>
        <w:rPr>
          <w:rFonts w:ascii="PT Astra Serif" w:hAnsi="PT Astra Serif"/>
          <w:sz w:val="24"/>
          <w:lang w:eastAsia="en-US"/>
        </w:rPr>
      </w:pPr>
      <w:r>
        <w:rPr>
          <w:rFonts w:ascii="PT Astra Serif" w:hAnsi="PT Astra Serif"/>
          <w:sz w:val="24"/>
        </w:rPr>
        <w:t xml:space="preserve">2. </w:t>
      </w:r>
      <w:r>
        <w:rPr>
          <w:rFonts w:ascii="PT Astra Serif" w:hAnsi="PT Astra Serif"/>
          <w:sz w:val="24"/>
          <w:lang w:eastAsia="en-US"/>
        </w:rPr>
        <w:t xml:space="preserve">Продвижение продукции локальных производителей пищевой и легкой промышленности на внутреннем и межрегиональном рынках. </w:t>
      </w:r>
      <w:r>
        <w:rPr>
          <w:rFonts w:ascii="PT Astra Serif" w:hAnsi="PT Astra Serif"/>
          <w:sz w:val="24"/>
          <w:lang w:eastAsia="en-US"/>
        </w:rPr>
      </w:r>
      <w:r>
        <w:rPr>
          <w:rFonts w:ascii="PT Astra Serif" w:hAnsi="PT Astra Serif"/>
          <w:sz w:val="24"/>
          <w:lang w:eastAsia="en-US"/>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3. Развитие малоформатной торговли в регионе, расширение каналов сбыта местной агропромышленной продукции.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4. Увеличение объемов экспорта пищевой продукции томских предприятий в общем объеме экспорта продукции АПК региона в рамках реализации регионального проекта «Экспорт АПК».</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5. Обеспечение планового внедрения маркировки отдельных видов товаров, подлежащих обязательной маркировке средствами идентификации, на предприятиях Томской области, осуществляющих деятельность в сферах потребительского рынка.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6. Переориентация производств и расширение или изменение ассортиментных линеек с учетом возросшей потребности на товары длительного хранения.</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shd w:val="clear" w:color="auto" w:fill="eaf1dd" w:themeFill="accent3" w:themeFillTint="33"/>
        <w:tabs>
          <w:tab w:val="left" w:pos="4962" w:leader="none"/>
        </w:tabs>
        <w:rPr>
          <w:rFonts w:ascii="PT Astra Serif" w:hAnsi="PT Astra Serif" w:eastAsia="Times New Roman"/>
          <w:b/>
          <w:sz w:val="24"/>
          <w:szCs w:val="24"/>
        </w:rPr>
      </w:pPr>
      <w:r>
        <w:rPr>
          <w:rFonts w:ascii="PT Astra Serif" w:hAnsi="PT Astra Serif" w:eastAsia="Times New Roman"/>
          <w:b/>
          <w:sz w:val="24"/>
          <w:szCs w:val="24"/>
          <w:shd w:val="clear" w:color="auto" w:fill="eaf1dd" w:themeFill="accent3" w:themeFillTint="33"/>
        </w:rPr>
        <w:t xml:space="preserve">Туризм</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Деятельность в сфере туризма направлена на развитие туристической инфраструктуры, повышение качества и доступности услуг в отрасли туризма, а также их продвижение на российский и международный рынок.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Основными задачами государственной политики Томской области в сфере туризма </w:t>
      </w:r>
      <w:r>
        <w:rPr>
          <w:rFonts w:ascii="PT Astra Serif" w:hAnsi="PT Astra Serif"/>
          <w:sz w:val="24"/>
          <w:szCs w:val="24"/>
        </w:rPr>
        <w:t xml:space="preserve">являются обеспечение создания современного высокоэффективного и конкурентоспособного туристского комплекса для устойчивого развития въездного и внутреннего туризма и увеличения вклада туристского продукта в социально-экономическое развитие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В рамках поставленных задач развития индустрии туризма и гостеприимства фокус деятельности в сфере туризма был направлен на </w:t>
      </w:r>
      <w:r>
        <w:rPr>
          <w:rFonts w:ascii="PT Astra Serif" w:hAnsi="PT Astra Serif" w:eastAsia="Times New Roman"/>
          <w:sz w:val="24"/>
          <w:szCs w:val="24"/>
        </w:rPr>
        <w:t xml:space="preserve">реализацию уже существующих и поиск новых эффективных мер поддержки отрасли, предпринимателей и организаций в сфере туризма. В том числе благодаря расширению и повышению эффективности этих мер, сфера туризма и индустрии гостеприимства Томской области в 202</w:t>
      </w:r>
      <w:r>
        <w:rPr>
          <w:rFonts w:ascii="PT Astra Serif" w:hAnsi="PT Astra Serif" w:eastAsia="Times New Roman"/>
          <w:sz w:val="24"/>
          <w:szCs w:val="24"/>
        </w:rPr>
        <w:t xml:space="preserve">3</w:t>
      </w:r>
      <w:r>
        <w:rPr>
          <w:rFonts w:ascii="PT Astra Serif" w:hAnsi="PT Astra Serif" w:eastAsia="Times New Roman"/>
          <w:sz w:val="24"/>
          <w:szCs w:val="24"/>
        </w:rPr>
        <w:t xml:space="preserve"> году показывает положительную динамику по основным показателям.</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Число туристских поездок в Томскую область в 2023 году состави</w:t>
      </w:r>
      <w:r>
        <w:rPr>
          <w:rFonts w:ascii="PT Astra Serif" w:hAnsi="PT Astra Serif"/>
          <w:sz w:val="24"/>
          <w:szCs w:val="24"/>
        </w:rPr>
        <w:t xml:space="preserve">ло 484,7</w:t>
      </w:r>
      <w:r>
        <w:rPr>
          <w:rFonts w:ascii="PT Astra Serif" w:hAnsi="PT Astra Serif"/>
          <w:sz w:val="24"/>
          <w:szCs w:val="24"/>
        </w:rPr>
        <w:t xml:space="preserve"> тысяч</w:t>
      </w:r>
      <w:r>
        <w:rPr>
          <w:rFonts w:ascii="PT Astra Serif" w:hAnsi="PT Astra Serif"/>
          <w:sz w:val="24"/>
          <w:szCs w:val="24"/>
        </w:rPr>
        <w:t xml:space="preserve">и</w:t>
      </w:r>
      <w:r>
        <w:rPr>
          <w:rFonts w:ascii="PT Astra Serif" w:hAnsi="PT Astra Serif"/>
          <w:sz w:val="24"/>
          <w:szCs w:val="24"/>
        </w:rPr>
        <w:t xml:space="preserve"> единиц, что на 15% больше</w:t>
      </w:r>
      <w:r>
        <w:rPr>
          <w:rFonts w:ascii="PT Astra Serif" w:hAnsi="PT Astra Serif"/>
          <w:sz w:val="24"/>
          <w:szCs w:val="24"/>
        </w:rPr>
        <w:t xml:space="preserve">,</w:t>
      </w:r>
      <w:r>
        <w:rPr>
          <w:rFonts w:ascii="PT Astra Serif" w:hAnsi="PT Astra Serif"/>
          <w:sz w:val="24"/>
          <w:szCs w:val="24"/>
        </w:rPr>
        <w:t xml:space="preserve"> чем в аналогичный период 2022 года.</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На территории региона осуществляют деятельность 116 туристических компаний из них 11 туроператоров (4 – по международному въездному и внутреннему туризму, 7 </w:t>
      </w:r>
      <w:r>
        <w:rPr>
          <w:rFonts w:ascii="PT Astra Serif" w:hAnsi="PT Astra Serif" w:cstheme="minorBidi"/>
          <w:sz w:val="24"/>
          <w:szCs w:val="24"/>
        </w:rPr>
        <w:t xml:space="preserve">–</w:t>
      </w:r>
      <w:r>
        <w:rPr>
          <w:rFonts w:ascii="PT Astra Serif" w:hAnsi="PT Astra Serif"/>
          <w:sz w:val="24"/>
          <w:szCs w:val="24"/>
        </w:rPr>
        <w:t xml:space="preserve"> туроператоров только по внутреннему туризму) и 105 турагенств, вместе с тем по данным Единого федерального реестра турагентов, субагентов Минэкономразвития России в регионе работает 212 турагенств.</w:t>
      </w:r>
      <w:r>
        <w:rPr>
          <w:rFonts w:ascii="PT Astra Serif" w:hAnsi="PT Astra Serif"/>
          <w:sz w:val="24"/>
          <w:szCs w:val="24"/>
        </w:rPr>
        <w:t xml:space="preserve"> Количество субъектов туристской деятельности стабильно, некоторое снижение количества туроператоров </w:t>
      </w:r>
      <w:r>
        <w:rPr>
          <w:rFonts w:ascii="PT Astra Serif" w:hAnsi="PT Astra Serif"/>
          <w:sz w:val="24"/>
          <w:szCs w:val="24"/>
        </w:rPr>
        <w:t xml:space="preserve">(в 2022 году </w:t>
      </w:r>
      <w:r>
        <w:rPr>
          <w:rFonts w:ascii="PT Astra Serif" w:hAnsi="PT Astra Serif" w:cstheme="minorBidi"/>
          <w:sz w:val="24"/>
          <w:szCs w:val="24"/>
        </w:rPr>
        <w:t xml:space="preserve">–</w:t>
      </w:r>
      <w:r>
        <w:rPr>
          <w:rFonts w:ascii="PT Astra Serif" w:hAnsi="PT Astra Serif"/>
          <w:sz w:val="24"/>
          <w:szCs w:val="24"/>
        </w:rPr>
        <w:t xml:space="preserve"> 14</w:t>
      </w:r>
      <w:r>
        <w:rPr>
          <w:rFonts w:ascii="PT Astra Serif" w:hAnsi="PT Astra Serif"/>
          <w:sz w:val="24"/>
          <w:szCs w:val="24"/>
        </w:rPr>
        <w:t xml:space="preserve"> </w:t>
      </w:r>
      <w:r>
        <w:rPr>
          <w:rFonts w:ascii="PT Astra Serif" w:hAnsi="PT Astra Serif"/>
          <w:sz w:val="24"/>
          <w:szCs w:val="24"/>
        </w:rPr>
        <w:t xml:space="preserve">туроператоров) </w:t>
      </w:r>
      <w:r>
        <w:rPr>
          <w:rFonts w:ascii="PT Astra Serif" w:hAnsi="PT Astra Serif"/>
          <w:sz w:val="24"/>
          <w:szCs w:val="24"/>
        </w:rPr>
        <w:t xml:space="preserve">связано с их переходом в сегмент турагентов, реализующих уже сформированные и имеющие спрос турпродукты.</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Коллективные средства размещения</w:t>
      </w:r>
      <w:r>
        <w:rPr>
          <w:rFonts w:ascii="PT Astra Serif" w:hAnsi="PT Astra Serif"/>
          <w:sz w:val="24"/>
          <w:szCs w:val="24"/>
        </w:rPr>
        <w:t xml:space="preserve"> (далее – КСР) региона насчитывают 163 КСР, из них – 135 гостиничных организаций и 28 – специального назначения. Обязательную процедуру классификации прошли 110 КСР (67,5%), из них по категориям: «пять звезд» - 2 КСР, «четыре звезды» - 5 КСР, «три звезды» </w:t>
      </w:r>
      <w:r>
        <w:rPr>
          <w:rFonts w:ascii="PT Astra Serif" w:hAnsi="PT Astra Serif" w:cstheme="minorBidi"/>
          <w:sz w:val="24"/>
          <w:szCs w:val="24"/>
        </w:rPr>
        <w:t xml:space="preserve">–</w:t>
      </w:r>
      <w:r>
        <w:rPr>
          <w:rFonts w:ascii="PT Astra Serif" w:hAnsi="PT Astra Serif"/>
          <w:sz w:val="24"/>
          <w:szCs w:val="24"/>
        </w:rPr>
        <w:t xml:space="preserve"> 19 КСР, «две звезды» – 13 КСР, «1</w:t>
      </w:r>
      <w:r>
        <w:rPr>
          <w:rFonts w:ascii="PT Astra Serif" w:hAnsi="PT Astra Serif"/>
          <w:sz w:val="24"/>
          <w:szCs w:val="24"/>
        </w:rPr>
        <w:t xml:space="preserve"> </w:t>
      </w:r>
      <w:r>
        <w:rPr>
          <w:rFonts w:ascii="PT Astra Serif" w:hAnsi="PT Astra Serif"/>
          <w:sz w:val="24"/>
          <w:szCs w:val="24"/>
        </w:rPr>
        <w:t xml:space="preserve">звезда» </w:t>
      </w:r>
      <w:r>
        <w:rPr>
          <w:rFonts w:ascii="PT Astra Serif" w:hAnsi="PT Astra Serif" w:cstheme="minorBidi"/>
          <w:sz w:val="24"/>
          <w:szCs w:val="24"/>
        </w:rPr>
        <w:t xml:space="preserve">–</w:t>
      </w:r>
      <w:r>
        <w:rPr>
          <w:rFonts w:ascii="PT Astra Serif" w:hAnsi="PT Astra Serif"/>
          <w:sz w:val="24"/>
          <w:szCs w:val="24"/>
        </w:rPr>
        <w:t xml:space="preserve"> 5 КСР, «без звезд» </w:t>
      </w:r>
      <w:r>
        <w:rPr>
          <w:rFonts w:ascii="PT Astra Serif" w:hAnsi="PT Astra Serif" w:cstheme="minorBidi"/>
          <w:sz w:val="24"/>
          <w:szCs w:val="24"/>
        </w:rPr>
        <w:t xml:space="preserve">–</w:t>
      </w:r>
      <w:r>
        <w:rPr>
          <w:rFonts w:ascii="PT Astra Serif" w:hAnsi="PT Astra Serif"/>
          <w:sz w:val="24"/>
          <w:szCs w:val="24"/>
        </w:rPr>
        <w:t xml:space="preserve"> 66 КСР. </w:t>
      </w:r>
      <w:r>
        <w:rPr>
          <w:rFonts w:ascii="PT Astra Serif" w:hAnsi="PT Astra Serif"/>
          <w:sz w:val="24"/>
          <w:szCs w:val="24"/>
        </w:rPr>
      </w:r>
      <w:r>
        <w:rPr>
          <w:rFonts w:ascii="PT Astra Serif" w:hAnsi="PT Astra Serif"/>
          <w:sz w:val="24"/>
          <w:szCs w:val="24"/>
        </w:rPr>
      </w:r>
    </w:p>
    <w:p>
      <w:pPr>
        <w:ind w:firstLine="709"/>
        <w:spacing w:after="0" w:line="240" w:lineRule="auto"/>
        <w:rPr>
          <w:rFonts w:ascii="PT Astra Serif" w:hAnsi="PT Astra Serif"/>
          <w:bCs/>
          <w:sz w:val="24"/>
          <w:szCs w:val="24"/>
        </w:rPr>
      </w:pPr>
      <w:r>
        <w:rPr>
          <w:rFonts w:ascii="PT Astra Serif" w:hAnsi="PT Astra Serif"/>
          <w:bCs/>
          <w:sz w:val="24"/>
          <w:szCs w:val="24"/>
        </w:rPr>
        <w:t xml:space="preserve">Доля отрасли туризма в ВРП составляет не менее 2,3%, а в основных ценах почти 16,5 </w:t>
      </w:r>
      <w:r>
        <w:rPr>
          <w:rFonts w:ascii="PT Astra Serif" w:hAnsi="PT Astra Serif"/>
          <w:bCs/>
          <w:sz w:val="24"/>
          <w:szCs w:val="24"/>
        </w:rPr>
        <w:t xml:space="preserve">млрд</w:t>
      </w:r>
      <w:r>
        <w:rPr>
          <w:rFonts w:ascii="PT Astra Serif" w:hAnsi="PT Astra Serif"/>
          <w:bCs/>
          <w:sz w:val="24"/>
          <w:szCs w:val="24"/>
        </w:rPr>
        <w:t xml:space="preserve"> </w:t>
      </w:r>
      <w:r>
        <w:rPr>
          <w:rFonts w:ascii="PT Astra Serif" w:hAnsi="PT Astra Serif"/>
          <w:bCs/>
          <w:sz w:val="24"/>
          <w:szCs w:val="24"/>
        </w:rPr>
        <w:t xml:space="preserve">рублей.</w:t>
      </w:r>
      <w:r>
        <w:rPr>
          <w:rFonts w:ascii="PT Astra Serif" w:hAnsi="PT Astra Serif"/>
          <w:bCs/>
          <w:sz w:val="24"/>
          <w:szCs w:val="24"/>
        </w:rPr>
      </w:r>
      <w:r>
        <w:rPr>
          <w:rFonts w:ascii="PT Astra Serif" w:hAnsi="PT Astra Serif"/>
          <w:bCs/>
          <w:sz w:val="24"/>
          <w:szCs w:val="24"/>
        </w:rPr>
      </w:r>
    </w:p>
    <w:p>
      <w:pPr>
        <w:ind w:firstLine="709"/>
        <w:jc w:val="both"/>
        <w:spacing w:after="0" w:line="240" w:lineRule="auto"/>
        <w:rPr>
          <w:rFonts w:ascii="PT Astra Serif" w:hAnsi="PT Astra Serif"/>
          <w:sz w:val="24"/>
          <w:szCs w:val="24"/>
        </w:rPr>
        <w:outlineLvl w:val="0"/>
      </w:pPr>
      <w:r>
        <w:rPr>
          <w:rFonts w:ascii="PT Astra Serif" w:hAnsi="PT Astra Serif"/>
          <w:sz w:val="24"/>
          <w:szCs w:val="24"/>
        </w:rPr>
        <w:t xml:space="preserve">В 2023 году продолжена реализация национального туристического маршрута «Томск </w:t>
      </w:r>
      <w:r>
        <w:rPr>
          <w:rFonts w:ascii="PT Astra Serif" w:hAnsi="PT Astra Serif" w:cstheme="minorBidi"/>
          <w:sz w:val="24"/>
          <w:szCs w:val="24"/>
        </w:rPr>
        <w:t xml:space="preserve">–</w:t>
      </w:r>
      <w:r>
        <w:rPr>
          <w:rFonts w:ascii="PT Astra Serif" w:hAnsi="PT Astra Serif"/>
          <w:sz w:val="24"/>
          <w:szCs w:val="24"/>
        </w:rPr>
        <w:t xml:space="preserve"> сердце Сибири</w:t>
      </w:r>
      <w:r>
        <w:rPr>
          <w:rFonts w:ascii="PT Astra Serif" w:hAnsi="PT Astra Serif"/>
          <w:sz w:val="24"/>
          <w:szCs w:val="24"/>
        </w:rPr>
        <w:t xml:space="preserve">!» (далее – НТМ), на который продано в 2,2 раза больше путевок, чем в 2022 году. Наличие НТМ дает преимущества в конкурсном отборе Минэкономразвития России на федеральное финансирование в рамках национального проекта «Туризм и индустрия гостеприимства», в </w:t>
      </w:r>
      <w:r>
        <w:rPr>
          <w:rFonts w:ascii="PT Astra Serif" w:hAnsi="PT Astra Serif"/>
          <w:sz w:val="24"/>
          <w:szCs w:val="24"/>
        </w:rPr>
        <w:t xml:space="preserve">рамках которого в 2023 году были поддержаны 2 проекта (в г. Стрежевой и Кожевниковском районе), направленных на приобретение оборудования, предназначенного для обеспечения туристской деятельности. Обеспечена поддержка и продвижение событийного мероприятия </w:t>
      </w:r>
      <w:r>
        <w:rPr>
          <w:rFonts w:ascii="PT Astra Serif" w:hAnsi="PT Astra Serif" w:cstheme="minorBidi"/>
          <w:sz w:val="24"/>
          <w:szCs w:val="24"/>
        </w:rPr>
        <w:t xml:space="preserve">–</w:t>
      </w:r>
      <w:r>
        <w:rPr>
          <w:rFonts w:ascii="PT Astra Serif" w:hAnsi="PT Astra Serif"/>
          <w:sz w:val="24"/>
          <w:szCs w:val="24"/>
        </w:rPr>
        <w:t xml:space="preserve"> Международного фестиваля народных ремесел «Праздник топора».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cs="Calibri" w:eastAsiaTheme="minorEastAsia"/>
          <w:strike/>
          <w:sz w:val="24"/>
          <w:szCs w:val="24"/>
        </w:rPr>
        <w:outlineLvl w:val="0"/>
      </w:pPr>
      <w:r>
        <w:rPr>
          <w:rFonts w:ascii="PT Astra Serif" w:hAnsi="PT Astra Serif"/>
          <w:sz w:val="24"/>
          <w:szCs w:val="24"/>
        </w:rPr>
        <w:t xml:space="preserve">За счет средств регионального бюджета оказана поддержка 12 муниципальным проектам на создание условий для развития туризма и туристической инфраструктуры:</w:t>
      </w:r>
      <w:r>
        <w:rPr>
          <w:rFonts w:ascii="PT Astra Serif" w:hAnsi="PT Astra Serif"/>
          <w:strike/>
          <w:sz w:val="24"/>
          <w:szCs w:val="24"/>
        </w:rPr>
        <w:t xml:space="preserve"> </w:t>
      </w:r>
      <w:r>
        <w:rPr>
          <w:rFonts w:ascii="PT Astra Serif" w:hAnsi="PT Astra Serif" w:cs="Calibri" w:eastAsiaTheme="minorEastAsia"/>
          <w:strike/>
          <w:sz w:val="24"/>
          <w:szCs w:val="24"/>
        </w:rPr>
      </w:r>
      <w:r>
        <w:rPr>
          <w:rFonts w:ascii="PT Astra Serif" w:hAnsi="PT Astra Serif" w:cs="Calibri" w:eastAsiaTheme="minorEastAsia"/>
          <w:strike/>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благоустройство мест притяжения туристов (на территориях музейной площадки «Малая земля» (р.п. Б</w:t>
      </w:r>
      <w:r>
        <w:rPr>
          <w:rFonts w:ascii="PT Astra Serif" w:hAnsi="PT Astra Serif"/>
          <w:sz w:val="24"/>
          <w:szCs w:val="24"/>
        </w:rPr>
        <w:t xml:space="preserve">елый Яр), музея под открытым небом «Чумэл Чвэч» (с. Парабель), Парка «Сердце нефтеграда» (г. Стрежевой), а также мест пляжного отдыха жителей и гостей на Семейкином озере (г. Томск), на Втором Светлом озере (г. Колпашево), на озере Токовом (с. Молчаново); </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установка благоустроенных стационарных туалетных модулей (с. Ягодное Асиновского района, с. Зырянское и с. Кожевниково); </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приобретение туристического оборудования для обслуживания туристов, в том числе для организации размещения туристов и увеличения спектра услуг для туристов в этно-культурном комплексе «Янов хутор» и др.</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Продолжена программа социальных путешествий по территории области для детей, молодежи, людей с ограниченными возможностями здоровья </w:t>
      </w:r>
      <w:r>
        <w:rPr>
          <w:rFonts w:ascii="PT Astra Serif" w:hAnsi="PT Astra Serif" w:cstheme="minorBidi"/>
          <w:sz w:val="24"/>
          <w:szCs w:val="24"/>
        </w:rPr>
        <w:t xml:space="preserve">–</w:t>
      </w:r>
      <w:r>
        <w:rPr>
          <w:rFonts w:ascii="PT Astra Serif" w:hAnsi="PT Astra Serif"/>
          <w:sz w:val="24"/>
          <w:szCs w:val="24"/>
        </w:rPr>
        <w:t xml:space="preserve"> «Знакомство с родным краем». В 2023 году охвачено туристическими и экскурсионными услугами 2 283 человек</w:t>
      </w:r>
      <w:r>
        <w:rPr>
          <w:rFonts w:ascii="PT Astra Serif" w:hAnsi="PT Astra Serif"/>
          <w:sz w:val="24"/>
          <w:szCs w:val="24"/>
        </w:rPr>
        <w:t xml:space="preserve">а</w:t>
      </w:r>
      <w:r>
        <w:rPr>
          <w:rFonts w:ascii="PT Astra Serif" w:hAnsi="PT Astra Serif"/>
          <w:sz w:val="24"/>
          <w:szCs w:val="24"/>
        </w:rPr>
        <w:t xml:space="preserve">, в том числе 2 201 школьник, 72 человека из числа лиц старшего поколения и ОВЗ и 10 сопровождающих.</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Возмещена часть транспортных расходов 2 туроператорам по привлечению 420 туристов, в том числе по НТМ.</w:t>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sz w:val="24"/>
          <w:szCs w:val="24"/>
        </w:rPr>
      </w:pPr>
      <w:r>
        <w:rPr>
          <w:rFonts w:ascii="PT Astra Serif" w:hAnsi="PT Astra Serif"/>
          <w:sz w:val="24"/>
          <w:szCs w:val="24"/>
        </w:rPr>
        <w:t xml:space="preserve">Компенсирована часть затрат (до 50%) на реализацию 2 предпринимательских проектов «Лесная сказка» (г. Томск) по приобретению модульных некапитальных средств размещения и «Уличные купели с</w:t>
      </w:r>
      <w:r>
        <w:rPr>
          <w:rFonts w:ascii="PT Astra Serif" w:hAnsi="PT Astra Serif"/>
          <w:sz w:val="24"/>
          <w:szCs w:val="24"/>
        </w:rPr>
        <w:t xml:space="preserve"> подогревом для организации отды</w:t>
      </w:r>
      <w:r>
        <w:rPr>
          <w:rFonts w:ascii="PT Astra Serif" w:hAnsi="PT Astra Serif"/>
          <w:sz w:val="24"/>
          <w:szCs w:val="24"/>
        </w:rPr>
        <w:t xml:space="preserve">ха» (Томский район).</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trike/>
          <w:sz w:val="24"/>
          <w:szCs w:val="24"/>
        </w:rPr>
      </w:pPr>
      <w:r>
        <w:rPr>
          <w:rFonts w:ascii="PT Astra Serif" w:hAnsi="PT Astra Serif"/>
          <w:sz w:val="24"/>
          <w:szCs w:val="24"/>
        </w:rPr>
        <w:t xml:space="preserve">За 2023 год аттестовано 24 экскурсовода (гида) и 2 гида-переводчика.</w:t>
      </w:r>
      <w:r>
        <w:rPr>
          <w:rFonts w:ascii="PT Astra Serif" w:hAnsi="PT Astra Serif"/>
          <w:strike/>
          <w:sz w:val="24"/>
          <w:szCs w:val="24"/>
        </w:rPr>
      </w:r>
      <w:r>
        <w:rPr>
          <w:rFonts w:ascii="PT Astra Serif" w:hAnsi="PT Astra Serif"/>
          <w:strike/>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В целях содействия инвесторам в предоставлении земельных участков в привлекательных для туристов местах для реализации туристических проектов </w:t>
      </w:r>
      <w:r>
        <w:rPr>
          <w:rFonts w:ascii="PT Astra Serif" w:hAnsi="PT Astra Serif"/>
          <w:sz w:val="24"/>
          <w:szCs w:val="24"/>
        </w:rPr>
        <w:t xml:space="preserve">заключено соглашение с Росреестром об участии в федеральном проекте «Земля для туризма». Выявлены и размещены на публичной кадастровой карте 7 земельных участков в Томском районе, уже получено заявление от инвестора, ведется работа по предоставлению земли.</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Организованы образовательная сессия для муниципалитетов, курсы повышения квалификации и экспертные сессии для экскурсоводов для развития компетенций региональных кадров по развитию туризма и повышения стандартов оказания туристических услуг.</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В целях продвижения туристического потенциала региона организованы:</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cstheme="minorBidi"/>
          <w:sz w:val="24"/>
          <w:szCs w:val="24"/>
        </w:rPr>
        <w:t xml:space="preserve">–</w:t>
      </w:r>
      <w:r>
        <w:rPr>
          <w:rFonts w:ascii="PT Astra Serif" w:hAnsi="PT Astra Serif" w:eastAsia="Times New Roman"/>
          <w:sz w:val="24"/>
          <w:szCs w:val="24"/>
        </w:rPr>
        <w:t xml:space="preserve"> участие в туристических выставках («MITT-2023», «Путешествуй!- Лето», «ОТДЫХ/LEISURE-2023»), форумах (Сибирский туристический форум в г. Новосибирск), воркшопах (для жителей, туроператоров, СМИ и блогеров Кузбасса);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cstheme="minorBidi"/>
          <w:sz w:val="24"/>
          <w:szCs w:val="24"/>
        </w:rPr>
        <w:t xml:space="preserve">–</w:t>
      </w:r>
      <w:r>
        <w:rPr>
          <w:rFonts w:ascii="PT Astra Serif" w:hAnsi="PT Astra Serif" w:eastAsia="Times New Roman"/>
          <w:sz w:val="24"/>
          <w:szCs w:val="24"/>
        </w:rPr>
        <w:t xml:space="preserve"> информационные туры для туроператоров и СМИ из других регионов по НТМ и по объектам промышленного туризма Томской области для туроператоров нашего региона;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trike/>
          <w:sz w:val="24"/>
          <w:szCs w:val="24"/>
        </w:rPr>
      </w:pPr>
      <w:r>
        <w:rPr>
          <w:rFonts w:ascii="PT Astra Serif" w:hAnsi="PT Astra Serif" w:cstheme="minorBidi"/>
          <w:sz w:val="24"/>
          <w:szCs w:val="24"/>
        </w:rPr>
        <w:t xml:space="preserve">–</w:t>
      </w:r>
      <w:r>
        <w:rPr>
          <w:rFonts w:ascii="PT Astra Serif" w:hAnsi="PT Astra Serif" w:eastAsia="Times New Roman"/>
          <w:sz w:val="24"/>
          <w:szCs w:val="24"/>
        </w:rPr>
        <w:t xml:space="preserve"> съе</w:t>
      </w:r>
      <w:r>
        <w:rPr>
          <w:rFonts w:ascii="PT Astra Serif" w:hAnsi="PT Astra Serif" w:eastAsia="Times New Roman"/>
          <w:sz w:val="24"/>
          <w:szCs w:val="24"/>
        </w:rPr>
        <w:t xml:space="preserve">мки телепередач о туризме в Томской области: «А дома лучше»</w:t>
      </w:r>
      <w:r>
        <w:t xml:space="preserve"> (</w:t>
      </w:r>
      <w:r>
        <w:rPr>
          <w:rFonts w:ascii="PT Astra Serif" w:hAnsi="PT Astra Serif" w:eastAsia="Times New Roman"/>
          <w:sz w:val="24"/>
          <w:szCs w:val="24"/>
        </w:rPr>
        <w:t xml:space="preserve">https://vk.com/video/@traveltomsk?z=video-59697737_456239147%2Fclub59697737%2Fpl_-59697737_-2) и «Один день в городе» (</w:t>
      </w:r>
      <w:hyperlink r:id="rId42" w:tooltip="https://vk.com/video/@traveltomsk?z=video-59697737_456239130%2Fclub59697737%2Fpl_-59697737_-2" w:history="1">
        <w:r>
          <w:rPr>
            <w:rStyle w:val="1127"/>
            <w:rFonts w:ascii="PT Astra Serif" w:hAnsi="PT Astra Serif" w:eastAsia="Times New Roman"/>
            <w:color w:val="auto"/>
            <w:sz w:val="24"/>
            <w:szCs w:val="24"/>
          </w:rPr>
          <w:t xml:space="preserve">https://vk.com/video/@traveltomsk?z=video-59697737_456239130%2Fclub59697737%2Fpl_-59697737_-2</w:t>
        </w:r>
      </w:hyperlink>
      <w:r>
        <w:rPr>
          <w:rFonts w:ascii="PT Astra Serif" w:hAnsi="PT Astra Serif" w:eastAsia="Times New Roman"/>
          <w:sz w:val="24"/>
          <w:szCs w:val="24"/>
        </w:rPr>
        <w:t xml:space="preserve">) телеканала «Моя планета», «Вместе по России. Томская область» телеканала Совета Федерации «Вместе-РФ»</w:t>
      </w:r>
      <w:r>
        <w:t xml:space="preserve"> (</w:t>
      </w:r>
      <w:r>
        <w:rPr>
          <w:rFonts w:ascii="PT Astra Serif" w:hAnsi="PT Astra Serif" w:eastAsia="Times New Roman"/>
          <w:sz w:val="24"/>
          <w:szCs w:val="24"/>
        </w:rPr>
        <w:t xml:space="preserve">https://vmeste-rf.tv/programs/vmeste-po-rossii/vmeste-po-rossii-tomskaya-oblast/);</w:t>
      </w:r>
      <w:r>
        <w:rPr>
          <w:rFonts w:ascii="PT Astra Serif" w:hAnsi="PT Astra Serif" w:eastAsia="Times New Roman"/>
          <w:strike/>
          <w:sz w:val="24"/>
          <w:szCs w:val="24"/>
        </w:rPr>
      </w:r>
      <w:r>
        <w:rPr>
          <w:rFonts w:ascii="PT Astra Serif" w:hAnsi="PT Astra Serif" w:eastAsia="Times New Roman"/>
          <w:strike/>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cstheme="minorBidi"/>
          <w:sz w:val="24"/>
          <w:szCs w:val="24"/>
        </w:rPr>
        <w:t xml:space="preserve">–</w:t>
      </w:r>
      <w:r>
        <w:rPr>
          <w:rFonts w:ascii="PT Astra Serif" w:hAnsi="PT Astra Serif" w:eastAsia="Times New Roman"/>
          <w:sz w:val="24"/>
          <w:szCs w:val="24"/>
        </w:rPr>
        <w:t xml:space="preserve"> размещение информации о туристических локациях на федеральном портале (RUSSPASS), сервисе </w:t>
      </w:r>
      <w:r>
        <w:rPr>
          <w:rFonts w:ascii="PT Astra Serif" w:hAnsi="PT Astra Serif" w:eastAsia="Times New Roman"/>
          <w:sz w:val="24"/>
          <w:szCs w:val="24"/>
          <w:lang w:val="en-US"/>
        </w:rPr>
        <w:t xml:space="preserve">Wildberries</w:t>
      </w:r>
      <w:r>
        <w:rPr>
          <w:rFonts w:ascii="PT Astra Serif" w:hAnsi="PT Astra Serif" w:eastAsia="Times New Roman"/>
          <w:sz w:val="24"/>
          <w:szCs w:val="24"/>
        </w:rPr>
        <w:t xml:space="preserve"> </w:t>
      </w:r>
      <w:r>
        <w:rPr>
          <w:rFonts w:ascii="PT Astra Serif" w:hAnsi="PT Astra Serif" w:eastAsia="Times New Roman"/>
          <w:sz w:val="24"/>
          <w:szCs w:val="24"/>
          <w:lang w:val="en-US"/>
        </w:rPr>
        <w:t xml:space="preserve">Travel</w:t>
      </w:r>
      <w:r>
        <w:rPr>
          <w:rFonts w:ascii="PT Astra Serif" w:hAnsi="PT Astra Serif" w:eastAsia="Times New Roman"/>
          <w:sz w:val="24"/>
          <w:szCs w:val="24"/>
        </w:rPr>
        <w:t xml:space="preserve"> и МТС </w:t>
      </w:r>
      <w:r>
        <w:rPr>
          <w:rFonts w:ascii="PT Astra Serif" w:hAnsi="PT Astra Serif" w:eastAsia="Times New Roman"/>
          <w:sz w:val="24"/>
          <w:szCs w:val="24"/>
          <w:lang w:val="en-US"/>
        </w:rPr>
        <w:t xml:space="preserve">Travel</w:t>
      </w:r>
      <w:r>
        <w:rPr>
          <w:rFonts w:ascii="PT Astra Serif" w:hAnsi="PT Astra Serif" w:eastAsia="Times New Roman"/>
          <w:sz w:val="24"/>
          <w:szCs w:val="24"/>
        </w:rPr>
        <w:t xml:space="preserve">;</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 </w:t>
      </w:r>
      <w:r>
        <w:rPr>
          <w:rFonts w:ascii="PT Astra Serif" w:hAnsi="PT Astra Serif" w:eastAsia="Times New Roman"/>
          <w:sz w:val="24"/>
          <w:szCs w:val="24"/>
        </w:rPr>
        <w:t xml:space="preserve">размещение видеороликов о туризме в Томской области на территории аэровокзальных комплексов (г. Новосибирск, г. Томск, г. Тюмень, г. Волгоград, г. Минеральные Воды), в информационно-развлекательной системе «Попутчик» для пассажиров РЖД;</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cstheme="minorBidi"/>
          <w:sz w:val="24"/>
          <w:szCs w:val="24"/>
        </w:rPr>
        <w:t xml:space="preserve">–</w:t>
      </w:r>
      <w:r>
        <w:rPr>
          <w:rFonts w:ascii="PT Astra Serif" w:hAnsi="PT Astra Serif" w:eastAsia="Times New Roman"/>
          <w:sz w:val="24"/>
          <w:szCs w:val="24"/>
        </w:rPr>
        <w:t xml:space="preserve"> размеще</w:t>
      </w:r>
      <w:r>
        <w:rPr>
          <w:rFonts w:ascii="PT Astra Serif" w:hAnsi="PT Astra Serif" w:eastAsia="Times New Roman"/>
          <w:sz w:val="24"/>
          <w:szCs w:val="24"/>
        </w:rPr>
        <w:t xml:space="preserve">ние на радиостанциях аудиороликов</w:t>
      </w:r>
      <w:r>
        <w:rPr>
          <w:rFonts w:ascii="PT Astra Serif" w:hAnsi="PT Astra Serif" w:eastAsia="Times New Roman"/>
          <w:sz w:val="24"/>
          <w:szCs w:val="24"/>
        </w:rPr>
        <w:t xml:space="preserve"> о туристическом потенциале Томской области (г. Новосибирск, г. Кемерово, г. Красноярск);</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trike/>
          <w:sz w:val="24"/>
          <w:szCs w:val="24"/>
        </w:rPr>
      </w:pPr>
      <w:r>
        <w:rPr>
          <w:rFonts w:ascii="PT Astra Serif" w:hAnsi="PT Astra Serif" w:cstheme="minorBidi"/>
          <w:sz w:val="24"/>
          <w:szCs w:val="24"/>
        </w:rPr>
        <w:t xml:space="preserve">–</w:t>
      </w:r>
      <w:r>
        <w:rPr>
          <w:rFonts w:ascii="PT Astra Serif" w:hAnsi="PT Astra Serif" w:eastAsia="Times New Roman"/>
          <w:sz w:val="24"/>
          <w:szCs w:val="24"/>
        </w:rPr>
        <w:t xml:space="preserve"> публикации в журнале «The МОСТ», на новостном портале «VSЁ42», на новостном портале «NGS.RU», в сообществе «ВКонтакте» АТОР, в телеграм-канале АТОР;</w:t>
      </w:r>
      <w:r>
        <w:rPr>
          <w:rFonts w:ascii="PT Astra Serif" w:hAnsi="PT Astra Serif" w:eastAsia="Times New Roman"/>
          <w:strike/>
          <w:sz w:val="24"/>
          <w:szCs w:val="24"/>
        </w:rPr>
      </w:r>
      <w:r>
        <w:rPr>
          <w:rFonts w:ascii="PT Astra Serif" w:hAnsi="PT Astra Serif" w:eastAsia="Times New Roman"/>
          <w:strike/>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cstheme="minorBidi"/>
          <w:sz w:val="24"/>
          <w:szCs w:val="24"/>
        </w:rPr>
        <w:t xml:space="preserve">–</w:t>
      </w:r>
      <w:r>
        <w:rPr>
          <w:rFonts w:ascii="PT Astra Serif" w:hAnsi="PT Astra Serif" w:eastAsia="Times New Roman"/>
          <w:sz w:val="24"/>
          <w:szCs w:val="24"/>
        </w:rPr>
        <w:t xml:space="preserve"> публикации</w:t>
      </w:r>
      <w:r>
        <w:rPr>
          <w:rFonts w:ascii="PT Astra Serif" w:hAnsi="PT Astra Serif" w:eastAsia="Times New Roman"/>
          <w:sz w:val="24"/>
          <w:szCs w:val="24"/>
        </w:rPr>
        <w:t xml:space="preserve"> в социальных сетях и туристическом портале «Гид-путеводитель по г. Томску и Томской области» (далее – Гид путеводитель). Посещаемость Гида путеводителя в 2023 году выросла более чем в 2 раза и составила 100 206 посетителей (2022 год – 49 376 посетителей).</w:t>
      </w:r>
      <w:r>
        <w:rPr>
          <w:rFonts w:ascii="PT Astra Serif" w:hAnsi="PT Astra Serif" w:eastAsia="Times New Roman"/>
          <w:sz w:val="24"/>
          <w:szCs w:val="24"/>
        </w:rPr>
      </w:r>
      <w:r>
        <w:rPr>
          <w:rFonts w:ascii="PT Astra Serif" w:hAnsi="PT Astra Serif" w:eastAsia="Times New Roman"/>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В </w:t>
      </w:r>
      <w:r>
        <w:rPr>
          <w:rFonts w:ascii="PT Astra Serif" w:hAnsi="PT Astra Serif"/>
          <w:sz w:val="24"/>
          <w:szCs w:val="24"/>
        </w:rPr>
        <w:t xml:space="preserve">мае 2023 года регион включился в проект «Путешествие в науку» с научно-популярным маршрутом «Томск — город науки и инноваций», который включает локации в научно-исследовательские лаборатории, музеи и центры томских вузов и НИИ, также туристические локации.</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По итогам пров</w:t>
      </w:r>
      <w:r>
        <w:rPr>
          <w:rFonts w:ascii="PT Astra Serif" w:hAnsi="PT Astra Serif"/>
          <w:sz w:val="24"/>
          <w:szCs w:val="24"/>
        </w:rPr>
        <w:t xml:space="preserve">едения Дней Томской области в Совете Федерации ведется работа по включению Томской области в число принимающих регионов программы культурно-просветительских поездок школьников, реализуемых в рамках федерального проекта «Творческие люди» национального проек</w:t>
      </w:r>
      <w:r>
        <w:rPr>
          <w:rFonts w:ascii="PT Astra Serif" w:hAnsi="PT Astra Serif"/>
          <w:sz w:val="24"/>
          <w:szCs w:val="24"/>
        </w:rPr>
        <w:t xml:space="preserve">та «Культура» и по увеличению квоты участников для Томской области программы на 2024 год: направлены письма и предложения по вариантам экскурсионных программ приема школьников в Томской области (на 2 дня и на 1 день), ожидается решение Минкультуры России. </w:t>
      </w:r>
      <w:r>
        <w:rPr>
          <w:rFonts w:ascii="PT Astra Serif" w:hAnsi="PT Astra Serif"/>
          <w:sz w:val="24"/>
          <w:szCs w:val="24"/>
        </w:rPr>
      </w:r>
      <w:r>
        <w:rPr>
          <w:rFonts w:ascii="PT Astra Serif" w:hAnsi="PT Astra Serif"/>
          <w:sz w:val="24"/>
          <w:szCs w:val="24"/>
        </w:rPr>
      </w:r>
    </w:p>
    <w:p>
      <w:pPr>
        <w:jc w:val="both"/>
        <w:spacing w:after="0" w:line="240" w:lineRule="auto"/>
        <w:tabs>
          <w:tab w:val="left" w:pos="900"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tabs>
          <w:tab w:val="left" w:pos="900"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1. Продолжение оказания мер поддержки муниципальным образованиям и туристическому бизнесу по уже существующим направлениям. </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2. Проведение образовательных мероприятий, включая акселерационную программу, направленную на формирование навыков создания, «упаковки», продвижения и реализации туристических проектов.</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3. Участие в проекте Росреестра «Земля для туризма» в целях поддержки потенциальных инвесторов по решению вопросов с определением земельных участков для туристических проектов.</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4. Продолжение активного продвижения туристического потенциала региона.</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5. Реализация мероприятий в рамках единой субсидии в сфере туризма, направленных на поддержку проекта развития и обустройства общественной территории туристского центр</w:t>
      </w:r>
      <w:r>
        <w:rPr>
          <w:rFonts w:ascii="PT Astra Serif" w:hAnsi="PT Astra Serif"/>
          <w:sz w:val="24"/>
          <w:szCs w:val="24"/>
        </w:rPr>
        <w:t xml:space="preserve">а города, проведения мероприятий</w:t>
      </w:r>
      <w:r>
        <w:rPr>
          <w:rFonts w:ascii="PT Astra Serif" w:hAnsi="PT Astra Serif"/>
          <w:sz w:val="24"/>
          <w:szCs w:val="24"/>
        </w:rPr>
        <w:t xml:space="preserve"> событийного туризма.</w:t>
      </w:r>
      <w:r>
        <w:rPr>
          <w:rFonts w:ascii="PT Astra Serif" w:hAnsi="PT Astra Serif"/>
          <w:sz w:val="24"/>
          <w:szCs w:val="24"/>
        </w:rPr>
      </w:r>
      <w:r>
        <w:rPr>
          <w:rFonts w:ascii="PT Astra Serif" w:hAnsi="PT Astra Serif"/>
          <w:sz w:val="24"/>
          <w:szCs w:val="24"/>
        </w:rPr>
      </w:r>
    </w:p>
    <w:p>
      <w:pPr>
        <w:pStyle w:val="1146"/>
        <w:outlineLvl w:val="1"/>
      </w:pPr>
      <w:r/>
      <w:bookmarkStart w:id="8" w:name="_Toc134630398"/>
      <w:r/>
      <w:bookmarkEnd w:id="7"/>
      <w:r>
        <w:t xml:space="preserve">1.3. Формирование технологического ядра новой отраслевой специализации, обеспечение развития инновационной инфраструктуры</w:t>
      </w:r>
      <w:r/>
    </w:p>
    <w:p>
      <w:pPr>
        <w:jc w:val="both"/>
        <w:spacing w:after="0" w:line="240" w:lineRule="auto"/>
        <w:tabs>
          <w:tab w:val="left" w:pos="4962" w:leader="none"/>
        </w:tabs>
        <w:rPr>
          <w:rFonts w:ascii="PT Astra Serif" w:hAnsi="PT Astra Serif" w:eastAsia="Times New Roman"/>
          <w:b/>
          <w:sz w:val="24"/>
          <w:szCs w:val="24"/>
        </w:rPr>
      </w:pPr>
      <w:r>
        <w:rPr>
          <w:rFonts w:ascii="PT Astra Serif" w:hAnsi="PT Astra Serif" w:eastAsia="Times New Roman"/>
          <w:b/>
          <w:sz w:val="24"/>
          <w:szCs w:val="24"/>
        </w:rPr>
      </w:r>
      <w:r>
        <w:rPr>
          <w:rFonts w:ascii="PT Astra Serif" w:hAnsi="PT Astra Serif" w:eastAsia="Times New Roman"/>
          <w:b/>
          <w:sz w:val="24"/>
          <w:szCs w:val="24"/>
        </w:rPr>
      </w:r>
      <w:r>
        <w:rPr>
          <w:rFonts w:ascii="PT Astra Serif" w:hAnsi="PT Astra Serif" w:eastAsia="Times New Roman"/>
          <w:b/>
          <w:sz w:val="24"/>
          <w:szCs w:val="24"/>
        </w:rPr>
      </w:r>
    </w:p>
    <w:p>
      <w:pPr>
        <w:jc w:val="both"/>
        <w:spacing w:after="0" w:line="240" w:lineRule="auto"/>
        <w:shd w:val="clear" w:color="auto" w:fill="eaf1dd" w:themeFill="accent3" w:themeFillTint="33"/>
        <w:tabs>
          <w:tab w:val="left" w:pos="4962" w:leader="none"/>
        </w:tabs>
        <w:rPr>
          <w:rFonts w:ascii="PT Astra Serif" w:hAnsi="PT Astra Serif" w:eastAsia="Times New Roman"/>
          <w:b/>
          <w:sz w:val="24"/>
          <w:szCs w:val="24"/>
        </w:rPr>
      </w:pPr>
      <w:r>
        <w:rPr>
          <w:rFonts w:ascii="PT Astra Serif" w:hAnsi="PT Astra Serif" w:eastAsia="Times New Roman"/>
          <w:b/>
          <w:sz w:val="24"/>
          <w:szCs w:val="24"/>
          <w:shd w:val="clear" w:color="auto" w:fill="eaf1dd" w:themeFill="accent3" w:themeFillTint="33"/>
        </w:rPr>
        <w:t xml:space="preserve">Инновационный сектор</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Томская область проявляет высокую инновационную активность, продолжая удерживать позицию в группе «сильных инноваторов».</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jc w:val="center"/>
        <w:spacing w:after="0" w:line="240" w:lineRule="auto"/>
        <w:rPr>
          <w:rFonts w:ascii="PT Astra Serif" w:hAnsi="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В рейтинге инновационного развития субъектов Российской Федерации </w:t>
      </w:r>
      <w:r>
        <w:rPr>
          <w:rFonts w:ascii="PT Astra Serif" w:hAnsi="PT Astra Serif"/>
          <w:b/>
          <w:sz w:val="24"/>
          <w:szCs w:val="24"/>
        </w:rPr>
      </w:r>
      <w:r>
        <w:rPr>
          <w:rFonts w:ascii="PT Astra Serif" w:hAnsi="PT Astra Serif"/>
          <w:b/>
          <w:sz w:val="24"/>
          <w:szCs w:val="24"/>
        </w:rPr>
      </w:r>
    </w:p>
    <w:p>
      <w:pPr>
        <w:contextualSpacing/>
        <w:jc w:val="center"/>
        <w:spacing w:after="0" w:line="240" w:lineRule="auto"/>
        <w:rPr>
          <w:rFonts w:ascii="PT Astra Serif" w:hAnsi="PT Astra Serif"/>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Высшей школы экономики Томская область занимает 4-е место</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Уровень инновационной активности томских компаний по данным Росстата в 2022 г</w:t>
      </w:r>
      <w:r>
        <w:rPr>
          <w:rFonts w:ascii="PT Astra Serif" w:hAnsi="PT Astra Serif"/>
          <w:sz w:val="24"/>
          <w:szCs w:val="24"/>
        </w:rPr>
        <w:t xml:space="preserve">оду</w:t>
      </w:r>
      <w:r>
        <w:rPr>
          <w:rFonts w:ascii="PT Astra Serif" w:hAnsi="PT Astra Serif"/>
          <w:sz w:val="24"/>
          <w:szCs w:val="24"/>
        </w:rPr>
        <w:t xml:space="preserve"> составил 15,2%,  что выше средних значений по России (11%) и СФО (9,2%).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По итогам 2022 доля продукции высокотехнологичных и наукоемких отраслей в валовом региональном продукте Томской области составила 20,7%, по предварительной оценке</w:t>
      </w:r>
      <w:r>
        <w:rPr>
          <w:rFonts w:ascii="PT Astra Serif" w:hAnsi="PT Astra Serif"/>
          <w:sz w:val="24"/>
          <w:szCs w:val="24"/>
        </w:rPr>
        <w:t xml:space="preserve"> 2023 года</w:t>
      </w:r>
      <w:r>
        <w:rPr>
          <w:rFonts w:ascii="PT Astra Serif" w:hAnsi="PT Astra Serif"/>
          <w:sz w:val="24"/>
          <w:szCs w:val="24"/>
        </w:rPr>
        <w:t xml:space="preserve"> увеличилась по сравнению с 2022 годом до 22,2%.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Томская область находится на 5 месте среди регионов СФО по объему отгруженных инновационных товаров, работ, услуг организациями (по данным за 2022 г</w:t>
      </w:r>
      <w:r>
        <w:rPr>
          <w:rFonts w:ascii="PT Astra Serif" w:hAnsi="PT Astra Serif"/>
          <w:sz w:val="24"/>
          <w:szCs w:val="24"/>
        </w:rPr>
        <w:t xml:space="preserve">од</w:t>
      </w:r>
      <w:r>
        <w:rPr>
          <w:rFonts w:ascii="PT Astra Serif" w:hAnsi="PT Astra Serif"/>
          <w:sz w:val="24"/>
          <w:szCs w:val="24"/>
        </w:rPr>
        <w:t xml:space="preserve"> объем составил 16,4 </w:t>
      </w:r>
      <w:r>
        <w:rPr>
          <w:rFonts w:ascii="PT Astra Serif" w:hAnsi="PT Astra Serif"/>
          <w:sz w:val="24"/>
          <w:szCs w:val="24"/>
        </w:rPr>
        <w:t xml:space="preserve">млрд</w:t>
      </w:r>
      <w:r>
        <w:rPr>
          <w:rFonts w:ascii="PT Astra Serif" w:hAnsi="PT Astra Serif"/>
          <w:sz w:val="24"/>
          <w:szCs w:val="24"/>
        </w:rPr>
        <w:t xml:space="preserve"> </w:t>
      </w:r>
      <w:r>
        <w:rPr>
          <w:rFonts w:ascii="PT Astra Serif" w:hAnsi="PT Astra Serif"/>
          <w:sz w:val="24"/>
          <w:szCs w:val="24"/>
        </w:rPr>
        <w:t xml:space="preserve">рублей</w:t>
      </w:r>
      <w:r>
        <w:rPr>
          <w:rFonts w:ascii="PT Astra Serif" w:hAnsi="PT Astra Serif"/>
          <w:sz w:val="24"/>
          <w:szCs w:val="24"/>
        </w:rPr>
        <w:t xml:space="preserve">).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Общий объем финансирования инновационной деятельности и науки в Томской области за 2023 год составил 97,9 млн</w:t>
      </w:r>
      <w:r>
        <w:rPr>
          <w:rFonts w:ascii="PT Astra Serif" w:hAnsi="PT Astra Serif"/>
          <w:sz w:val="24"/>
          <w:szCs w:val="24"/>
        </w:rPr>
        <w:t xml:space="preserve"> </w:t>
      </w:r>
      <w:r>
        <w:rPr>
          <w:rFonts w:ascii="PT Astra Serif" w:hAnsi="PT Astra Serif"/>
          <w:sz w:val="24"/>
          <w:szCs w:val="24"/>
        </w:rPr>
        <w:t xml:space="preserve">руб</w:t>
      </w:r>
      <w:r>
        <w:rPr>
          <w:rFonts w:ascii="PT Astra Serif" w:hAnsi="PT Astra Serif"/>
          <w:sz w:val="24"/>
          <w:szCs w:val="24"/>
        </w:rPr>
        <w:t xml:space="preserve">лей</w:t>
      </w:r>
      <w:r>
        <w:rPr>
          <w:rFonts w:ascii="PT Astra Serif" w:hAnsi="PT Astra Serif"/>
          <w:sz w:val="24"/>
          <w:szCs w:val="24"/>
        </w:rPr>
        <w:t xml:space="preserve">, в сравнении с 2022 годом объем финансирования увеличился на 12,2%.</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Томская область активно взаимодействует с федеральными институтами развития (Фонд «Сколково», Фонд содействия инновациям (ФСИ), Фонд развития интернет-инициатив, Российский фонд развития информационных технологий и др.), тем самым развивая </w:t>
      </w:r>
      <w:r>
        <w:rPr>
          <w:rFonts w:ascii="PT Astra Serif" w:hAnsi="PT Astra Serif"/>
          <w:sz w:val="24"/>
          <w:szCs w:val="24"/>
        </w:rPr>
        <w:t xml:space="preserve">региональную инфраструктуру поддержки. Регион занимает одну из лидирующих позиций в России по числу поддержанных ФСИ проектов и коммерциализированных разработок, объему выделенных средств. Благодаря этому в развитие томских технологических проектов в 2023 </w:t>
      </w:r>
      <w:r>
        <w:rPr>
          <w:rFonts w:ascii="PT Astra Serif" w:hAnsi="PT Astra Serif"/>
          <w:sz w:val="24"/>
          <w:szCs w:val="24"/>
        </w:rPr>
        <w:t xml:space="preserve">году привлечены порядка 450 млн</w:t>
      </w:r>
      <w:r>
        <w:rPr>
          <w:rFonts w:ascii="PT Astra Serif" w:hAnsi="PT Astra Serif"/>
          <w:sz w:val="24"/>
          <w:szCs w:val="24"/>
        </w:rPr>
        <w:t xml:space="preserve"> рублей.</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jc w:val="center"/>
        <w:spacing w:after="0" w:line="240" w:lineRule="auto"/>
        <w:rPr>
          <w:rFonts w:ascii="PT Astra Serif" w:hAnsi="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За 5 лет поддержано 172 томских инновационных проекта </w:t>
      </w:r>
      <w:r>
        <w:rPr>
          <w:rFonts w:ascii="PT Astra Serif" w:hAnsi="PT Astra Serif"/>
          <w:b/>
          <w:sz w:val="24"/>
          <w:szCs w:val="24"/>
        </w:rPr>
      </w:r>
      <w:r>
        <w:rPr>
          <w:rFonts w:ascii="PT Astra Serif" w:hAnsi="PT Astra Serif"/>
          <w:b/>
          <w:sz w:val="24"/>
          <w:szCs w:val="24"/>
        </w:rPr>
      </w:r>
    </w:p>
    <w:p>
      <w:pPr>
        <w:contextualSpacing/>
        <w:jc w:val="center"/>
        <w:spacing w:after="0" w:line="240" w:lineRule="auto"/>
        <w:rPr>
          <w:rFonts w:ascii="PT Astra Serif" w:hAnsi="PT Astra Serif"/>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на сумму около 2 </w:t>
      </w:r>
      <w:r>
        <w:rPr>
          <w:rFonts w:ascii="PT Astra Serif" w:hAnsi="PT Astra Serif"/>
          <w:b/>
          <w:sz w:val="24"/>
          <w:szCs w:val="24"/>
        </w:rPr>
        <w:t xml:space="preserve">млрд</w:t>
      </w:r>
      <w:r>
        <w:rPr>
          <w:rFonts w:ascii="PT Astra Serif" w:hAnsi="PT Astra Serif"/>
          <w:b/>
          <w:sz w:val="24"/>
          <w:szCs w:val="24"/>
        </w:rPr>
        <w:t xml:space="preserve"> </w:t>
      </w:r>
      <w:r>
        <w:rPr>
          <w:rFonts w:ascii="PT Astra Serif" w:hAnsi="PT Astra Serif"/>
          <w:b/>
          <w:sz w:val="24"/>
          <w:szCs w:val="24"/>
        </w:rPr>
        <w:t xml:space="preserve">рублей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участниками инновационного территориального </w:t>
      </w:r>
      <w:r>
        <w:rPr>
          <w:rFonts w:ascii="PT Astra Serif" w:hAnsi="PT Astra Serif"/>
          <w:b/>
          <w:sz w:val="24"/>
          <w:szCs w:val="24"/>
        </w:rPr>
        <w:t xml:space="preserve">кластера «Smart Technologies Tomsk»</w:t>
      </w:r>
      <w:r>
        <w:rPr>
          <w:rFonts w:ascii="PT Astra Serif" w:hAnsi="PT Astra Serif"/>
          <w:sz w:val="24"/>
          <w:szCs w:val="24"/>
        </w:rPr>
        <w:t xml:space="preserve"> (далее </w:t>
      </w:r>
      <w:r>
        <w:rPr>
          <w:rFonts w:ascii="PT Astra Serif" w:hAnsi="PT Astra Serif" w:cstheme="minorBidi"/>
          <w:sz w:val="24"/>
          <w:szCs w:val="24"/>
        </w:rPr>
        <w:t xml:space="preserve">–</w:t>
      </w:r>
      <w:r>
        <w:rPr>
          <w:rFonts w:ascii="PT Astra Serif" w:hAnsi="PT Astra Serif"/>
          <w:sz w:val="24"/>
          <w:szCs w:val="24"/>
        </w:rPr>
        <w:t xml:space="preserve"> Кластер) являются 229 компаний. В Кластер входят все томские университеты, </w:t>
      </w:r>
      <w:r>
        <w:rPr>
          <w:rFonts w:ascii="PT Astra Serif" w:hAnsi="PT Astra Serif"/>
          <w:sz w:val="24"/>
          <w:szCs w:val="24"/>
        </w:rPr>
        <w:t xml:space="preserve">ТНИМЦ РАН</w:t>
      </w:r>
      <w:r>
        <w:rPr>
          <w:rFonts w:ascii="PT Astra Serif" w:hAnsi="PT Astra Serif"/>
          <w:sz w:val="24"/>
          <w:szCs w:val="24"/>
        </w:rPr>
        <w:t xml:space="preserve">, </w:t>
      </w:r>
      <w:r>
        <w:rPr>
          <w:rFonts w:ascii="PT Astra Serif" w:hAnsi="PT Astra Serif"/>
          <w:sz w:val="24"/>
          <w:szCs w:val="24"/>
        </w:rPr>
        <w:t xml:space="preserve">ИФПМ СО РАН</w:t>
      </w:r>
      <w:r>
        <w:rPr>
          <w:rFonts w:ascii="PT Astra Serif" w:hAnsi="PT Astra Serif"/>
          <w:sz w:val="24"/>
          <w:szCs w:val="24"/>
        </w:rPr>
        <w:t xml:space="preserve">, Институт мониторинга климатических и эколог</w:t>
      </w:r>
      <w:r>
        <w:rPr>
          <w:rFonts w:ascii="PT Astra Serif" w:hAnsi="PT Astra Serif"/>
          <w:sz w:val="24"/>
          <w:szCs w:val="24"/>
        </w:rPr>
        <w:t xml:space="preserve">ических систем Сибирского отделения Российской академии наук, крупные представители фармацевтической промышленности, инновационные высокотехнологичные компании, работающие в сфере медицинской техники, биомедицинских технологий и информационных технологий.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основе Кластера лежит работа проектных альянсов («Медицина. </w:t>
      </w:r>
      <w:r>
        <w:rPr>
          <w:rFonts w:ascii="PT Astra Serif" w:hAnsi="PT Astra Serif"/>
          <w:sz w:val="24"/>
          <w:szCs w:val="24"/>
        </w:rPr>
        <w:t xml:space="preserve">Фармацевтика», «Техническое зрение», «Арктика», «Робототехника»), созданных по нескольким направлениям с ориентацией на новые перспективные рынки на базе высокотехнологичных решений, которые будут определять развитие мировой и российской экономики через 15</w:t>
      </w:r>
      <w:r>
        <w:rPr>
          <w:rFonts w:ascii="PT Astra Serif" w:hAnsi="PT Astra Serif" w:cstheme="minorBidi"/>
          <w:sz w:val="24"/>
          <w:szCs w:val="24"/>
        </w:rPr>
        <w:t xml:space="preserve">–</w:t>
      </w:r>
      <w:r>
        <w:rPr>
          <w:rFonts w:ascii="PT Astra Serif" w:hAnsi="PT Astra Serif"/>
          <w:sz w:val="24"/>
          <w:szCs w:val="24"/>
        </w:rPr>
        <w:t xml:space="preserve">20 лет.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За 2023 год Центром инжиниринга и инноваций Томской области в рамках оказания участн</w:t>
      </w:r>
      <w:r>
        <w:rPr>
          <w:rFonts w:ascii="PT Astra Serif" w:hAnsi="PT Astra Serif"/>
          <w:sz w:val="24"/>
          <w:szCs w:val="24"/>
        </w:rPr>
        <w:t xml:space="preserve">икам Кластера комплекса инженерно-консультационных услуг по подготовке процесса производства и реализации продукции (товаров, работ, услуг) предоставлено 17 услуг для 11 организаций-участников Кластера, создано и модернизировано 6 инновационных продуктов.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Продолжается эффективная работа Центра инжиниринга и инноваций Томской области в качестве регионального оператора </w:t>
      </w:r>
      <w:r>
        <w:rPr>
          <w:rFonts w:ascii="PT Astra Serif" w:hAnsi="PT Astra Serif"/>
          <w:b/>
          <w:sz w:val="24"/>
          <w:szCs w:val="24"/>
        </w:rPr>
        <w:t xml:space="preserve">Фонда «Сколково»</w:t>
      </w:r>
      <w:r>
        <w:rPr>
          <w:rFonts w:ascii="PT Astra Serif" w:hAnsi="PT Astra Serif"/>
          <w:sz w:val="24"/>
          <w:szCs w:val="24"/>
        </w:rPr>
        <w:t xml:space="preserve">. 41 томская компания (+5 компаний в 2023 году) имеют статус резидента Фонда «Сколково». В 2023 году, помимо налоговых льгот и сервисов Фонда «Сколково», резиденты привлекли инвестиции в</w:t>
      </w:r>
      <w:r>
        <w:rPr>
          <w:rFonts w:ascii="PT Astra Serif" w:hAnsi="PT Astra Serif"/>
          <w:sz w:val="24"/>
          <w:szCs w:val="24"/>
        </w:rPr>
        <w:t xml:space="preserve"> форме микрогрантов около 6 млн</w:t>
      </w:r>
      <w:r>
        <w:rPr>
          <w:rFonts w:ascii="PT Astra Serif" w:hAnsi="PT Astra Serif"/>
          <w:sz w:val="24"/>
          <w:szCs w:val="24"/>
        </w:rPr>
        <w:t xml:space="preserve"> рублей на проведение испытаний, создание прототипов, приобретение комплектующих, патентование.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Томская область продолжает устойчивое развитие компетенций в области </w:t>
      </w:r>
      <w:r>
        <w:rPr>
          <w:rFonts w:ascii="PT Astra Serif" w:hAnsi="PT Astra Serif"/>
          <w:b/>
          <w:sz w:val="24"/>
          <w:szCs w:val="24"/>
        </w:rPr>
        <w:t xml:space="preserve">информационных технологий,</w:t>
      </w:r>
      <w:r>
        <w:rPr>
          <w:rFonts w:ascii="PT Astra Serif" w:hAnsi="PT Astra Serif"/>
          <w:sz w:val="24"/>
          <w:szCs w:val="24"/>
        </w:rPr>
        <w:t xml:space="preserve"> в этой сфере насчитывается более 600 действующих компаний.</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jc w:val="center"/>
        <w:spacing w:after="0" w:line="240" w:lineRule="auto"/>
        <w:rPr>
          <w:rFonts w:ascii="PT Astra Serif" w:hAnsi="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По результатам рейтинга Руссофт в 2023 году Томская область входит в ТОП-20 регионов России (19</w:t>
      </w:r>
      <w:r>
        <w:rPr>
          <w:rFonts w:ascii="PT Astra Serif" w:hAnsi="PT Astra Serif"/>
          <w:b/>
          <w:sz w:val="24"/>
          <w:szCs w:val="24"/>
        </w:rPr>
        <w:t xml:space="preserve">-е</w:t>
      </w:r>
      <w:r>
        <w:rPr>
          <w:rFonts w:ascii="PT Astra Serif" w:hAnsi="PT Astra Serif"/>
          <w:b/>
          <w:sz w:val="24"/>
          <w:szCs w:val="24"/>
        </w:rPr>
        <w:t xml:space="preserve"> место в России и 2</w:t>
      </w:r>
      <w:r>
        <w:rPr>
          <w:rFonts w:ascii="PT Astra Serif" w:hAnsi="PT Astra Serif"/>
          <w:b/>
          <w:sz w:val="24"/>
          <w:szCs w:val="24"/>
        </w:rPr>
        <w:t xml:space="preserve">-е</w:t>
      </w:r>
      <w:r>
        <w:rPr>
          <w:rFonts w:ascii="PT Astra Serif" w:hAnsi="PT Astra Serif"/>
          <w:b/>
          <w:sz w:val="24"/>
          <w:szCs w:val="24"/>
        </w:rPr>
        <w:t xml:space="preserve"> место в Сибири) </w:t>
      </w:r>
      <w:r>
        <w:rPr>
          <w:rFonts w:ascii="PT Astra Serif" w:hAnsi="PT Astra Serif"/>
          <w:b/>
          <w:sz w:val="24"/>
          <w:szCs w:val="24"/>
        </w:rPr>
      </w:r>
      <w:r>
        <w:rPr>
          <w:rFonts w:ascii="PT Astra Serif" w:hAnsi="PT Astra Serif"/>
          <w:b/>
          <w:sz w:val="24"/>
          <w:szCs w:val="24"/>
        </w:rPr>
      </w:r>
    </w:p>
    <w:p>
      <w:pPr>
        <w:contextualSpacing/>
        <w:jc w:val="center"/>
        <w:spacing w:after="0" w:line="240" w:lineRule="auto"/>
        <w:rPr>
          <w:rFonts w:ascii="PT Astra Serif" w:hAnsi="PT Astra Serif"/>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по уровню развития индустрии разработки программного обеспечения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trike/>
          <w:sz w:val="24"/>
          <w:szCs w:val="24"/>
        </w:rPr>
      </w:pPr>
      <w:r>
        <w:rPr>
          <w:rFonts w:ascii="PT Astra Serif" w:hAnsi="PT Astra Serif"/>
          <w:strike/>
          <w:sz w:val="24"/>
          <w:szCs w:val="24"/>
        </w:rPr>
      </w:r>
      <w:r>
        <w:rPr>
          <w:rFonts w:ascii="PT Astra Serif" w:hAnsi="PT Astra Serif"/>
          <w:strike/>
          <w:sz w:val="24"/>
          <w:szCs w:val="24"/>
        </w:rPr>
      </w:r>
      <w:r>
        <w:rPr>
          <w:rFonts w:ascii="PT Astra Serif" w:hAnsi="PT Astra Serif"/>
          <w:strike/>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Томская область входит в ТОП-10 регионов России по уровню подготовки ИТ-специалистов.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Томской области в рамках регионального проекта «Цифровые технологии» за счет средств федерального бюджета проводятся мероприятия, направленные на содействие реали</w:t>
      </w:r>
      <w:r>
        <w:rPr>
          <w:rFonts w:ascii="PT Astra Serif" w:hAnsi="PT Astra Serif"/>
          <w:sz w:val="24"/>
          <w:szCs w:val="24"/>
        </w:rPr>
        <w:t xml:space="preserve">зации компаниями проектов разработки и внедрения цифровых технологий в отраслях экономики и социальной сферы. В 2023 году проведены информационные кампании о федеральных мерах поддержки для томских компаний в целях развития и внедрения цифровых технологий.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Продолжают развиваться региональные сервисы «Цифровой плат</w:t>
      </w:r>
      <w:r>
        <w:rPr>
          <w:rFonts w:ascii="PT Astra Serif" w:hAnsi="PT Astra Serif"/>
          <w:sz w:val="24"/>
          <w:szCs w:val="24"/>
        </w:rPr>
        <w:t xml:space="preserve">формы развития Томской области»</w:t>
      </w:r>
      <w:r>
        <w:rPr>
          <w:rFonts w:ascii="PT Astra Serif" w:hAnsi="PT Astra Serif"/>
          <w:sz w:val="24"/>
          <w:szCs w:val="24"/>
        </w:rPr>
        <w:t xml:space="preserve"> с ориентацией на потребности жителей региона и компании. В 2023 году проведена активная работа по продвижению сервиса «Экспортный каталог «Сделано в Томске». Количество уникальных пользователей из числа целевой ау</w:t>
      </w:r>
      <w:r>
        <w:rPr>
          <w:rFonts w:ascii="PT Astra Serif" w:hAnsi="PT Astra Serif"/>
          <w:sz w:val="24"/>
          <w:szCs w:val="24"/>
        </w:rPr>
        <w:t xml:space="preserve">дитории составило 14,1 тыс. человек</w:t>
      </w:r>
      <w:r>
        <w:rPr>
          <w:rFonts w:ascii="PT Astra Serif" w:hAnsi="PT Astra Serif"/>
          <w:sz w:val="24"/>
          <w:szCs w:val="24"/>
        </w:rPr>
        <w:t xml:space="preserve">, количество просмотров </w:t>
      </w:r>
      <w:r>
        <w:rPr>
          <w:rFonts w:ascii="PT Astra Serif" w:hAnsi="PT Astra Serif" w:cstheme="minorBidi"/>
          <w:sz w:val="24"/>
          <w:szCs w:val="24"/>
        </w:rPr>
        <w:t xml:space="preserve">–</w:t>
      </w:r>
      <w:r>
        <w:rPr>
          <w:rFonts w:ascii="PT Astra Serif" w:hAnsi="PT Astra Serif"/>
          <w:sz w:val="24"/>
          <w:szCs w:val="24"/>
        </w:rPr>
        <w:t xml:space="preserve"> 39 689. По состоянию на 31.12.2023 в каталоге размещены карточки 146 компаний и 795 карточек продуктов.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Значительную роль в развитии ИТ-сферы играет комплексная поддержка со стороны региональной инновационной инфраструктуры. В целях соде</w:t>
      </w:r>
      <w:r>
        <w:rPr>
          <w:rFonts w:ascii="PT Astra Serif" w:hAnsi="PT Astra Serif"/>
          <w:sz w:val="24"/>
          <w:szCs w:val="24"/>
        </w:rPr>
        <w:t xml:space="preserve">йствия развитию ИТ-сообщества в Томской области в 2023 году были проведены: конференция для разработчиков «Dev PRO» и конференция «Город IT», в которых приняли участие более 1 500 студентов, сотрудников IT-компаний, представителей бизнеса и органов власти.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Помимо этого, ежегодно томские инновационные разработки отмечаются на всероссийском и международном уровне</w:t>
      </w:r>
      <w:r>
        <w:rPr>
          <w:rFonts w:ascii="PT Astra Serif" w:hAnsi="PT Astra Serif"/>
          <w:sz w:val="24"/>
          <w:szCs w:val="24"/>
        </w:rPr>
        <w:t xml:space="preserve">,</w:t>
      </w:r>
      <w:r>
        <w:rPr>
          <w:rFonts w:ascii="PT Astra Serif" w:hAnsi="PT Astra Serif"/>
          <w:sz w:val="24"/>
          <w:szCs w:val="24"/>
        </w:rPr>
        <w:t xml:space="preserve"> в 2023 году:</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ИТ-компания «САПЛ-БИЗ» стала победителем национальной премии в области предпринимательской деятельности «Золотой Меркурий»;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инновационная компания «ЛЭМЗ-Т» отмечена наградой на выставке электронной продукции российского производства «Электроника России» как лучшая компания, выпускающая изделия на базе алгоритмов искусственного интеллекта, а е</w:t>
      </w:r>
      <w:r>
        <w:rPr>
          <w:rFonts w:ascii="PT Astra Serif" w:hAnsi="PT Astra Serif"/>
          <w:sz w:val="24"/>
          <w:szCs w:val="24"/>
        </w:rPr>
        <w:t xml:space="preserve">е</w:t>
      </w:r>
      <w:r>
        <w:rPr>
          <w:rFonts w:ascii="PT Astra Serif" w:hAnsi="PT Astra Serif"/>
          <w:sz w:val="24"/>
          <w:szCs w:val="24"/>
        </w:rPr>
        <w:t xml:space="preserve"> продукция рекомендована к использованию в интересах обеспечения обороны ст</w:t>
      </w:r>
      <w:r>
        <w:rPr>
          <w:rFonts w:ascii="PT Astra Serif" w:hAnsi="PT Astra Serif"/>
          <w:sz w:val="24"/>
          <w:szCs w:val="24"/>
        </w:rPr>
        <w:t xml:space="preserve">раны и безопасности государства;</w:t>
      </w:r>
      <w:r>
        <w:rPr>
          <w:rFonts w:ascii="PT Astra Serif" w:hAnsi="PT Astra Serif"/>
          <w:sz w:val="24"/>
          <w:szCs w:val="24"/>
        </w:rPr>
        <w:t xml:space="preserve">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ООО «Эко-фабрика «Сибирский кедр» стала победителем конкурса брендов на форуме «Сильные идеи для нового времени», а также лауреатом премии в области международной кооперации и экспорта «Экспортер года-2023»</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Компания «Территория тайги» победила в партнерской номинации от Сбербанка России в рамках форума «Сильные идеи для нового времени» и получила грант в размере 1 млн рублей на развитие бизнеса.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в регионе также запущен ряд проектов и </w:t>
      </w:r>
      <w:r>
        <w:rPr>
          <w:rFonts w:ascii="PT Astra Serif" w:hAnsi="PT Astra Serif"/>
          <w:b/>
          <w:sz w:val="24"/>
          <w:szCs w:val="24"/>
        </w:rPr>
        <w:t xml:space="preserve">новых производств</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внедрена в работу филиалов ОАО «РЖД» томская инновационная установка, предназначенная для съема/посадки железнодорожного колесного бандажа без применения прессового усилия для ремонта колесных пар тепловозов, электровозов (ООО «НПК «ТомИндуктор»);</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разработана уникальная технология системы навигации для проведения складской инвентаризации дроном внутри помещения, не требующая спутниковой связи и остановки рабочего процесса (ООО «НТР Томск»);</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разработан комплекс лечебно-диагностический «ЭЛКАРТ-М», предназначенный для проведения электрофизиологических исследований сердца диагностической и лечебной эндокардиальной стимуляции сердца (ООО «Лорге медикал»);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разработана первая в России онлайн-платформа адаптивного обучения для вузов на технологиях искусственного интеллекта (ООО «Энбисис»);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разработана аккумуляторная батарея, которая в составе трех первых низкоорбитальных спутников «Рассвет-1» отправилась на орбиту (ООО НПО «Свободная энергия»</w:t>
      </w:r>
      <w:r>
        <w:rPr>
          <w:rFonts w:ascii="PT Astra Serif" w:hAnsi="PT Astra Serif"/>
          <w:sz w:val="24"/>
          <w:szCs w:val="24"/>
        </w:rPr>
        <w:t xml:space="preserve">)</w:t>
      </w:r>
      <w:r>
        <w:rPr>
          <w:rFonts w:ascii="PT Astra Serif" w:hAnsi="PT Astra Serif"/>
          <w:sz w:val="24"/>
          <w:szCs w:val="24"/>
        </w:rPr>
        <w:t xml:space="preserve"> и др.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Основой для формирования региональной технологической повестки Томской области является Национальная Технологическая Инициатива (НТИ). В регионе функционируют «цен</w:t>
      </w:r>
      <w:r>
        <w:rPr>
          <w:rFonts w:ascii="PT Astra Serif" w:hAnsi="PT Astra Serif"/>
          <w:sz w:val="24"/>
          <w:szCs w:val="24"/>
        </w:rPr>
        <w:t xml:space="preserve">тры силы» НТИ: городская и 2 вуз</w:t>
      </w:r>
      <w:r>
        <w:rPr>
          <w:rFonts w:ascii="PT Astra Serif" w:hAnsi="PT Astra Serif"/>
          <w:sz w:val="24"/>
          <w:szCs w:val="24"/>
        </w:rPr>
        <w:t xml:space="preserve">овские «точки кипения»,</w:t>
      </w:r>
      <w:r>
        <w:rPr>
          <w:rFonts w:ascii="PT Astra Serif" w:hAnsi="PT Astra Serif"/>
          <w:sz w:val="24"/>
          <w:szCs w:val="24"/>
        </w:rPr>
        <w:t xml:space="preserve"> 5 центров компетенций НТИ в вуз</w:t>
      </w:r>
      <w:r>
        <w:rPr>
          <w:rFonts w:ascii="PT Astra Serif" w:hAnsi="PT Astra Serif"/>
          <w:sz w:val="24"/>
          <w:szCs w:val="24"/>
        </w:rPr>
        <w:t xml:space="preserve">ах. В 2023 году на площадке коворкинг-пространства «Точка кипения» проведено более 600 мероприятий. В целях реализации НТИ в Томской области в 2023 году проведены следующие значимые мероприятия: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ежегодная региональная конференция «Маркетинг 2035», нацеленная </w:t>
      </w:r>
      <w:r>
        <w:rPr>
          <w:rFonts w:ascii="PT Astra Serif" w:hAnsi="PT Astra Serif"/>
          <w:sz w:val="24"/>
          <w:szCs w:val="24"/>
        </w:rPr>
        <w:t xml:space="preserve">на рассмотрение ключевых маркетинговых инструментов и приемов, необходимых для решения задачи выхода региональных инновационных продуктов на рынок с учетом тенденций развития до 2035 года. Число участников составило более 50 томских инновационных компаний;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конференция «Высокотехнологическое здравоохранение», в р</w:t>
      </w:r>
      <w:r>
        <w:rPr>
          <w:rFonts w:ascii="PT Astra Serif" w:hAnsi="PT Astra Serif"/>
          <w:sz w:val="24"/>
          <w:szCs w:val="24"/>
        </w:rPr>
        <w:t xml:space="preserve">амках которой участникам представлены новейшие разработки для улучшения качества, эффективности и доступности медицинских услуг с применением искусственного интеллекта в медицине и здравоохранении. Приняли участие более 20 томских технологических компаний;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конференция «ИИ в управлении персоналом», на которой обсуждалось применение искусственного интеллекта в управлении, который позволил получить существенную экономию человеческого ресурса. Приняли участие представители 28 компаний.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Продолжает эффективную работу программа вовлечения молодежи в инновационную деятельность TomskHUB </w:t>
      </w:r>
      <w:r>
        <w:rPr>
          <w:rFonts w:ascii="PT Astra Serif" w:hAnsi="PT Astra Serif" w:cstheme="minorBidi"/>
          <w:sz w:val="24"/>
          <w:szCs w:val="24"/>
        </w:rPr>
        <w:t xml:space="preserve">–</w:t>
      </w:r>
      <w:r>
        <w:rPr>
          <w:rFonts w:ascii="PT Astra Serif" w:hAnsi="PT Astra Serif"/>
          <w:sz w:val="24"/>
          <w:szCs w:val="24"/>
        </w:rPr>
        <w:t xml:space="preserve"> единый центр доступа молодежи к образовательным программам, реализуемым менторами из бизнес-сообщества, региональной акселерационной программе и программам федеральных институтов развития.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За 7 лет реализации проекта проведено более 70 мероприятий различных форматов при поддержке 200 спикеров, экспертов, трекеров. В мероприятиях приняли участие более 3 500 студентов, молодых ученых и начинающих предпринимателей.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Проведено 5 региональных акселерационных программ, </w:t>
      </w:r>
      <w:r>
        <w:rPr>
          <w:rFonts w:ascii="PT Astra Serif" w:hAnsi="PT Astra Serif"/>
          <w:sz w:val="24"/>
          <w:szCs w:val="24"/>
        </w:rPr>
        <w:t xml:space="preserve">в которых приняли участие 170 технологических проектов, из них 70 проектов функционируют и продолжают активно развиваться на сегодняшний день, 32 проекта получили инвестиции, свыше 30 проектов зарегистрировали свой бизнес и являются получателями поддержки.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Ярким событием является проведение на территории Томской области Открытого Российского чемпионата по робототехнике «РобоКап Россия», участниками которого в 2023 году стали 400 человек из 160 команд различных регионов страны, а также из Беларуси.</w:t>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sz w:val="24"/>
        </w:rPr>
      </w:pPr>
      <w:r>
        <w:rPr>
          <w:rFonts w:ascii="PT Astra Serif" w:hAnsi="PT Astra Serif"/>
          <w:bCs/>
          <w:sz w:val="24"/>
          <w:szCs w:val="24"/>
        </w:rPr>
        <w:t xml:space="preserve">Томская область включилась в реализацию нового национального проекта «Беспилотные авиационные системы»</w:t>
      </w:r>
      <w:r>
        <w:rPr>
          <w:rFonts w:ascii="PT Astra Serif" w:hAnsi="PT Astra Serif"/>
          <w:bCs/>
          <w:sz w:val="24"/>
          <w:szCs w:val="24"/>
        </w:rPr>
        <w:t xml:space="preserve"> (далее </w:t>
      </w:r>
      <w:r>
        <w:rPr>
          <w:rFonts w:ascii="PT Astra Serif" w:hAnsi="PT Astra Serif"/>
          <w:bCs/>
          <w:sz w:val="24"/>
          <w:szCs w:val="24"/>
        </w:rPr>
        <w:t xml:space="preserve">–</w:t>
      </w:r>
      <w:r>
        <w:rPr>
          <w:rFonts w:ascii="PT Astra Serif" w:hAnsi="PT Astra Serif"/>
          <w:bCs/>
          <w:sz w:val="24"/>
          <w:szCs w:val="24"/>
        </w:rPr>
        <w:t xml:space="preserve"> БАС</w:t>
      </w:r>
      <w:r>
        <w:rPr>
          <w:rFonts w:ascii="PT Astra Serif" w:hAnsi="PT Astra Serif"/>
          <w:bCs/>
          <w:sz w:val="24"/>
          <w:szCs w:val="24"/>
        </w:rPr>
        <w:t xml:space="preserve">)</w:t>
      </w:r>
      <w:r>
        <w:rPr>
          <w:rFonts w:ascii="PT Astra Serif" w:hAnsi="PT Astra Serif"/>
          <w:sz w:val="24"/>
          <w:szCs w:val="24"/>
        </w:rPr>
        <w:t xml:space="preserve">. К</w:t>
      </w:r>
      <w:r>
        <w:rPr>
          <w:rFonts w:ascii="PT Astra Serif" w:hAnsi="PT Astra Serif"/>
          <w:sz w:val="24"/>
        </w:rPr>
        <w:t xml:space="preserve">лючевыми для региона являются </w:t>
      </w:r>
      <w:r>
        <w:rPr>
          <w:rFonts w:ascii="PT Astra Serif" w:hAnsi="PT Astra Serif"/>
          <w:sz w:val="24"/>
        </w:rPr>
        <w:t xml:space="preserve">три</w:t>
      </w:r>
      <w:r>
        <w:rPr>
          <w:rFonts w:ascii="PT Astra Serif" w:hAnsi="PT Astra Serif"/>
          <w:sz w:val="24"/>
        </w:rPr>
        <w:t xml:space="preserve"> федеральных проекта, реализация которых потребует значительного участия областного бюджета и исполнительных органов Томской области:</w:t>
      </w:r>
      <w:r>
        <w:rPr>
          <w:rFonts w:ascii="PT Astra Serif" w:hAnsi="PT Astra Serif"/>
          <w:sz w:val="24"/>
        </w:rPr>
      </w:r>
      <w:r>
        <w:rPr>
          <w:rFonts w:ascii="PT Astra Serif" w:hAnsi="PT Astra Serif"/>
          <w:sz w:val="24"/>
        </w:rPr>
      </w:r>
    </w:p>
    <w:p>
      <w:pPr>
        <w:pStyle w:val="1170"/>
        <w:contextualSpacing/>
        <w:ind w:firstLine="708"/>
        <w:rPr>
          <w:rFonts w:ascii="PT Astra Serif" w:hAnsi="PT Astra Serif" w:eastAsiaTheme="minorHAnsi"/>
          <w:sz w:val="24"/>
          <w:lang w:eastAsia="en-US"/>
        </w:rPr>
      </w:pPr>
      <w:r>
        <w:rPr>
          <w:rFonts w:ascii="PT Astra Serif" w:hAnsi="PT Astra Serif" w:eastAsiaTheme="minorHAnsi"/>
          <w:sz w:val="24"/>
          <w:lang w:eastAsia="en-US"/>
        </w:rPr>
        <w:t xml:space="preserve">1. Федеральный проект «Развитие инфраструктуры, обеспечение безопасности и формирование специализированной системы сертификации БАС». В 2024 году запланировано строительство двух посадочных площадок для БАС. Места размещения площадок определены – с.</w:t>
      </w:r>
      <w:r>
        <w:rPr>
          <w:rFonts w:ascii="PT Astra Serif" w:hAnsi="PT Astra Serif" w:eastAsiaTheme="minorHAnsi"/>
          <w:sz w:val="24"/>
          <w:lang w:eastAsia="en-US"/>
        </w:rPr>
        <w:t xml:space="preserve"> </w:t>
      </w:r>
      <w:r>
        <w:rPr>
          <w:rFonts w:ascii="PT Astra Serif" w:hAnsi="PT Astra Serif" w:eastAsiaTheme="minorHAnsi"/>
          <w:sz w:val="24"/>
          <w:lang w:eastAsia="en-US"/>
        </w:rPr>
        <w:t xml:space="preserve">Каргасок, г.</w:t>
      </w:r>
      <w:r>
        <w:rPr>
          <w:rFonts w:ascii="PT Astra Serif" w:hAnsi="PT Astra Serif" w:eastAsiaTheme="minorHAnsi"/>
          <w:sz w:val="24"/>
          <w:lang w:eastAsia="en-US"/>
        </w:rPr>
        <w:t xml:space="preserve"> </w:t>
      </w:r>
      <w:r>
        <w:rPr>
          <w:rFonts w:ascii="PT Astra Serif" w:hAnsi="PT Astra Serif" w:eastAsiaTheme="minorHAnsi"/>
          <w:sz w:val="24"/>
          <w:lang w:eastAsia="en-US"/>
        </w:rPr>
        <w:t xml:space="preserve">Кедровый. </w:t>
      </w:r>
      <w:r>
        <w:rPr>
          <w:rFonts w:ascii="PT Astra Serif" w:hAnsi="PT Astra Serif" w:eastAsiaTheme="minorHAnsi"/>
          <w:sz w:val="24"/>
          <w:lang w:eastAsia="en-US"/>
        </w:rPr>
      </w:r>
      <w:r>
        <w:rPr>
          <w:rFonts w:ascii="PT Astra Serif" w:hAnsi="PT Astra Serif" w:eastAsiaTheme="minorHAnsi"/>
          <w:sz w:val="24"/>
          <w:lang w:eastAsia="en-US"/>
        </w:rPr>
      </w:r>
    </w:p>
    <w:p>
      <w:pPr>
        <w:pStyle w:val="1170"/>
        <w:contextualSpacing/>
        <w:ind w:firstLine="650"/>
        <w:rPr>
          <w:rFonts w:ascii="PT Astra Serif" w:hAnsi="PT Astra Serif" w:eastAsiaTheme="minorHAnsi"/>
          <w:sz w:val="24"/>
          <w:lang w:eastAsia="en-US"/>
        </w:rPr>
      </w:pPr>
      <w:r>
        <w:rPr>
          <w:rFonts w:ascii="PT Astra Serif" w:hAnsi="PT Astra Serif" w:eastAsiaTheme="minorHAnsi"/>
          <w:sz w:val="24"/>
          <w:lang w:eastAsia="en-US"/>
        </w:rPr>
        <w:t xml:space="preserve">2. Федеральный проект «Разработка, стандартизация и серийное производство БАС и комплектующих». В 2024 году запланировано по результатам конкурсного отбора создание научно-производственного центра БАС в Томской области.</w:t>
      </w:r>
      <w:r>
        <w:rPr>
          <w:rFonts w:ascii="PT Astra Serif" w:hAnsi="PT Astra Serif" w:eastAsiaTheme="minorHAnsi"/>
          <w:sz w:val="24"/>
          <w:lang w:eastAsia="en-US"/>
        </w:rPr>
      </w:r>
      <w:r>
        <w:rPr>
          <w:rFonts w:ascii="PT Astra Serif" w:hAnsi="PT Astra Serif" w:eastAsiaTheme="minorHAnsi"/>
          <w:sz w:val="24"/>
          <w:lang w:eastAsia="en-US"/>
        </w:rPr>
      </w:r>
    </w:p>
    <w:p>
      <w:pPr>
        <w:pStyle w:val="1170"/>
        <w:contextualSpacing/>
        <w:ind w:firstLine="650"/>
        <w:rPr>
          <w:rFonts w:ascii="PT Astra Serif" w:hAnsi="PT Astra Serif" w:eastAsiaTheme="minorHAnsi"/>
          <w:sz w:val="24"/>
          <w:lang w:eastAsia="en-US"/>
        </w:rPr>
      </w:pPr>
      <w:r>
        <w:rPr>
          <w:rFonts w:ascii="PT Astra Serif" w:hAnsi="PT Astra Serif" w:eastAsiaTheme="minorHAnsi"/>
          <w:sz w:val="24"/>
          <w:lang w:eastAsia="en-US"/>
        </w:rPr>
        <w:t xml:space="preserve">3. Федеральный проект «Стимулирование спроса на отечественные БАС». В 2024 году запланировано создание 1 центра практической подготовки на базе аграрного колледжа и 19 специализированных классов (кружков) на базе школ.</w:t>
      </w:r>
      <w:r>
        <w:rPr>
          <w:rFonts w:ascii="PT Astra Serif" w:hAnsi="PT Astra Serif" w:eastAsiaTheme="minorHAnsi"/>
          <w:sz w:val="24"/>
          <w:lang w:eastAsia="en-US"/>
        </w:rPr>
      </w:r>
      <w:r>
        <w:rPr>
          <w:rFonts w:ascii="PT Astra Serif" w:hAnsi="PT Astra Serif" w:eastAsiaTheme="minorHAnsi"/>
          <w:sz w:val="24"/>
          <w:lang w:eastAsia="en-US"/>
        </w:rPr>
      </w:r>
    </w:p>
    <w:p>
      <w:pPr>
        <w:pStyle w:val="1170"/>
        <w:contextualSpacing/>
        <w:ind w:firstLine="650"/>
        <w:rPr>
          <w:rFonts w:ascii="PT Astra Serif" w:hAnsi="PT Astra Serif" w:eastAsiaTheme="minorHAnsi"/>
          <w:sz w:val="24"/>
          <w:lang w:eastAsia="en-US"/>
        </w:rPr>
      </w:pPr>
      <w:r>
        <w:rPr>
          <w:rFonts w:ascii="PT Astra Serif" w:hAnsi="PT Astra Serif" w:eastAsiaTheme="minorHAnsi"/>
          <w:sz w:val="24"/>
          <w:lang w:eastAsia="en-US"/>
        </w:rPr>
        <w:t xml:space="preserve">На 2024 год предусмотрено в бюджете Томской области софинансирование на реализацию указанных мероприятий из областного бюджета в размере 395,3 </w:t>
      </w:r>
      <w:r>
        <w:rPr>
          <w:rFonts w:ascii="PT Astra Serif" w:hAnsi="PT Astra Serif" w:eastAsiaTheme="minorHAnsi"/>
          <w:sz w:val="24"/>
          <w:lang w:eastAsia="en-US"/>
        </w:rPr>
        <w:t xml:space="preserve">млн</w:t>
      </w:r>
      <w:r>
        <w:rPr>
          <w:rFonts w:ascii="PT Astra Serif" w:hAnsi="PT Astra Serif" w:eastAsiaTheme="minorHAnsi"/>
          <w:sz w:val="24"/>
          <w:lang w:eastAsia="en-US"/>
        </w:rPr>
        <w:t xml:space="preserve"> руб</w:t>
      </w:r>
      <w:r>
        <w:rPr>
          <w:rFonts w:ascii="PT Astra Serif" w:hAnsi="PT Astra Serif" w:eastAsiaTheme="minorHAnsi"/>
          <w:sz w:val="24"/>
          <w:lang w:eastAsia="en-US"/>
        </w:rPr>
        <w:t xml:space="preserve">лей</w:t>
      </w:r>
      <w:r>
        <w:rPr>
          <w:rFonts w:ascii="PT Astra Serif" w:hAnsi="PT Astra Serif" w:eastAsiaTheme="minorHAnsi"/>
          <w:sz w:val="24"/>
          <w:lang w:eastAsia="en-US"/>
        </w:rPr>
        <w:t xml:space="preserve"> Общий бюджет с учетом федеральных средств – 3,1 </w:t>
      </w:r>
      <w:r>
        <w:rPr>
          <w:rFonts w:ascii="PT Astra Serif" w:hAnsi="PT Astra Serif" w:eastAsiaTheme="minorHAnsi"/>
          <w:sz w:val="24"/>
          <w:lang w:eastAsia="en-US"/>
        </w:rPr>
        <w:t xml:space="preserve">млрд</w:t>
      </w:r>
      <w:r>
        <w:rPr>
          <w:rFonts w:ascii="PT Astra Serif" w:hAnsi="PT Astra Serif" w:eastAsiaTheme="minorHAnsi"/>
          <w:sz w:val="24"/>
          <w:lang w:eastAsia="en-US"/>
        </w:rPr>
        <w:t xml:space="preserve"> </w:t>
      </w:r>
      <w:r>
        <w:rPr>
          <w:rFonts w:ascii="PT Astra Serif" w:hAnsi="PT Astra Serif" w:eastAsiaTheme="minorHAnsi"/>
          <w:sz w:val="24"/>
          <w:lang w:eastAsia="en-US"/>
        </w:rPr>
        <w:t xml:space="preserve">рублей.</w:t>
      </w:r>
      <w:r>
        <w:rPr>
          <w:rFonts w:ascii="PT Astra Serif" w:hAnsi="PT Astra Serif" w:eastAsiaTheme="minorHAnsi"/>
          <w:sz w:val="24"/>
          <w:lang w:eastAsia="en-US"/>
        </w:rPr>
      </w:r>
      <w:r>
        <w:rPr>
          <w:rFonts w:ascii="PT Astra Serif" w:hAnsi="PT Astra Serif" w:eastAsiaTheme="minorHAnsi"/>
          <w:sz w:val="24"/>
          <w:lang w:eastAsia="en-US"/>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1. Создание благоприятных условий для развития томских технологических компаний, расширение их участия в мероприятиях федеральных институтов развития.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lang w:eastAsia="ru-RU"/>
        </w:rPr>
      </w:pPr>
      <w:r>
        <w:rPr>
          <w:rFonts w:ascii="PT Astra Serif" w:hAnsi="PT Astra Serif"/>
          <w:sz w:val="24"/>
          <w:szCs w:val="24"/>
        </w:rPr>
        <w:t xml:space="preserve">2. Повышение эффективности работы инновационной инфраструктуры региона.</w:t>
      </w:r>
      <w:r>
        <w:rPr>
          <w:rFonts w:ascii="PT Astra Serif" w:hAnsi="PT Astra Serif"/>
          <w:sz w:val="24"/>
          <w:szCs w:val="24"/>
          <w:lang w:eastAsia="ru-RU"/>
        </w:rPr>
        <w:t xml:space="preserve"> </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shd w:val="clear" w:color="auto" w:fill="eaf1dd" w:themeFill="accent3" w:themeFillTint="33"/>
        <w:tabs>
          <w:tab w:val="left" w:pos="4962" w:leader="none"/>
        </w:tabs>
        <w:rPr>
          <w:rFonts w:ascii="PT Astra Serif" w:hAnsi="PT Astra Serif" w:eastAsiaTheme="minorEastAsia"/>
          <w:b/>
          <w:sz w:val="24"/>
          <w:szCs w:val="24"/>
        </w:rPr>
      </w:pPr>
      <w:r>
        <w:rPr>
          <w:rFonts w:ascii="PT Astra Serif" w:hAnsi="PT Astra Serif" w:eastAsia="Times New Roman"/>
          <w:b/>
          <w:sz w:val="24"/>
          <w:szCs w:val="24"/>
          <w:shd w:val="clear" w:color="auto" w:fill="eaf1dd" w:themeFill="accent3" w:themeFillTint="33"/>
        </w:rPr>
        <w:t xml:space="preserve">Наука и исследования</w:t>
      </w:r>
      <w:r>
        <w:rPr>
          <w:rStyle w:val="1138"/>
          <w:rFonts w:ascii="PT Astra Serif" w:hAnsi="PT Astra Serif" w:eastAsiaTheme="minorEastAsia"/>
          <w:b/>
          <w:sz w:val="24"/>
          <w:szCs w:val="24"/>
        </w:rPr>
        <w:footnoteReference w:id="3"/>
      </w:r>
      <w:r>
        <w:rPr>
          <w:rFonts w:ascii="PT Astra Serif" w:hAnsi="PT Astra Serif" w:eastAsiaTheme="minorEastAsia"/>
          <w:b/>
          <w:sz w:val="24"/>
          <w:szCs w:val="24"/>
        </w:rPr>
      </w:r>
      <w:r>
        <w:rPr>
          <w:rFonts w:ascii="PT Astra Serif" w:hAnsi="PT Astra Serif" w:eastAsiaTheme="minorEastAsia"/>
          <w:b/>
          <w:sz w:val="24"/>
          <w:szCs w:val="24"/>
        </w:rPr>
      </w:r>
    </w:p>
    <w:p>
      <w:pPr>
        <w:pStyle w:val="1154"/>
        <w:ind w:firstLine="709"/>
        <w:jc w:val="both"/>
        <w:rPr>
          <w:rFonts w:ascii="PT Astra Serif" w:hAnsi="PT Astra Serif"/>
        </w:rPr>
      </w:pPr>
      <w:r>
        <w:rPr>
          <w:rFonts w:ascii="PT Astra Serif" w:hAnsi="PT Astra Serif"/>
        </w:rPr>
        <w:t xml:space="preserve">Томский научно-образовательный комплекс (ТНОК) – стратегически важный для региона и исторически является поставщиком наукоемких технологий, обеспечивая суверенитет в критически важных сферах производства.</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2023 году Томская область вошла в </w:t>
      </w:r>
      <w:r>
        <w:rPr>
          <w:rFonts w:ascii="PT Astra Serif" w:hAnsi="PT Astra Serif"/>
        </w:rPr>
        <w:t xml:space="preserve">десятку</w:t>
      </w:r>
      <w:r>
        <w:rPr>
          <w:rFonts w:ascii="PT Astra Serif" w:hAnsi="PT Astra Serif"/>
        </w:rPr>
        <w:t xml:space="preserve"> пилотных регионов по разработке комплексной региональной госпрограммы научно-технологического развития.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Основу ТНОК составляют 6 государс</w:t>
      </w:r>
      <w:r>
        <w:rPr>
          <w:rFonts w:ascii="PT Astra Serif" w:hAnsi="PT Astra Serif"/>
        </w:rPr>
        <w:t xml:space="preserve">твенных вузов, два из которых (ТГУ и ТПУ) имеют статус «национальный исследовательский университет», а СибГМУ является медицинским опорным университетом. Кроме того, в Томске осуществляли деятельность 3 филиала иногородних вузов и 1 негосударственный вуз.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состав ТНОК помимо вузов входят 13 научных организаций (5 академических институтов СО РАН, 3 филиала иногородних НИИ, Томский научный центр СО РАН, </w:t>
      </w:r>
      <w:r>
        <w:rPr>
          <w:rFonts w:ascii="PT Astra Serif" w:hAnsi="PT Astra Serif"/>
        </w:rPr>
        <w:t xml:space="preserve">ТНИМЦ РАН</w:t>
      </w:r>
      <w:r>
        <w:rPr>
          <w:rFonts w:ascii="PT Astra Serif" w:hAnsi="PT Astra Serif"/>
        </w:rPr>
        <w:t xml:space="preserve">, объединяющий 5 томских медицинских НИИ, 2 центра Федерального медико-биологического агентства и АНО «Институт микрохирургии). </w:t>
      </w:r>
      <w:r>
        <w:rPr>
          <w:rFonts w:ascii="PT Astra Serif" w:hAnsi="PT Astra Serif"/>
        </w:rPr>
        <w:t xml:space="preserve">ИОА СО РАН</w:t>
      </w:r>
      <w:r>
        <w:rPr>
          <w:rFonts w:ascii="PT Astra Serif" w:hAnsi="PT Astra Serif"/>
        </w:rPr>
        <w:t xml:space="preserve">, </w:t>
      </w:r>
      <w:r>
        <w:rPr>
          <w:rFonts w:ascii="PT Astra Serif" w:hAnsi="PT Astra Serif"/>
        </w:rPr>
        <w:t xml:space="preserve">ИФПМ СО РАН </w:t>
      </w:r>
      <w:r>
        <w:rPr>
          <w:rFonts w:ascii="PT Astra Serif" w:hAnsi="PT Astra Serif"/>
        </w:rPr>
        <w:t xml:space="preserve">и </w:t>
      </w:r>
      <w:r>
        <w:rPr>
          <w:rFonts w:ascii="PT Astra Serif" w:hAnsi="PT Astra Serif"/>
        </w:rPr>
        <w:t xml:space="preserve">ТНИМЦ РАН </w:t>
      </w:r>
      <w:r>
        <w:rPr>
          <w:rFonts w:ascii="PT Astra Serif" w:hAnsi="PT Astra Serif"/>
        </w:rPr>
        <w:t xml:space="preserve">являются лидерами отрасли (научного направления) в Российской Федерации и относятся к организациям I категории</w:t>
      </w:r>
      <w:r>
        <w:t xml:space="preserve"> </w:t>
      </w:r>
      <w:r>
        <w:rPr>
          <w:rFonts w:ascii="PT Astra Serif" w:hAnsi="PT Astra Serif"/>
        </w:rPr>
        <w:t xml:space="preserve">по выполнению исследовательских, опытно-конструкторских и технологических работ гражданского назначения.</w:t>
      </w:r>
      <w:r>
        <w:rPr>
          <w:rFonts w:ascii="PT Astra Serif" w:hAnsi="PT Astra Serif"/>
        </w:rPr>
      </w:r>
      <w:r>
        <w:rPr>
          <w:rFonts w:ascii="PT Astra Serif" w:hAnsi="PT Astra Serif"/>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jc w:val="center"/>
        <w:spacing w:after="0" w:line="240" w:lineRule="auto"/>
        <w:rPr>
          <w:rFonts w:ascii="PT Astra Serif" w:hAnsi="PT Astra Serif" w:eastAsia="Calibri"/>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Calibri"/>
          <w:b/>
          <w:sz w:val="24"/>
          <w:szCs w:val="24"/>
        </w:rPr>
        <w:t xml:space="preserve">Томская область занимает 1-е место</w:t>
      </w:r>
      <w:r>
        <w:rPr>
          <w:rFonts w:ascii="PT Astra Serif" w:hAnsi="PT Astra Serif" w:eastAsia="Calibri"/>
          <w:b/>
          <w:sz w:val="24"/>
          <w:szCs w:val="24"/>
        </w:rPr>
        <w:br/>
        <w:t xml:space="preserve">среди «Опорных научных регионов России» по числу публикаций</w:t>
      </w:r>
      <w:r>
        <w:rPr>
          <w:rFonts w:ascii="PT Astra Serif" w:hAnsi="PT Astra Serif" w:eastAsia="Calibri"/>
          <w:b/>
          <w:sz w:val="24"/>
          <w:szCs w:val="24"/>
        </w:rPr>
        <w:br/>
        <w:t xml:space="preserve">на 100 исследователей в научных журналах,</w:t>
      </w:r>
      <w:r>
        <w:rPr>
          <w:rFonts w:ascii="PT Astra Serif" w:hAnsi="PT Astra Serif" w:eastAsia="Calibri"/>
          <w:b/>
          <w:sz w:val="24"/>
          <w:szCs w:val="24"/>
        </w:rPr>
        <w:br/>
        <w:t xml:space="preserve">входящих в международные базы цитирования</w:t>
      </w:r>
      <w:r>
        <w:rPr>
          <w:rFonts w:ascii="PT Astra Serif" w:hAnsi="PT Astra Serif" w:eastAsia="Calibri"/>
          <w:b/>
          <w:sz w:val="24"/>
          <w:szCs w:val="24"/>
        </w:rPr>
      </w:r>
      <w:r>
        <w:rPr>
          <w:rFonts w:ascii="PT Astra Serif" w:hAnsi="PT Astra Serif" w:eastAsia="Calibri"/>
          <w:b/>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pStyle w:val="1154"/>
        <w:ind w:firstLine="709"/>
        <w:jc w:val="both"/>
        <w:rPr>
          <w:rFonts w:ascii="PT Astra Serif" w:hAnsi="PT Astra Serif" w:eastAsia="Calibri" w:cstheme="minorBidi"/>
          <w:lang w:eastAsia="en-US"/>
        </w:rPr>
      </w:pPr>
      <w:r>
        <w:rPr>
          <w:rFonts w:ascii="PT Astra Serif" w:hAnsi="PT Astra Serif" w:eastAsia="Calibri" w:cstheme="minorBidi"/>
          <w:lang w:eastAsia="en-US"/>
        </w:rPr>
        <w:t xml:space="preserve">Общий объем финансирования организаций ТНОК увеличился с 39,6 </w:t>
      </w:r>
      <w:r>
        <w:rPr>
          <w:rFonts w:ascii="PT Astra Serif" w:hAnsi="PT Astra Serif" w:eastAsia="Calibri" w:cstheme="minorBidi"/>
          <w:lang w:eastAsia="en-US"/>
        </w:rPr>
        <w:t xml:space="preserve">млрд</w:t>
      </w:r>
      <w:r>
        <w:rPr>
          <w:rFonts w:ascii="PT Astra Serif" w:hAnsi="PT Astra Serif" w:eastAsia="Calibri" w:cstheme="minorBidi"/>
          <w:lang w:eastAsia="en-US"/>
        </w:rPr>
        <w:t xml:space="preserve"> </w:t>
      </w:r>
      <w:r>
        <w:rPr>
          <w:rFonts w:ascii="PT Astra Serif" w:hAnsi="PT Astra Serif" w:eastAsia="Calibri" w:cstheme="minorBidi"/>
          <w:lang w:eastAsia="en-US"/>
        </w:rPr>
        <w:t xml:space="preserve">рублей в 2022 году до 44,2 </w:t>
      </w:r>
      <w:r>
        <w:rPr>
          <w:rFonts w:ascii="PT Astra Serif" w:hAnsi="PT Astra Serif" w:eastAsia="Calibri" w:cstheme="minorBidi"/>
          <w:lang w:eastAsia="en-US"/>
        </w:rPr>
        <w:t xml:space="preserve">млрд</w:t>
      </w:r>
      <w:r>
        <w:rPr>
          <w:rFonts w:ascii="PT Astra Serif" w:hAnsi="PT Astra Serif" w:eastAsia="Calibri" w:cstheme="minorBidi"/>
          <w:lang w:eastAsia="en-US"/>
        </w:rPr>
        <w:t xml:space="preserve"> </w:t>
      </w:r>
      <w:r>
        <w:rPr>
          <w:rFonts w:ascii="PT Astra Serif" w:hAnsi="PT Astra Serif" w:eastAsia="Calibri" w:cstheme="minorBidi"/>
          <w:lang w:eastAsia="en-US"/>
        </w:rPr>
        <w:t xml:space="preserve">рублей в 2023 году, прирост составил 11,4%. В 2023 году объем финансирования образовательной деятельности достиг 18,2 </w:t>
      </w:r>
      <w:r>
        <w:rPr>
          <w:rFonts w:ascii="PT Astra Serif" w:hAnsi="PT Astra Serif" w:eastAsia="Calibri" w:cstheme="minorBidi"/>
          <w:lang w:eastAsia="en-US"/>
        </w:rPr>
        <w:t xml:space="preserve">млрд </w:t>
      </w:r>
      <w:r>
        <w:rPr>
          <w:rFonts w:ascii="PT Astra Serif" w:hAnsi="PT Astra Serif" w:eastAsia="Calibri" w:cstheme="minorBidi"/>
          <w:lang w:eastAsia="en-US"/>
        </w:rPr>
        <w:t xml:space="preserve">рублей, прирост составил 11,1%, научной деятельности </w:t>
      </w:r>
      <w:r>
        <w:rPr>
          <w:rFonts w:ascii="PT Astra Serif" w:hAnsi="PT Astra Serif" w:cstheme="minorBidi"/>
        </w:rPr>
        <w:t xml:space="preserve">–</w:t>
      </w:r>
      <w:r>
        <w:rPr>
          <w:rFonts w:ascii="PT Astra Serif" w:hAnsi="PT Astra Serif" w:eastAsia="Calibri" w:cstheme="minorBidi"/>
          <w:lang w:eastAsia="en-US"/>
        </w:rPr>
        <w:t xml:space="preserve"> 11,8 </w:t>
      </w:r>
      <w:r>
        <w:rPr>
          <w:rFonts w:ascii="PT Astra Serif" w:hAnsi="PT Astra Serif" w:eastAsia="Calibri" w:cstheme="minorBidi"/>
          <w:lang w:eastAsia="en-US"/>
        </w:rPr>
        <w:t xml:space="preserve">млрд </w:t>
      </w:r>
      <w:r>
        <w:rPr>
          <w:rFonts w:ascii="PT Astra Serif" w:hAnsi="PT Astra Serif" w:eastAsia="Calibri" w:cstheme="minorBidi"/>
          <w:lang w:eastAsia="en-US"/>
        </w:rPr>
        <w:t xml:space="preserve">рублей, прирост </w:t>
      </w:r>
      <w:r>
        <w:rPr>
          <w:rFonts w:ascii="PT Astra Serif" w:hAnsi="PT Astra Serif" w:cstheme="minorBidi"/>
        </w:rPr>
        <w:t xml:space="preserve">–</w:t>
      </w:r>
      <w:r>
        <w:rPr>
          <w:rFonts w:ascii="PT Astra Serif" w:hAnsi="PT Astra Serif" w:eastAsia="Calibri" w:cstheme="minorBidi"/>
          <w:lang w:eastAsia="en-US"/>
        </w:rPr>
        <w:t xml:space="preserve"> 17,9%.</w:t>
      </w:r>
      <w:r>
        <w:rPr>
          <w:rFonts w:ascii="PT Astra Serif" w:hAnsi="PT Astra Serif" w:eastAsia="Calibri" w:cstheme="minorBidi"/>
          <w:lang w:eastAsia="en-US"/>
        </w:rPr>
      </w:r>
      <w:r>
        <w:rPr>
          <w:rFonts w:ascii="PT Astra Serif" w:hAnsi="PT Astra Serif" w:eastAsia="Calibri" w:cstheme="minorBidi"/>
          <w:lang w:eastAsia="en-US"/>
        </w:rPr>
      </w:r>
    </w:p>
    <w:p>
      <w:pPr>
        <w:pStyle w:val="1154"/>
        <w:ind w:firstLine="709"/>
        <w:jc w:val="both"/>
        <w:rPr>
          <w:rFonts w:ascii="PT Astra Serif" w:hAnsi="PT Astra Serif" w:eastAsia="Calibri"/>
        </w:rPr>
      </w:pPr>
      <w:r>
        <w:rPr>
          <w:rFonts w:ascii="PT Astra Serif" w:hAnsi="PT Astra Serif" w:eastAsia="Calibri"/>
        </w:rPr>
        <w:t xml:space="preserve">Увеличилось число лабораторий с </w:t>
      </w:r>
      <w:r>
        <w:rPr>
          <w:rFonts w:ascii="PT Astra Serif" w:hAnsi="PT Astra Serif" w:eastAsia="Calibri"/>
        </w:rPr>
        <w:t xml:space="preserve">2022 года с 17 до 32 лабораторий</w:t>
      </w:r>
      <w:r>
        <w:rPr>
          <w:rFonts w:ascii="PT Astra Serif" w:hAnsi="PT Astra Serif" w:eastAsia="Calibri"/>
        </w:rPr>
        <w:t xml:space="preserve">, созданных под руководством молодых ученых</w:t>
      </w:r>
      <w:r>
        <w:rPr>
          <w:rFonts w:ascii="PT Astra Serif" w:hAnsi="PT Astra Serif" w:eastAsia="Calibri"/>
        </w:rPr>
        <w:t xml:space="preserve">,</w:t>
      </w:r>
      <w:r>
        <w:rPr>
          <w:rFonts w:ascii="PT Astra Serif" w:hAnsi="PT Astra Serif" w:eastAsia="Calibri"/>
        </w:rPr>
        <w:t xml:space="preserve"> и 6 лабораторий мирового уровня под руководством ведущих ученых с мировым именем. </w:t>
      </w:r>
      <w:r>
        <w:rPr>
          <w:rFonts w:ascii="PT Astra Serif" w:hAnsi="PT Astra Serif" w:eastAsia="Calibri"/>
        </w:rPr>
      </w:r>
      <w:r>
        <w:rPr>
          <w:rFonts w:ascii="PT Astra Serif" w:hAnsi="PT Astra Serif" w:eastAsia="Calibri"/>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На развитие 4 центров коллективного пользования (ТГУ – 1, ТПУ – 2, ИОА СО РАН – 1) в 2023 году выделено 78,</w:t>
      </w:r>
      <w:r>
        <w:rPr>
          <w:rFonts w:ascii="PT Astra Serif" w:hAnsi="PT Astra Serif" w:eastAsia="Calibri"/>
          <w:sz w:val="24"/>
          <w:szCs w:val="24"/>
        </w:rPr>
        <w:t xml:space="preserve">0</w:t>
      </w:r>
      <w:r>
        <w:rPr>
          <w:rFonts w:ascii="PT Astra Serif" w:hAnsi="PT Astra Serif" w:eastAsia="Calibri"/>
          <w:sz w:val="24"/>
          <w:szCs w:val="24"/>
        </w:rPr>
        <w:t xml:space="preserve"> млн руб</w:t>
      </w:r>
      <w:r>
        <w:rPr>
          <w:rFonts w:ascii="PT Astra Serif" w:hAnsi="PT Astra Serif" w:eastAsia="Calibri"/>
          <w:sz w:val="24"/>
          <w:szCs w:val="24"/>
        </w:rPr>
        <w:t xml:space="preserve">лей</w:t>
      </w:r>
      <w:r>
        <w:rPr>
          <w:rFonts w:ascii="PT Astra Serif" w:hAnsi="PT Astra Serif" w:eastAsia="Calibri"/>
          <w:sz w:val="24"/>
          <w:szCs w:val="24"/>
        </w:rPr>
        <w:t xml:space="preserve">, </w:t>
      </w:r>
      <w:r>
        <w:rPr>
          <w:rFonts w:ascii="PT Astra Serif" w:hAnsi="PT Astra Serif"/>
          <w:sz w:val="24"/>
          <w:szCs w:val="24"/>
        </w:rPr>
        <w:t xml:space="preserve">на развитие уникальных научных установок класса «Мегасайенс» </w:t>
      </w:r>
      <w:r>
        <w:rPr>
          <w:rFonts w:ascii="PT Astra Serif" w:hAnsi="PT Astra Serif" w:eastAsia="Calibri"/>
          <w:sz w:val="24"/>
          <w:szCs w:val="24"/>
        </w:rPr>
        <w:t xml:space="preserve">(ТПУ, ТГУ) – 287,6 млн руб</w:t>
      </w:r>
      <w:r>
        <w:rPr>
          <w:rFonts w:ascii="PT Astra Serif" w:hAnsi="PT Astra Serif" w:eastAsia="Calibri"/>
          <w:sz w:val="24"/>
          <w:szCs w:val="24"/>
        </w:rPr>
        <w:t xml:space="preserve">лей</w:t>
      </w:r>
      <w:r>
        <w:rPr>
          <w:rFonts w:ascii="PT Astra Serif" w:hAnsi="PT Astra Serif" w:eastAsia="Calibri"/>
          <w:sz w:val="24"/>
          <w:szCs w:val="24"/>
        </w:rPr>
        <w:t xml:space="preserve">, а на обновление приборной базы (ТНИМЦ РАН, ИФПМ СО РАН) – 354,2 млн руб</w:t>
      </w:r>
      <w:r>
        <w:rPr>
          <w:rFonts w:ascii="PT Astra Serif" w:hAnsi="PT Astra Serif" w:eastAsia="Calibri"/>
          <w:sz w:val="24"/>
          <w:szCs w:val="24"/>
        </w:rPr>
        <w:t xml:space="preserve">лей</w:t>
      </w:r>
      <w:r>
        <w:rPr>
          <w:rFonts w:ascii="PT Astra Serif" w:hAnsi="PT Astra Serif" w:eastAsia="Calibri"/>
          <w:sz w:val="24"/>
          <w:szCs w:val="24"/>
        </w:rPr>
        <w:t xml:space="preserve">.</w:t>
      </w:r>
      <w:r>
        <w:rPr>
          <w:rFonts w:ascii="PT Astra Serif" w:hAnsi="PT Astra Serif" w:eastAsia="Calibri"/>
          <w:sz w:val="24"/>
          <w:szCs w:val="24"/>
        </w:rPr>
      </w:r>
      <w:r>
        <w:rPr>
          <w:rFonts w:ascii="PT Astra Serif" w:hAnsi="PT Astra Serif" w:eastAsia="Calibri"/>
          <w:sz w:val="24"/>
          <w:szCs w:val="24"/>
        </w:rPr>
      </w:r>
    </w:p>
    <w:p>
      <w:pPr>
        <w:pStyle w:val="1154"/>
        <w:ind w:firstLine="709"/>
        <w:jc w:val="both"/>
        <w:rPr>
          <w:rFonts w:ascii="PT Astra Serif" w:hAnsi="PT Astra Serif" w:eastAsia="Calibri"/>
        </w:rPr>
      </w:pPr>
      <w:r>
        <w:rPr>
          <w:rFonts w:ascii="PT Astra Serif" w:hAnsi="PT Astra Serif"/>
        </w:rPr>
        <w:t xml:space="preserve">Томская область стала первым за Уралом регионом по количеству созданных «Передовых инженерных школ» (далее </w:t>
      </w:r>
      <w:r>
        <w:rPr>
          <w:rFonts w:ascii="PT Astra Serif" w:hAnsi="PT Astra Serif" w:cstheme="minorBidi"/>
        </w:rPr>
        <w:t xml:space="preserve">–</w:t>
      </w:r>
      <w:r>
        <w:rPr>
          <w:rFonts w:ascii="PT Astra Serif" w:hAnsi="PT Astra Serif"/>
        </w:rPr>
        <w:t xml:space="preserve"> ПИШ) на базе вузов. </w:t>
      </w:r>
      <w:r>
        <w:rPr>
          <w:rFonts w:ascii="PT Astra Serif" w:hAnsi="PT Astra Serif" w:eastAsia="Calibri"/>
        </w:rPr>
        <w:t xml:space="preserve">В 2022 году в рамках федеральной программы на базе вузов созданы и работают три ПИШ: ТГУ </w:t>
      </w:r>
      <w:r>
        <w:rPr>
          <w:rFonts w:ascii="PT Astra Serif" w:hAnsi="PT Astra Serif" w:cstheme="minorBidi"/>
        </w:rPr>
        <w:t xml:space="preserve">–</w:t>
      </w:r>
      <w:r>
        <w:rPr>
          <w:rFonts w:ascii="PT Astra Serif" w:hAnsi="PT Astra Serif" w:eastAsia="Calibri"/>
        </w:rPr>
        <w:t xml:space="preserve"> «Агробиотек», ТУСУР </w:t>
      </w:r>
      <w:r>
        <w:rPr>
          <w:rFonts w:ascii="PT Astra Serif" w:hAnsi="PT Astra Serif" w:cstheme="minorBidi"/>
        </w:rPr>
        <w:t xml:space="preserve">–</w:t>
      </w:r>
      <w:r>
        <w:rPr>
          <w:rFonts w:ascii="PT Astra Serif" w:hAnsi="PT Astra Serif" w:eastAsia="Calibri"/>
        </w:rPr>
        <w:t xml:space="preserve"> «Электронное приборостроение и системы связи», ТПУ </w:t>
      </w:r>
      <w:r>
        <w:rPr>
          <w:rFonts w:ascii="PT Astra Serif" w:hAnsi="PT Astra Serif" w:cstheme="minorBidi"/>
        </w:rPr>
        <w:t xml:space="preserve">–</w:t>
      </w:r>
      <w:r>
        <w:rPr>
          <w:rFonts w:ascii="PT Astra Serif" w:hAnsi="PT Astra Serif" w:eastAsia="Calibri"/>
        </w:rPr>
        <w:t xml:space="preserve"> </w:t>
      </w:r>
      <w:r>
        <w:rPr>
          <w:rFonts w:ascii="PT Astra Serif" w:hAnsi="PT Astra Serif" w:eastAsia="Calibri"/>
        </w:rPr>
        <w:t xml:space="preserve">«Интеллектуальные энергетические системы».</w:t>
      </w:r>
      <w:r>
        <w:rPr>
          <w:rFonts w:ascii="PT Astra Serif" w:hAnsi="PT Astra Serif" w:eastAsia="Calibri"/>
        </w:rPr>
      </w:r>
      <w:r>
        <w:rPr>
          <w:rFonts w:ascii="PT Astra Serif" w:hAnsi="PT Astra Serif" w:eastAsia="Calibri"/>
        </w:rPr>
      </w:r>
    </w:p>
    <w:p>
      <w:pPr>
        <w:pStyle w:val="1154"/>
        <w:ind w:firstLine="709"/>
        <w:jc w:val="both"/>
        <w:rPr>
          <w:rFonts w:ascii="PT Astra Serif" w:hAnsi="PT Astra Serif"/>
          <w:strike/>
        </w:rPr>
      </w:pPr>
      <w:r>
        <w:rPr>
          <w:rFonts w:ascii="PT Astra Serif" w:hAnsi="PT Astra Serif"/>
        </w:rPr>
        <w:t xml:space="preserve">В 2023 году увеличено финансирова</w:t>
      </w:r>
      <w:r>
        <w:rPr>
          <w:rFonts w:ascii="PT Astra Serif" w:hAnsi="PT Astra Serif"/>
        </w:rPr>
        <w:t xml:space="preserve">ние на создание ПИШ с 553,7 млн</w:t>
      </w:r>
      <w:r>
        <w:rPr>
          <w:rFonts w:ascii="PT Astra Serif" w:hAnsi="PT Astra Serif"/>
        </w:rPr>
        <w:t xml:space="preserve"> ру</w:t>
      </w:r>
      <w:r>
        <w:rPr>
          <w:rFonts w:ascii="PT Astra Serif" w:hAnsi="PT Astra Serif"/>
        </w:rPr>
        <w:t xml:space="preserve">блей в 2022 году до 1 210,4 млн</w:t>
      </w:r>
      <w:r>
        <w:rPr>
          <w:rFonts w:ascii="PT Astra Serif" w:hAnsi="PT Astra Serif"/>
        </w:rPr>
        <w:t xml:space="preserve"> рублей. </w:t>
      </w:r>
      <w:r>
        <w:rPr>
          <w:rFonts w:ascii="PT Astra Serif" w:hAnsi="PT Astra Serif"/>
          <w:strike/>
        </w:rPr>
      </w:r>
      <w:r>
        <w:rPr>
          <w:rFonts w:ascii="PT Astra Serif" w:hAnsi="PT Astra Serif"/>
          <w:strike/>
        </w:rPr>
      </w:r>
    </w:p>
    <w:p>
      <w:pPr>
        <w:pStyle w:val="1154"/>
        <w:ind w:firstLine="709"/>
        <w:jc w:val="both"/>
        <w:rPr>
          <w:rFonts w:ascii="PT Astra Serif" w:hAnsi="PT Astra Serif"/>
        </w:rPr>
      </w:pPr>
      <w:r>
        <w:rPr>
          <w:rFonts w:ascii="PT Astra Serif" w:hAnsi="PT Astra Serif"/>
        </w:rPr>
        <w:t xml:space="preserve">В Программе стратегического академического лидерства </w:t>
      </w:r>
      <w:r>
        <w:rPr>
          <w:rFonts w:ascii="PT Astra Serif" w:hAnsi="PT Astra Serif" w:eastAsia="Calibri"/>
        </w:rPr>
        <w:t xml:space="preserve">Министерства науки и высшего образования </w:t>
      </w:r>
      <w:r>
        <w:rPr>
          <w:rFonts w:ascii="PT Astra Serif" w:hAnsi="PT Astra Serif" w:eastAsia="Calibri"/>
        </w:rPr>
        <w:t xml:space="preserve">Российской Федерации «Приоритет-</w:t>
      </w:r>
      <w:r>
        <w:rPr>
          <w:rFonts w:ascii="PT Astra Serif" w:hAnsi="PT Astra Serif" w:eastAsia="Calibri"/>
        </w:rPr>
        <w:t xml:space="preserve">2030» (Программа) в 2023 году </w:t>
      </w:r>
      <w:r>
        <w:rPr>
          <w:rFonts w:ascii="PT Astra Serif" w:hAnsi="PT Astra Serif"/>
        </w:rPr>
        <w:t xml:space="preserve">Томс</w:t>
      </w:r>
      <w:r>
        <w:rPr>
          <w:rFonts w:ascii="PT Astra Serif" w:hAnsi="PT Astra Serif"/>
        </w:rPr>
        <w:t xml:space="preserve">кая область была представлена четырьмя</w:t>
      </w:r>
      <w:r>
        <w:rPr>
          <w:rFonts w:ascii="PT Astra Serif" w:hAnsi="PT Astra Serif"/>
        </w:rPr>
        <w:t xml:space="preserve"> университетами. </w:t>
      </w:r>
      <w:r>
        <w:rPr>
          <w:rFonts w:ascii="PT Astra Serif" w:hAnsi="PT Astra Serif"/>
        </w:rPr>
        <w:t xml:space="preserve">По итогам защиты заявок в конце года в Программу был включен ТГАСУ.</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2022 году по итогам отбора ТГУ и ТПУ вошли в топ-лист исследовательских вузов России, которые до конца 2023 года получили максимальную финансовую поддержку</w:t>
      </w:r>
      <w:r>
        <w:rPr>
          <w:rFonts w:ascii="PT Astra Serif" w:hAnsi="PT Astra Serif"/>
        </w:rPr>
        <w:t xml:space="preserve"> от Минобрнауки России (994 млн</w:t>
      </w:r>
      <w:r>
        <w:rPr>
          <w:rFonts w:ascii="PT Astra Serif" w:hAnsi="PT Astra Serif"/>
        </w:rPr>
        <w:t xml:space="preserve"> руб</w:t>
      </w:r>
      <w:r>
        <w:rPr>
          <w:rFonts w:ascii="PT Astra Serif" w:hAnsi="PT Astra Serif"/>
        </w:rPr>
        <w:t xml:space="preserve">лей</w:t>
      </w:r>
      <w:r>
        <w:rPr>
          <w:rFonts w:ascii="PT Astra Serif" w:hAnsi="PT Astra Serif"/>
        </w:rPr>
        <w:t xml:space="preserve">.). ТУСУР переведен из второй в первую группу трека «Территориальное и (или) отраслевое лидерство», а СибГМУ – из третьей во вторую группу, получив субсидию в 426</w:t>
      </w:r>
      <w:r>
        <w:rPr>
          <w:rFonts w:ascii="PT Astra Serif" w:hAnsi="PT Astra Serif"/>
        </w:rPr>
        <w:t xml:space="preserve"> млн рублей (ТУСУР) и 142 млн</w:t>
      </w:r>
      <w:r>
        <w:rPr>
          <w:rFonts w:ascii="PT Astra Serif" w:hAnsi="PT Astra Serif"/>
        </w:rPr>
        <w:t xml:space="preserve"> </w:t>
      </w:r>
      <w:r>
        <w:rPr>
          <w:rFonts w:ascii="PT Astra Serif" w:hAnsi="PT Astra Serif"/>
        </w:rPr>
        <w:t xml:space="preserve">рубле</w:t>
      </w:r>
      <w:r>
        <w:rPr>
          <w:rFonts w:ascii="PT Astra Serif" w:hAnsi="PT Astra Serif"/>
        </w:rPr>
        <w:t xml:space="preserve">й (СибГМУ). Общий объем привлече</w:t>
      </w:r>
      <w:r>
        <w:rPr>
          <w:rFonts w:ascii="PT Astra Serif" w:hAnsi="PT Astra Serif"/>
        </w:rPr>
        <w:t xml:space="preserve">нных средств </w:t>
      </w:r>
      <w:r>
        <w:rPr>
          <w:rFonts w:ascii="PT Astra Serif" w:hAnsi="PT Astra Serif" w:cstheme="minorBidi"/>
        </w:rPr>
        <w:t xml:space="preserve">–</w:t>
      </w:r>
      <w:r>
        <w:rPr>
          <w:rFonts w:ascii="PT Astra Serif" w:hAnsi="PT Astra Serif"/>
        </w:rPr>
        <w:t xml:space="preserve"> более 2,5 </w:t>
      </w:r>
      <w:r>
        <w:rPr>
          <w:rFonts w:ascii="PT Astra Serif" w:hAnsi="PT Astra Serif"/>
        </w:rPr>
        <w:t xml:space="preserve">млр</w:t>
      </w:r>
      <w:r>
        <w:rPr>
          <w:rFonts w:ascii="PT Astra Serif" w:hAnsi="PT Astra Serif"/>
        </w:rPr>
        <w:t xml:space="preserve">д</w:t>
      </w:r>
      <w:r>
        <w:rPr>
          <w:rFonts w:ascii="PT Astra Serif" w:hAnsi="PT Astra Serif"/>
        </w:rPr>
        <w:t xml:space="preserve"> </w:t>
      </w:r>
      <w:r>
        <w:rPr>
          <w:rFonts w:ascii="PT Astra Serif" w:hAnsi="PT Astra Serif"/>
        </w:rPr>
        <w:t xml:space="preserve">рублей.</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2023 год ТГУ,</w:t>
      </w:r>
      <w:r>
        <w:rPr>
          <w:rFonts w:ascii="PT Astra Serif" w:hAnsi="PT Astra Serif"/>
        </w:rPr>
        <w:t xml:space="preserve"> ТПУ</w:t>
      </w:r>
      <w:r>
        <w:rPr>
          <w:rFonts w:ascii="PT Astra Serif" w:hAnsi="PT Astra Serif"/>
        </w:rPr>
        <w:t xml:space="preserve"> и СибГМУ </w:t>
      </w:r>
      <w:r>
        <w:rPr>
          <w:rFonts w:ascii="PT Astra Serif" w:hAnsi="PT Astra Serif"/>
        </w:rPr>
        <w:t xml:space="preserve">сохранили свои позиции и финансирование. ТУСУР переместился из группы 2 в группу 1, увеличив размер выплаты к базовой части субсидии с 142 </w:t>
      </w:r>
      <w:r>
        <w:rPr>
          <w:rFonts w:ascii="PT Astra Serif" w:hAnsi="PT Astra Serif"/>
        </w:rPr>
        <w:t xml:space="preserve">млн</w:t>
      </w:r>
      <w:r>
        <w:rPr>
          <w:rFonts w:ascii="PT Astra Serif" w:hAnsi="PT Astra Serif"/>
        </w:rPr>
        <w:t xml:space="preserve"> до 994 </w:t>
      </w:r>
      <w:r>
        <w:rPr>
          <w:rFonts w:ascii="PT Astra Serif" w:hAnsi="PT Astra Serif"/>
        </w:rPr>
        <w:t xml:space="preserve">млн</w:t>
      </w:r>
      <w:r>
        <w:rPr>
          <w:rFonts w:ascii="PT Astra Serif" w:hAnsi="PT Astra Serif"/>
        </w:rPr>
        <w:t xml:space="preserve"> рублей.</w:t>
      </w:r>
      <w:r>
        <w:rPr>
          <w:rFonts w:ascii="PT Astra Serif" w:hAnsi="PT Astra Serif"/>
        </w:rPr>
      </w:r>
      <w:r>
        <w:rPr>
          <w:rFonts w:ascii="PT Astra Serif" w:hAnsi="PT Astra Serif"/>
        </w:rPr>
      </w:r>
    </w:p>
    <w:p>
      <w:pPr>
        <w:pStyle w:val="1154"/>
        <w:ind w:firstLine="709"/>
        <w:jc w:val="both"/>
        <w:rPr>
          <w:rFonts w:ascii="PT Astra Serif" w:hAnsi="PT Astra Serif" w:eastAsia="Calibri"/>
        </w:rPr>
      </w:pPr>
      <w:r>
        <w:rPr>
          <w:rFonts w:ascii="PT Astra Serif" w:hAnsi="PT Astra Serif" w:eastAsia="Calibri"/>
        </w:rPr>
        <w:t xml:space="preserve">По итогам защиты заявок на 2024 год ТГУ остался в топе трека «Исследовательское лидерство», ТПУ перешел во вторую группу, ТУСУР вошел в тройку</w:t>
      </w:r>
      <w:r>
        <w:rPr>
          <w:rFonts w:ascii="PT Astra Serif" w:hAnsi="PT Astra Serif" w:eastAsia="Calibri"/>
        </w:rPr>
        <w:t xml:space="preserve"> лидеров первой группы трека «Территориальное и (или) отраслевое лидерство», СибГМУ поднялся в первую группу трека «Территориальное и (или) отраслевое лидерство», а ТГАСУ вошел в число вузов, которые с 1 января 2024 года получат базовую часть гранта – 100 </w:t>
      </w:r>
      <w:r>
        <w:rPr>
          <w:rFonts w:ascii="PT Astra Serif" w:hAnsi="PT Astra Serif" w:eastAsia="Calibri"/>
        </w:rPr>
        <w:t xml:space="preserve">млн</w:t>
      </w:r>
      <w:r>
        <w:rPr>
          <w:rFonts w:ascii="PT Astra Serif" w:hAnsi="PT Astra Serif" w:eastAsia="Calibri"/>
        </w:rPr>
        <w:t xml:space="preserve"> рублей.</w:t>
      </w:r>
      <w:r>
        <w:rPr>
          <w:rFonts w:ascii="PT Astra Serif" w:hAnsi="PT Astra Serif" w:eastAsia="Calibri"/>
        </w:rPr>
      </w:r>
      <w:r>
        <w:rPr>
          <w:rFonts w:ascii="PT Astra Serif" w:hAnsi="PT Astra Serif" w:eastAsia="Calibri"/>
        </w:rPr>
      </w:r>
    </w:p>
    <w:p>
      <w:pPr>
        <w:pStyle w:val="1154"/>
        <w:ind w:firstLine="709"/>
        <w:jc w:val="both"/>
        <w:rPr>
          <w:rFonts w:ascii="PT Astra Serif" w:hAnsi="PT Astra Serif"/>
        </w:rPr>
      </w:pPr>
      <w:r>
        <w:rPr>
          <w:rFonts w:ascii="PT Astra Serif" w:hAnsi="PT Astra Serif" w:eastAsia="Calibri"/>
        </w:rPr>
        <w:t xml:space="preserve">В 2023 году по итогам конкурса «Студенческий стартап» федерального проекта «Платформа университетского технологического предпринимательства» из 1 000 отобранных проектов 138 проект</w:t>
      </w:r>
      <w:r>
        <w:rPr>
          <w:rFonts w:ascii="PT Astra Serif" w:hAnsi="PT Astra Serif" w:eastAsia="Calibri"/>
        </w:rPr>
        <w:t xml:space="preserve">ов</w:t>
      </w:r>
      <w:r>
        <w:rPr>
          <w:rFonts w:ascii="PT Astra Serif" w:hAnsi="PT Astra Serif" w:eastAsia="Calibri"/>
        </w:rPr>
        <w:t xml:space="preserve">, разработанных студентами «Большого университета Томска», стали победителями, </w:t>
      </w:r>
      <w:r>
        <w:rPr>
          <w:rFonts w:ascii="PT Astra Serif" w:hAnsi="PT Astra Serif"/>
        </w:rPr>
        <w:t xml:space="preserve">отобрано четыре инвестиционных проекта.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Томске открыта 1 из 3 стартап-студий в Сибири, запущено 8 акселераторов, функционируют 3 Точки кипения. Эти программы и другие инструменты создали в регионе более 500 стартапов.</w:t>
      </w:r>
      <w:r>
        <w:rPr>
          <w:rFonts w:ascii="PT Astra Serif" w:hAnsi="PT Astra Serif"/>
        </w:rPr>
      </w:r>
      <w:r>
        <w:rPr>
          <w:rFonts w:ascii="PT Astra Serif" w:hAnsi="PT Astra Serif"/>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jc w:val="center"/>
        <w:spacing w:after="0" w:line="240" w:lineRule="auto"/>
        <w:rPr>
          <w:rFonts w:ascii="PT Astra Serif" w:hAnsi="PT Astra Serif" w:eastAsia="Calibri"/>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Calibri"/>
          <w:b/>
          <w:sz w:val="24"/>
          <w:szCs w:val="24"/>
        </w:rPr>
        <w:t xml:space="preserve">Томск является лидером по числу победителей конкурса проекта УМНИК – грантов на развитие инновационных проектов – более 1000 грантообладателей</w:t>
      </w:r>
      <w:r>
        <w:rPr>
          <w:rFonts w:ascii="PT Astra Serif" w:hAnsi="PT Astra Serif" w:eastAsia="Calibri"/>
          <w:b/>
          <w:sz w:val="24"/>
          <w:szCs w:val="24"/>
        </w:rPr>
      </w:r>
      <w:r>
        <w:rPr>
          <w:rFonts w:ascii="PT Astra Serif" w:hAnsi="PT Astra Serif" w:eastAsia="Calibri"/>
          <w:b/>
          <w:sz w:val="24"/>
          <w:szCs w:val="24"/>
        </w:rPr>
      </w:r>
    </w:p>
    <w:p>
      <w:pPr>
        <w:pStyle w:val="1154"/>
        <w:ind w:firstLine="709"/>
        <w:jc w:val="both"/>
        <w:rPr>
          <w:rFonts w:ascii="PT Astra Serif" w:hAnsi="PT Astra Serif"/>
        </w:rPr>
      </w:pPr>
      <w:r>
        <w:rPr>
          <w:rFonts w:ascii="PT Astra Serif" w:hAnsi="PT Astra Serif"/>
        </w:rPr>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регионе самый высокий процент в России по созданию успешных компаний именно среди выпускников УМНИКА – в наст</w:t>
      </w:r>
      <w:r>
        <w:rPr>
          <w:rFonts w:ascii="PT Astra Serif" w:hAnsi="PT Astra Serif"/>
        </w:rPr>
        <w:t xml:space="preserve">оящее время действуют более 100 </w:t>
      </w:r>
      <w:r>
        <w:rPr>
          <w:rFonts w:ascii="PT Astra Serif" w:hAnsi="PT Astra Serif"/>
        </w:rPr>
        <w:t xml:space="preserve">компаний. В рамках конкурсов УМНИК в 2023 году на инновацио</w:t>
      </w:r>
      <w:r>
        <w:rPr>
          <w:rFonts w:ascii="PT Astra Serif" w:hAnsi="PT Astra Serif"/>
        </w:rPr>
        <w:t xml:space="preserve">нные проекты молодых томских уче</w:t>
      </w:r>
      <w:r>
        <w:rPr>
          <w:rFonts w:ascii="PT Astra Serif" w:hAnsi="PT Astra Serif"/>
        </w:rPr>
        <w:t xml:space="preserve">ных было привлечено 23 млн руб</w:t>
      </w:r>
      <w:r>
        <w:rPr>
          <w:rFonts w:ascii="PT Astra Serif" w:hAnsi="PT Astra Serif"/>
        </w:rPr>
        <w:t xml:space="preserve">лей</w:t>
      </w:r>
      <w:r>
        <w:rPr>
          <w:rFonts w:ascii="PT Astra Serif" w:hAnsi="PT Astra Serif"/>
        </w:rPr>
        <w:t xml:space="preserve">.</w:t>
      </w:r>
      <w:r>
        <w:rPr>
          <w:rFonts w:ascii="PT Astra Serif" w:hAnsi="PT Astra Serif"/>
        </w:rPr>
      </w:r>
      <w:r>
        <w:rPr>
          <w:rFonts w:ascii="PT Astra Serif" w:hAnsi="PT Astra Serif"/>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jc w:val="center"/>
        <w:spacing w:after="0" w:line="240" w:lineRule="auto"/>
        <w:rPr>
          <w:rFonts w:ascii="PT Astra Serif" w:hAnsi="PT Astra Serif" w:eastAsia="Calibri"/>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Calibri"/>
          <w:b/>
          <w:sz w:val="24"/>
          <w:szCs w:val="24"/>
        </w:rPr>
        <w:t xml:space="preserve">Томская область занимает 1</w:t>
      </w:r>
      <w:r>
        <w:rPr>
          <w:rFonts w:ascii="PT Astra Serif" w:hAnsi="PT Astra Serif" w:eastAsia="Calibri"/>
          <w:b/>
          <w:sz w:val="24"/>
          <w:szCs w:val="24"/>
        </w:rPr>
        <w:t xml:space="preserve">-е</w:t>
      </w:r>
      <w:r>
        <w:rPr>
          <w:rFonts w:ascii="PT Astra Serif" w:hAnsi="PT Astra Serif" w:eastAsia="Calibri"/>
          <w:b/>
          <w:sz w:val="24"/>
          <w:szCs w:val="24"/>
        </w:rPr>
        <w:t xml:space="preserve"> место в стране по медалям РАН, </w:t>
      </w:r>
      <w:r>
        <w:rPr>
          <w:rFonts w:ascii="PT Astra Serif" w:hAnsi="PT Astra Serif" w:eastAsia="Calibri"/>
          <w:b/>
          <w:sz w:val="24"/>
          <w:szCs w:val="24"/>
        </w:rPr>
      </w:r>
      <w:r>
        <w:rPr>
          <w:rFonts w:ascii="PT Astra Serif" w:hAnsi="PT Astra Serif" w:eastAsia="Calibri"/>
          <w:b/>
          <w:sz w:val="24"/>
          <w:szCs w:val="24"/>
        </w:rPr>
      </w:r>
    </w:p>
    <w:p>
      <w:pPr>
        <w:jc w:val="center"/>
        <w:spacing w:after="0" w:line="240" w:lineRule="auto"/>
        <w:rPr>
          <w:rFonts w:ascii="PT Astra Serif" w:hAnsi="PT Astra Serif" w:eastAsia="Calibri"/>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Calibri"/>
          <w:b/>
          <w:sz w:val="24"/>
          <w:szCs w:val="24"/>
        </w:rPr>
        <w:t xml:space="preserve">стипендиям Президента и Правительства РФ, по доле молодых исследователей</w:t>
      </w:r>
      <w:r>
        <w:rPr>
          <w:rFonts w:ascii="PT Astra Serif" w:hAnsi="PT Astra Serif" w:eastAsia="Calibri"/>
          <w:b/>
          <w:sz w:val="24"/>
          <w:szCs w:val="24"/>
        </w:rPr>
      </w:r>
      <w:r>
        <w:rPr>
          <w:rFonts w:ascii="PT Astra Serif" w:hAnsi="PT Astra Serif" w:eastAsia="Calibri"/>
          <w:b/>
          <w:sz w:val="24"/>
          <w:szCs w:val="24"/>
        </w:rPr>
      </w:r>
    </w:p>
    <w:p>
      <w:pPr>
        <w:pStyle w:val="1154"/>
        <w:ind w:firstLine="709"/>
        <w:jc w:val="both"/>
        <w:rPr>
          <w:rFonts w:ascii="PT Astra Serif" w:hAnsi="PT Astra Serif" w:eastAsia="Calibri"/>
        </w:rPr>
      </w:pPr>
      <w:r>
        <w:rPr>
          <w:rFonts w:ascii="PT Astra Serif" w:hAnsi="PT Astra Serif" w:eastAsia="Calibri"/>
        </w:rPr>
        <w:t xml:space="preserve">В рамках регионального конкурса Российского научного фонда «Проведение фундаментальных научных исследований и поисковых научных и</w:t>
      </w:r>
      <w:r>
        <w:rPr>
          <w:rFonts w:ascii="PT Astra Serif" w:hAnsi="PT Astra Serif" w:eastAsia="Calibri"/>
        </w:rPr>
        <w:t xml:space="preserve">сследований отдельными научными группами» и «Проведение фундаментальных научных исследований и поисковых научных исследований малыми отдельными научными группами» поддержано 18 научных проектов «Большого университета Томска» с общим объемом финансирования </w:t>
      </w:r>
      <w:r>
        <w:rPr>
          <w:rFonts w:ascii="PT Astra Serif" w:hAnsi="PT Astra Serif"/>
        </w:rPr>
        <w:t xml:space="preserve">– </w:t>
      </w:r>
      <w:r>
        <w:rPr>
          <w:rFonts w:ascii="PT Astra Serif" w:hAnsi="PT Astra Serif" w:eastAsia="Calibri"/>
        </w:rPr>
        <w:t xml:space="preserve">53,9 млн</w:t>
      </w:r>
      <w:r>
        <w:rPr>
          <w:rFonts w:ascii="PT Astra Serif" w:hAnsi="PT Astra Serif" w:eastAsia="Calibri"/>
        </w:rPr>
        <w:t xml:space="preserve"> рублей.</w:t>
      </w:r>
      <w:r>
        <w:rPr>
          <w:rFonts w:ascii="PT Astra Serif" w:hAnsi="PT Astra Serif" w:eastAsia="Calibri"/>
        </w:rPr>
      </w:r>
      <w:r>
        <w:rPr>
          <w:rFonts w:ascii="PT Astra Serif" w:hAnsi="PT Astra Serif" w:eastAsia="Calibri"/>
        </w:rPr>
      </w:r>
    </w:p>
    <w:p>
      <w:pPr>
        <w:pStyle w:val="1154"/>
        <w:ind w:firstLine="709"/>
        <w:jc w:val="both"/>
        <w:rPr>
          <w:rFonts w:ascii="PT Astra Serif" w:hAnsi="PT Astra Serif"/>
        </w:rPr>
      </w:pPr>
      <w:r>
        <w:rPr>
          <w:rFonts w:ascii="PT Astra Serif" w:hAnsi="PT Astra Serif"/>
        </w:rPr>
        <w:t xml:space="preserve">Российский н</w:t>
      </w:r>
      <w:r>
        <w:rPr>
          <w:rFonts w:ascii="PT Astra Serif" w:hAnsi="PT Astra Serif"/>
        </w:rPr>
        <w:t xml:space="preserve">аучный фонд подве</w:t>
      </w:r>
      <w:r>
        <w:rPr>
          <w:rFonts w:ascii="PT Astra Serif" w:hAnsi="PT Astra Serif"/>
        </w:rPr>
        <w:t xml:space="preserve">л итоги молод</w:t>
      </w:r>
      <w:r>
        <w:rPr>
          <w:rFonts w:ascii="PT Astra Serif" w:hAnsi="PT Astra Serif"/>
        </w:rPr>
        <w:t xml:space="preserve">е</w:t>
      </w:r>
      <w:r>
        <w:rPr>
          <w:rFonts w:ascii="PT Astra Serif" w:hAnsi="PT Astra Serif"/>
        </w:rPr>
        <w:t xml:space="preserve">жных конкурсов Президентской программы на 2023 год. По направлению «Проведение инициа</w:t>
      </w:r>
      <w:r>
        <w:rPr>
          <w:rFonts w:ascii="PT Astra Serif" w:hAnsi="PT Astra Serif"/>
        </w:rPr>
        <w:t xml:space="preserve">тивных исследований молодыми уче</w:t>
      </w:r>
      <w:r>
        <w:rPr>
          <w:rFonts w:ascii="PT Astra Serif" w:hAnsi="PT Astra Serif"/>
        </w:rPr>
        <w:t xml:space="preserve">ными» в ТПУ поддержано 9 проектов, ТНИМЦ РАН</w:t>
      </w:r>
      <w:r>
        <w:rPr>
          <w:rFonts w:ascii="PT Astra Serif" w:hAnsi="PT Astra Serif"/>
        </w:rPr>
        <w:t xml:space="preserve"> </w:t>
      </w:r>
      <w:r>
        <w:rPr>
          <w:rFonts w:ascii="PT Astra Serif" w:hAnsi="PT Astra Serif"/>
        </w:rPr>
        <w:t xml:space="preserve">– 4 проекта, ИФПМ СО РАН – 5 проектов. В ТГУ и СибГМУ поддержку получили по 3 проекта, в ТНЦ СО РАН – 2 проекта. По одному проекту выиграли ТУСУР, ИОА СО РАН, ИХН СО РАН и ИСЭ СО РАН.</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По направлению «Проведение исследований научными группами под руководством молодых уч</w:t>
      </w:r>
      <w:r>
        <w:rPr>
          <w:rFonts w:ascii="PT Astra Serif" w:hAnsi="PT Astra Serif"/>
        </w:rPr>
        <w:t xml:space="preserve">е</w:t>
      </w:r>
      <w:r>
        <w:rPr>
          <w:rFonts w:ascii="PT Astra Serif" w:hAnsi="PT Astra Serif"/>
        </w:rPr>
        <w:t xml:space="preserve">ных» в ТГУ поддержано 8 проект</w:t>
      </w:r>
      <w:r>
        <w:rPr>
          <w:rFonts w:ascii="PT Astra Serif" w:hAnsi="PT Astra Serif"/>
        </w:rPr>
        <w:t xml:space="preserve">ов, в ТПУ – 6 проектов, в ТНИМЦ </w:t>
      </w:r>
      <w:r>
        <w:rPr>
          <w:rFonts w:ascii="PT Astra Serif" w:hAnsi="PT Astra Serif"/>
        </w:rPr>
        <w:t xml:space="preserve">РАН – 3 проекта, в ТУСУРе – 1 проект. Также продлено несколько проектов в томских вузах и НИИ.</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2023 году 14 проектов вузов «Большого университета Томска» получили грантовую поддержку в рамка</w:t>
      </w:r>
      <w:r>
        <w:rPr>
          <w:rFonts w:ascii="PT Astra Serif" w:hAnsi="PT Astra Serif"/>
        </w:rPr>
        <w:t xml:space="preserve">х Всероссийского конкурса молоде</w:t>
      </w:r>
      <w:r>
        <w:rPr>
          <w:rFonts w:ascii="PT Astra Serif" w:hAnsi="PT Astra Serif"/>
        </w:rPr>
        <w:t xml:space="preserve">жных проектов среди организаций высшего образования общей суммой более </w:t>
      </w:r>
      <w:r>
        <w:rPr>
          <w:rFonts w:ascii="PT Astra Serif" w:hAnsi="PT Astra Serif"/>
        </w:rPr>
        <w:t xml:space="preserve">млн</w:t>
      </w:r>
      <w:r>
        <w:rPr>
          <w:rFonts w:ascii="PT Astra Serif" w:hAnsi="PT Astra Serif"/>
        </w:rPr>
        <w:t xml:space="preserve"> рублей.</w:t>
      </w:r>
      <w:r>
        <w:rPr>
          <w:rFonts w:ascii="PT Astra Serif" w:hAnsi="PT Astra Serif"/>
        </w:rPr>
      </w:r>
      <w:r>
        <w:rPr>
          <w:rFonts w:ascii="PT Astra Serif" w:hAnsi="PT Astra Serif"/>
        </w:rPr>
      </w:r>
    </w:p>
    <w:p>
      <w:pPr>
        <w:pStyle w:val="1154"/>
        <w:ind w:firstLine="709"/>
        <w:jc w:val="both"/>
        <w:rPr>
          <w:rFonts w:ascii="PT Astra Serif" w:hAnsi="PT Astra Serif"/>
          <w:strike/>
        </w:rPr>
      </w:pPr>
      <w:r>
        <w:rPr>
          <w:rFonts w:ascii="PT Astra Serif" w:hAnsi="PT Astra Serif"/>
        </w:rPr>
        <w:t xml:space="preserve">В частности одним из проектов является ра</w:t>
      </w:r>
      <w:r>
        <w:rPr>
          <w:rFonts w:ascii="PT Astra Serif" w:hAnsi="PT Astra Serif"/>
        </w:rPr>
        <w:t xml:space="preserve">зработка в ТУСУРе опытного образца «геномного принтера» – системы автоматизированного синтеза олигонуклеотидов. Производительность устройства на несколько порядков превышает производительность имеющегося в стране оборудования. Проект направлен на достижени</w:t>
      </w:r>
      <w:r>
        <w:rPr>
          <w:rFonts w:ascii="PT Astra Serif" w:hAnsi="PT Astra Serif"/>
        </w:rPr>
        <w:t xml:space="preserve">е</w:t>
      </w:r>
      <w:r>
        <w:rPr>
          <w:rFonts w:ascii="PT Astra Serif" w:hAnsi="PT Astra Serif"/>
        </w:rPr>
        <w:t xml:space="preserve"> технологического суверенитета для ускоренного развития генетических технологий.</w:t>
      </w:r>
      <w:r>
        <w:rPr>
          <w:rFonts w:ascii="PT Astra Serif" w:hAnsi="PT Astra Serif"/>
          <w:strike/>
        </w:rPr>
      </w:r>
      <w:r>
        <w:rPr>
          <w:rFonts w:ascii="PT Astra Serif" w:hAnsi="PT Astra Serif"/>
          <w:strike/>
        </w:rPr>
      </w:r>
    </w:p>
    <w:p>
      <w:pPr>
        <w:pStyle w:val="1154"/>
        <w:ind w:firstLine="709"/>
        <w:jc w:val="both"/>
        <w:rPr>
          <w:rFonts w:ascii="PT Astra Serif" w:hAnsi="PT Astra Serif"/>
        </w:rPr>
      </w:pPr>
      <w:r>
        <w:rPr>
          <w:rFonts w:ascii="PT Astra Serif" w:hAnsi="PT Astra Serif"/>
        </w:rPr>
        <w:t xml:space="preserve">В 2023 году на Кузовлевском тракте на базе инжинирингового химико-технологического центра (ИХТЦ) ра</w:t>
      </w:r>
      <w:r>
        <w:rPr>
          <w:rFonts w:ascii="PT Astra Serif" w:hAnsi="PT Astra Serif"/>
        </w:rPr>
        <w:t xml:space="preserve">звернулось строительство Центра малотоннажной химии. Всего для будущего центра запроектировано 7 объектов, в их числе цеха, административное здание, складские помещения для продукции. Сегодня в Томске реализуется порядка 30 технологий малотоннажной химии. </w:t>
      </w:r>
      <w:r>
        <w:rPr>
          <w:rFonts w:ascii="PT Astra Serif" w:hAnsi="PT Astra Serif"/>
        </w:rPr>
      </w:r>
      <w:r>
        <w:rPr>
          <w:rFonts w:ascii="PT Astra Serif" w:hAnsi="PT Astra Serif"/>
        </w:rPr>
      </w:r>
    </w:p>
    <w:p>
      <w:pPr>
        <w:pStyle w:val="1154"/>
        <w:ind w:firstLine="709"/>
        <w:jc w:val="both"/>
        <w:rPr>
          <w:rFonts w:ascii="PT Astra Serif" w:hAnsi="PT Astra Serif"/>
          <w:strike/>
        </w:rPr>
      </w:pPr>
      <w:r>
        <w:rPr>
          <w:rFonts w:ascii="PT Astra Serif" w:hAnsi="PT Astra Serif"/>
          <w:strike/>
        </w:rPr>
      </w:r>
      <w:r>
        <w:rPr>
          <w:rFonts w:ascii="PT Astra Serif" w:hAnsi="PT Astra Serif"/>
          <w:strike/>
        </w:rPr>
      </w:r>
      <w:r>
        <w:rPr>
          <w:rFonts w:ascii="PT Astra Serif" w:hAnsi="PT Astra Serif"/>
          <w:strike/>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54"/>
        <w:ind w:firstLine="709"/>
        <w:jc w:val="both"/>
        <w:rPr>
          <w:rFonts w:ascii="PT Astra Serif" w:hAnsi="PT Astra Serif"/>
        </w:rPr>
      </w:pPr>
      <w:r>
        <w:rPr>
          <w:rFonts w:ascii="PT Astra Serif" w:hAnsi="PT Astra Serif"/>
        </w:rPr>
        <w:t xml:space="preserve">1. Формирование условий для обеспечения независимости и конкурентоспособности страны за счет создания суверенных технологий.</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2. Достижение опережающего научно-технологического развития Томской области, в том числе за счет разработки и реализации комплексной государственной программы «Научно-технологическое развитие Томской области».</w:t>
      </w:r>
      <w:r>
        <w:rPr>
          <w:rFonts w:ascii="PT Astra Serif" w:hAnsi="PT Astra Serif"/>
        </w:rPr>
      </w:r>
      <w:r>
        <w:rPr>
          <w:rFonts w:ascii="PT Astra Serif" w:hAnsi="PT Astra Serif"/>
        </w:rPr>
      </w:r>
    </w:p>
    <w:p>
      <w:pPr>
        <w:pStyle w:val="1154"/>
        <w:ind w:firstLine="709"/>
        <w:jc w:val="both"/>
        <w:rPr>
          <w:rFonts w:ascii="PT Astra Serif" w:hAnsi="PT Astra Serif" w:eastAsiaTheme="minorEastAsia"/>
        </w:rPr>
      </w:pPr>
      <w:r>
        <w:rPr>
          <w:rFonts w:ascii="PT Astra Serif" w:hAnsi="PT Astra Serif" w:eastAsiaTheme="minorEastAsia"/>
        </w:rPr>
      </w:r>
      <w:bookmarkEnd w:id="8"/>
      <w:r>
        <w:rPr>
          <w:rFonts w:ascii="PT Astra Serif" w:hAnsi="PT Astra Serif" w:eastAsiaTheme="minorEastAsia"/>
        </w:rPr>
      </w:r>
      <w:r>
        <w:rPr>
          <w:rFonts w:ascii="PT Astra Serif" w:hAnsi="PT Astra Serif" w:eastAsiaTheme="minorEastAsia"/>
        </w:rPr>
      </w:r>
    </w:p>
    <w:p>
      <w:pPr>
        <w:pStyle w:val="1146"/>
        <w:outlineLvl w:val="1"/>
      </w:pPr>
      <w:r>
        <w:t xml:space="preserve">1.4. Обеспечение улучшения инвестиционного климата и повышения качества государственного регулирования, содействие укреплению международных и межрегиональных связей</w:t>
      </w:r>
      <w:r/>
    </w:p>
    <w:p>
      <w:pPr>
        <w:jc w:val="both"/>
        <w:spacing w:after="0" w:line="240" w:lineRule="auto"/>
        <w:tabs>
          <w:tab w:val="left" w:pos="4962" w:leader="none"/>
        </w:tabs>
        <w:rPr>
          <w:rFonts w:ascii="PT Astra Serif" w:hAnsi="PT Astra Serif" w:eastAsia="Times New Roman"/>
          <w:b/>
          <w:sz w:val="24"/>
          <w:szCs w:val="24"/>
        </w:rPr>
      </w:pPr>
      <w:r>
        <w:rPr>
          <w:rFonts w:ascii="PT Astra Serif" w:hAnsi="PT Astra Serif" w:eastAsia="Times New Roman"/>
          <w:b/>
          <w:sz w:val="24"/>
          <w:szCs w:val="24"/>
        </w:rPr>
      </w:r>
      <w:r>
        <w:rPr>
          <w:rFonts w:ascii="PT Astra Serif" w:hAnsi="PT Astra Serif" w:eastAsia="Times New Roman"/>
          <w:b/>
          <w:sz w:val="24"/>
          <w:szCs w:val="24"/>
        </w:rPr>
      </w:r>
      <w:r>
        <w:rPr>
          <w:rFonts w:ascii="PT Astra Serif" w:hAnsi="PT Astra Serif" w:eastAsia="Times New Roman"/>
          <w:b/>
          <w:sz w:val="24"/>
          <w:szCs w:val="24"/>
        </w:rPr>
      </w:r>
    </w:p>
    <w:p>
      <w:pPr>
        <w:jc w:val="both"/>
        <w:spacing w:after="0" w:line="240" w:lineRule="auto"/>
        <w:shd w:val="clear" w:color="auto" w:fill="eaf1dd" w:themeFill="accent3" w:themeFillTint="33"/>
        <w:tabs>
          <w:tab w:val="left" w:pos="4962" w:leader="none"/>
        </w:tabs>
        <w:rPr>
          <w:rFonts w:ascii="PT Astra Serif" w:hAnsi="PT Astra Serif" w:eastAsia="Times New Roman"/>
          <w:b/>
          <w:sz w:val="24"/>
          <w:szCs w:val="24"/>
          <w:shd w:val="clear" w:color="auto" w:fill="eaf1dd" w:themeFill="accent3" w:themeFillTint="33"/>
        </w:rPr>
      </w:pPr>
      <w:r>
        <w:rPr>
          <w:rFonts w:ascii="PT Astra Serif" w:hAnsi="PT Astra Serif" w:eastAsia="Times New Roman"/>
          <w:b/>
          <w:sz w:val="24"/>
          <w:szCs w:val="24"/>
          <w:shd w:val="clear" w:color="auto" w:fill="eaf1dd" w:themeFill="accent3" w:themeFillTint="33"/>
        </w:rPr>
        <w:t xml:space="preserve">Инвестиционная деятельность</w:t>
      </w:r>
      <w:r>
        <w:rPr>
          <w:rFonts w:ascii="PT Astra Serif" w:hAnsi="PT Astra Serif" w:eastAsia="Times New Roman"/>
          <w:b/>
          <w:sz w:val="24"/>
          <w:szCs w:val="24"/>
          <w:shd w:val="clear" w:color="auto" w:fill="eaf1dd" w:themeFill="accent3" w:themeFillTint="33"/>
        </w:rPr>
      </w:r>
      <w:r>
        <w:rPr>
          <w:rFonts w:ascii="PT Astra Serif" w:hAnsi="PT Astra Serif" w:eastAsia="Times New Roman"/>
          <w:b/>
          <w:sz w:val="24"/>
          <w:szCs w:val="24"/>
          <w:shd w:val="clear" w:color="auto" w:fill="eaf1dd" w:themeFill="accent3" w:themeFillTint="33"/>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w:t>
      </w:r>
      <w:r>
        <w:rPr>
          <w:rFonts w:ascii="PT Astra Serif" w:hAnsi="PT Astra Serif"/>
          <w:sz w:val="24"/>
          <w:szCs w:val="24"/>
        </w:rPr>
        <w:t xml:space="preserve"> 2023 году регион приступил к формированию новой инвестиционной политики, ключевой акцент в которой делается на построение новых кооперационных цепочек (кластеров), создание новых высокотехнологичных производств с опорой на научно-образовательный комплекс.</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Основными задачами региона были </w:t>
      </w:r>
      <w:r>
        <w:rPr>
          <w:rFonts w:ascii="PT Astra Serif" w:hAnsi="PT Astra Serif"/>
          <w:sz w:val="24"/>
          <w:szCs w:val="24"/>
        </w:rPr>
        <w:t xml:space="preserve">–</w:t>
      </w:r>
      <w:r>
        <w:rPr>
          <w:rFonts w:ascii="PT Astra Serif" w:hAnsi="PT Astra Serif"/>
          <w:sz w:val="24"/>
          <w:szCs w:val="24"/>
        </w:rPr>
        <w:t xml:space="preserve"> повышение инвестиционно</w:t>
      </w:r>
      <w:r>
        <w:rPr>
          <w:rFonts w:ascii="PT Astra Serif" w:hAnsi="PT Astra Serif"/>
          <w:sz w:val="24"/>
          <w:szCs w:val="24"/>
        </w:rPr>
        <w:t xml:space="preserve">й привлекательности, создание благоприятного инвестиционного климата, в том числе за счет внедрения регионального инвестиционного стандарта, системы поддержки новых инвестиционных проектов. В Томской области в 2023 году утверждена инвестиционная декларация</w:t>
      </w:r>
      <w:r>
        <w:rPr>
          <w:rFonts w:ascii="PT Astra Serif" w:hAnsi="PT Astra Serif"/>
          <w:iCs/>
          <w:sz w:val="24"/>
          <w:szCs w:val="24"/>
        </w:rPr>
        <w:t xml:space="preserve">,</w:t>
      </w:r>
      <w:r>
        <w:rPr>
          <w:rFonts w:ascii="PT Astra Serif" w:hAnsi="PT Astra Serif"/>
          <w:iCs/>
          <w:sz w:val="24"/>
          <w:szCs w:val="24"/>
        </w:rPr>
        <w:t xml:space="preserve"> создан Инвестиционный комитет, </w:t>
      </w:r>
      <w:r>
        <w:rPr>
          <w:rFonts w:ascii="PT Astra Serif" w:hAnsi="PT Astra Serif"/>
          <w:sz w:val="24"/>
          <w:szCs w:val="24"/>
        </w:rPr>
        <w:t xml:space="preserve">модернизирована инвестиционная карта, </w:t>
      </w:r>
      <w:r>
        <w:rPr>
          <w:rFonts w:ascii="PT Astra Serif" w:hAnsi="PT Astra Serif"/>
          <w:bCs/>
          <w:sz w:val="24"/>
          <w:szCs w:val="24"/>
        </w:rPr>
        <w:t xml:space="preserve">создано АНО «Агентство инвестиционного развития Томской области»</w:t>
      </w:r>
      <w:r>
        <w:rPr>
          <w:rFonts w:ascii="PT Astra Serif" w:hAnsi="PT Astra Serif"/>
          <w:sz w:val="24"/>
          <w:szCs w:val="24"/>
        </w:rPr>
        <w:t xml:space="preserve">, утверждены все алгоритмы действий инвесторов, входящие в свод инвестиционных правил.</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Объем инвестиций в основной капитал по Томской области по полному кругу организаций за 2023 год составил 148,5 </w:t>
      </w:r>
      <w:r>
        <w:rPr>
          <w:rFonts w:ascii="PT Astra Serif" w:hAnsi="PT Astra Serif"/>
          <w:sz w:val="24"/>
          <w:szCs w:val="24"/>
        </w:rPr>
        <w:t xml:space="preserve">млрд</w:t>
      </w:r>
      <w:r>
        <w:rPr>
          <w:rFonts w:ascii="PT Astra Serif" w:hAnsi="PT Astra Serif"/>
          <w:sz w:val="24"/>
          <w:szCs w:val="24"/>
        </w:rPr>
        <w:t xml:space="preserve"> </w:t>
      </w:r>
      <w:r>
        <w:rPr>
          <w:rFonts w:ascii="PT Astra Serif" w:hAnsi="PT Astra Serif"/>
          <w:sz w:val="24"/>
          <w:szCs w:val="24"/>
        </w:rPr>
        <w:t xml:space="preserve">рублей (111,0% в сопоставимых ценах к уровню 2022 года), в том числе по крупным и средним организациям – 124,6 </w:t>
      </w:r>
      <w:r>
        <w:rPr>
          <w:rFonts w:ascii="PT Astra Serif" w:hAnsi="PT Astra Serif"/>
          <w:sz w:val="24"/>
          <w:szCs w:val="24"/>
        </w:rPr>
        <w:t xml:space="preserve">млрд</w:t>
      </w:r>
      <w:r>
        <w:rPr>
          <w:rFonts w:ascii="PT Astra Serif" w:hAnsi="PT Astra Serif"/>
          <w:sz w:val="24"/>
          <w:szCs w:val="24"/>
        </w:rPr>
        <w:t xml:space="preserve"> </w:t>
      </w:r>
      <w:r>
        <w:rPr>
          <w:rFonts w:ascii="PT Astra Serif" w:hAnsi="PT Astra Serif"/>
          <w:sz w:val="24"/>
          <w:szCs w:val="24"/>
        </w:rPr>
        <w:t xml:space="preserve">рублей (ИФО 115,8%).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Наибольший объем инвестиций пришелся на сферу добычи по</w:t>
      </w:r>
      <w:r>
        <w:rPr>
          <w:rFonts w:ascii="PT Astra Serif" w:hAnsi="PT Astra Serif"/>
          <w:sz w:val="24"/>
          <w:szCs w:val="24"/>
        </w:rPr>
        <w:t xml:space="preserve">лезных ископаемых (25,6%</w:t>
      </w:r>
      <w:r>
        <w:rPr>
          <w:rFonts w:ascii="PT Astra Serif" w:hAnsi="PT Astra Serif"/>
          <w:sz w:val="24"/>
          <w:szCs w:val="24"/>
        </w:rPr>
        <w:t xml:space="preserve">), обр</w:t>
      </w:r>
      <w:r>
        <w:rPr>
          <w:rFonts w:ascii="PT Astra Serif" w:hAnsi="PT Astra Serif"/>
          <w:sz w:val="24"/>
          <w:szCs w:val="24"/>
        </w:rPr>
        <w:t xml:space="preserve">абатывающие производства (25,1%</w:t>
      </w:r>
      <w:r>
        <w:rPr>
          <w:rFonts w:ascii="PT Astra Serif" w:hAnsi="PT Astra Serif"/>
          <w:sz w:val="24"/>
          <w:szCs w:val="24"/>
        </w:rPr>
        <w:t xml:space="preserve">), тр</w:t>
      </w:r>
      <w:r>
        <w:rPr>
          <w:rFonts w:ascii="PT Astra Serif" w:hAnsi="PT Astra Serif"/>
          <w:sz w:val="24"/>
          <w:szCs w:val="24"/>
        </w:rPr>
        <w:t xml:space="preserve">анспортировку и хранение (11,3%</w:t>
      </w:r>
      <w:r>
        <w:rPr>
          <w:rFonts w:ascii="PT Astra Serif" w:hAnsi="PT Astra Serif"/>
          <w:sz w:val="24"/>
          <w:szCs w:val="24"/>
        </w:rPr>
        <w:t xml:space="preserve">), операции с недвижимым имуществом (11,1%), обеспечение электр</w:t>
      </w:r>
      <w:r>
        <w:rPr>
          <w:rFonts w:ascii="PT Astra Serif" w:hAnsi="PT Astra Serif"/>
          <w:sz w:val="24"/>
          <w:szCs w:val="24"/>
        </w:rPr>
        <w:t xml:space="preserve">ической энергией, газом и паром;</w:t>
      </w:r>
      <w:r>
        <w:rPr>
          <w:rFonts w:ascii="PT Astra Serif" w:hAnsi="PT Astra Serif"/>
          <w:sz w:val="24"/>
          <w:szCs w:val="24"/>
        </w:rPr>
        <w:t xml:space="preserve"> </w:t>
      </w:r>
      <w:r>
        <w:rPr>
          <w:rFonts w:ascii="PT Astra Serif" w:hAnsi="PT Astra Serif"/>
          <w:sz w:val="24"/>
          <w:szCs w:val="24"/>
        </w:rPr>
        <w:t xml:space="preserve">кондиционирование воздуха (7,</w:t>
      </w:r>
      <w:r>
        <w:rPr>
          <w:rFonts w:ascii="PT Astra Serif" w:hAnsi="PT Astra Serif"/>
          <w:sz w:val="24"/>
          <w:szCs w:val="24"/>
        </w:rPr>
        <w:t xml:space="preserve">5</w:t>
      </w:r>
      <w:r>
        <w:rPr>
          <w:rFonts w:ascii="PT Astra Serif" w:hAnsi="PT Astra Serif"/>
          <w:sz w:val="24"/>
          <w:szCs w:val="24"/>
        </w:rPr>
        <w:t xml:space="preserve">%</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pStyle w:val="1165"/>
        <w:ind w:firstLine="709"/>
        <w:jc w:val="both"/>
        <w:rPr>
          <w:color w:val="auto"/>
        </w:rPr>
      </w:pPr>
      <w:r>
        <w:rPr>
          <w:color w:val="auto"/>
        </w:rPr>
        <w:t xml:space="preserve">Определяющее влияние на динамику оказал рост инвестиционных вложений в добычу полезных ископаемых (126,9%), обрабатывающие производства (121,5%), обеспечение электрической энергией, газом и паром; кондиционирование воздуха (124,6%), </w:t>
      </w:r>
      <w:r>
        <w:rPr>
          <w:color w:val="auto"/>
        </w:rPr>
        <w:t xml:space="preserve">строительство (123,3%), </w:t>
      </w:r>
      <w:r>
        <w:rPr>
          <w:color w:val="auto"/>
        </w:rPr>
        <w:t xml:space="preserve">транспортир</w:t>
      </w:r>
      <w:r>
        <w:rPr>
          <w:color w:val="auto"/>
        </w:rPr>
        <w:t xml:space="preserve">овку и хранение (128,5%), в том числе</w:t>
      </w:r>
      <w:r>
        <w:rPr>
          <w:color w:val="auto"/>
        </w:rPr>
        <w:t xml:space="preserve"> деятельность трубопроводного транспорта – 119,0%, операции с недвижимым имуществом (121,6%)</w:t>
      </w:r>
      <w:r>
        <w:rPr>
          <w:color w:val="auto"/>
        </w:rPr>
        <w:t xml:space="preserve">.</w:t>
      </w:r>
      <w:r>
        <w:rPr>
          <w:color w:val="auto"/>
        </w:rPr>
      </w:r>
      <w:r>
        <w:rPr>
          <w:color w:val="auto"/>
        </w:rPr>
      </w:r>
    </w:p>
    <w:p>
      <w:pPr>
        <w:contextualSpacing/>
        <w:ind w:firstLine="709"/>
        <w:jc w:val="both"/>
        <w:spacing w:after="0" w:line="240" w:lineRule="auto"/>
        <w:widowControl w:val="off"/>
        <w:rPr>
          <w:rFonts w:ascii="PT Astra Serif" w:hAnsi="PT Astra Serif"/>
          <w:sz w:val="24"/>
          <w:szCs w:val="24"/>
        </w:rPr>
      </w:pPr>
      <w:r>
        <w:rPr>
          <w:rFonts w:ascii="PT Astra Serif" w:hAnsi="PT Astra Serif"/>
          <w:sz w:val="24"/>
          <w:szCs w:val="24"/>
        </w:rPr>
        <w:t xml:space="preserve">Основной объе</w:t>
      </w:r>
      <w:r>
        <w:rPr>
          <w:rFonts w:ascii="PT Astra Serif" w:hAnsi="PT Astra Serif"/>
          <w:sz w:val="24"/>
          <w:szCs w:val="24"/>
        </w:rPr>
        <w:t xml:space="preserve">м инвестиционных вложений был обеспечен:</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в сельском хозяйстве: ООО «Сибирское Молоко», СПК «Белосток», </w:t>
      </w:r>
      <w:r>
        <w:rPr>
          <w:rFonts w:ascii="PT Astra Serif" w:hAnsi="PT Astra Serif"/>
          <w:sz w:val="24"/>
          <w:szCs w:val="24"/>
        </w:rPr>
        <w:t xml:space="preserve">ООО </w:t>
      </w:r>
      <w:r>
        <w:rPr>
          <w:rFonts w:ascii="PT Astra Serif" w:hAnsi="PT Astra Serif"/>
          <w:sz w:val="24"/>
          <w:szCs w:val="24"/>
        </w:rPr>
        <w:t xml:space="preserve">«СПК</w:t>
      </w:r>
      <w:r>
        <w:rPr>
          <w:rFonts w:ascii="PT Astra Serif" w:hAnsi="PT Astra Serif"/>
          <w:sz w:val="24"/>
          <w:szCs w:val="24"/>
        </w:rPr>
        <w:t xml:space="preserve"> </w:t>
      </w:r>
      <w:r>
        <w:rPr>
          <w:rFonts w:ascii="PT Astra Serif" w:hAnsi="PT Astra Serif"/>
          <w:sz w:val="24"/>
          <w:szCs w:val="24"/>
        </w:rPr>
        <w:t xml:space="preserve">«Межениновский», ООО «Агрофирма «Межениновская», АО «Дубровское», ООО КХ «Куендат», ООО «Трубачево», ООО «Подсобное», АО «Сибагро», ООО</w:t>
      </w:r>
      <w:r>
        <w:rPr>
          <w:rFonts w:ascii="PT Astra Serif" w:hAnsi="PT Astra Serif"/>
          <w:sz w:val="24"/>
          <w:szCs w:val="24"/>
        </w:rPr>
        <w:t xml:space="preserve"> </w:t>
      </w:r>
      <w:r>
        <w:rPr>
          <w:rFonts w:ascii="PT Astra Serif" w:hAnsi="PT Astra Serif"/>
          <w:sz w:val="24"/>
          <w:szCs w:val="24"/>
        </w:rPr>
        <w:t xml:space="preserve">«Межениновская Птицефабрика», ООО «АГРО», ООО «Вороновское», СПК</w:t>
      </w:r>
      <w:r>
        <w:rPr>
          <w:rFonts w:ascii="PT Astra Serif" w:hAnsi="PT Astra Serif"/>
          <w:sz w:val="24"/>
          <w:szCs w:val="24"/>
        </w:rPr>
        <w:t xml:space="preserve"> </w:t>
      </w:r>
      <w:r>
        <w:rPr>
          <w:rFonts w:ascii="PT Astra Serif" w:hAnsi="PT Astra Serif"/>
          <w:sz w:val="24"/>
          <w:szCs w:val="24"/>
        </w:rPr>
        <w:t xml:space="preserve">«Нелюбино», ООО «СПАС»;</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в добыче полезных ископаемых: ООО «Газпромнефть-Восток», АО «Газпром добыча Томск», АО «Томскнефть» ВНК, ООО «ВТК», ООО «Норд Империал», ООО</w:t>
      </w:r>
      <w:r>
        <w:rPr>
          <w:rFonts w:ascii="PT Astra Serif" w:hAnsi="PT Astra Serif"/>
          <w:sz w:val="24"/>
          <w:szCs w:val="24"/>
        </w:rPr>
        <w:t xml:space="preserve"> </w:t>
      </w:r>
      <w:r>
        <w:rPr>
          <w:rFonts w:ascii="PT Astra Serif" w:hAnsi="PT Astra Serif"/>
          <w:sz w:val="24"/>
          <w:szCs w:val="24"/>
        </w:rPr>
        <w:t xml:space="preserve">«Газпром Бурение», АО «ССК», ООО «ИЦ Газинформпласт», ООО «БСК «Гранд», ООО «Обьнефтеремонт», ООО «ЛУТО» и другие, в том числе прочих полезных ископаемых АО «ТГОК «Ильменит»;</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в транспортировке нефти и газа по трубопроводам: АО «Транснефть - Сибирь», АО «Транснефть - Западная Сибирь», ООО «Транссервис», ООО «Газпром Трансгаз Томск», ООО «Газпромнефть – Снабжение»;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в обрабатывающей промышленности: ООО «Сибирская олива», ООО</w:t>
      </w:r>
      <w:r>
        <w:rPr>
          <w:rFonts w:ascii="PT Astra Serif" w:hAnsi="PT Astra Serif"/>
          <w:sz w:val="24"/>
          <w:szCs w:val="24"/>
        </w:rPr>
        <w:t xml:space="preserve"> </w:t>
      </w:r>
      <w:r>
        <w:rPr>
          <w:rFonts w:ascii="PT Astra Serif" w:hAnsi="PT Astra Serif"/>
          <w:sz w:val="24"/>
          <w:szCs w:val="24"/>
        </w:rPr>
        <w:t xml:space="preserve">«Деревенское Молочко», ООО «Артлайф», ОАО «Томское пиво», ООО</w:t>
      </w:r>
      <w:r>
        <w:rPr>
          <w:rFonts w:ascii="PT Astra Serif" w:hAnsi="PT Astra Serif"/>
          <w:sz w:val="24"/>
          <w:szCs w:val="24"/>
        </w:rPr>
        <w:t xml:space="preserve"> </w:t>
      </w:r>
      <w:r>
        <w:rPr>
          <w:rFonts w:ascii="PT Astra Serif" w:hAnsi="PT Astra Serif"/>
          <w:sz w:val="24"/>
          <w:szCs w:val="24"/>
        </w:rPr>
        <w:t xml:space="preserve">«Сибирьлес», ООО «Монолит-строй», ООО «Томскнефтехим», ООО «Сибметахим», АО «СХК», АО «НИИПП», АО «НПФ «Микран», АО «ЭлеСи», АО «Сибкабель», АО</w:t>
      </w:r>
      <w:r>
        <w:rPr>
          <w:rFonts w:ascii="PT Astra Serif" w:hAnsi="PT Astra Serif"/>
          <w:sz w:val="24"/>
          <w:szCs w:val="24"/>
        </w:rPr>
        <w:t xml:space="preserve"> </w:t>
      </w:r>
      <w:r>
        <w:rPr>
          <w:rFonts w:ascii="PT Astra Serif" w:hAnsi="PT Astra Serif"/>
          <w:sz w:val="24"/>
          <w:szCs w:val="24"/>
        </w:rPr>
        <w:t xml:space="preserve">«ТЭТЗ»</w:t>
      </w:r>
      <w:r>
        <w:rPr>
          <w:rFonts w:ascii="PT Astra Serif" w:hAnsi="PT Astra Serif"/>
          <w:sz w:val="24"/>
          <w:szCs w:val="24"/>
        </w:rPr>
        <w:t xml:space="preserve">, </w:t>
      </w:r>
      <w:r>
        <w:rPr>
          <w:rFonts w:ascii="PT Astra Serif" w:hAnsi="PT Astra Serif"/>
        </w:rPr>
        <w:t xml:space="preserve">ООО «Лес-Экспорт»;</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в энергетическом комплексе АО «ТомскРТС», АО «Томская Генерация»,</w:t>
      </w:r>
      <w:r>
        <w:rPr>
          <w:rFonts w:ascii="PT Astra Serif" w:hAnsi="PT Astra Serif"/>
          <w:sz w:val="24"/>
          <w:szCs w:val="24"/>
        </w:rPr>
        <w:t xml:space="preserve"> </w:t>
      </w:r>
      <w:r>
        <w:rPr>
          <w:rFonts w:ascii="PT Astra Serif" w:hAnsi="PT Astra Serif"/>
          <w:sz w:val="24"/>
          <w:szCs w:val="24"/>
        </w:rPr>
        <w:t xml:space="preserve">ООО</w:t>
      </w:r>
      <w:r>
        <w:rPr>
          <w:rFonts w:ascii="PT Astra Serif" w:hAnsi="PT Astra Serif"/>
          <w:sz w:val="24"/>
          <w:szCs w:val="24"/>
        </w:rPr>
        <w:t xml:space="preserve"> </w:t>
      </w:r>
      <w:r>
        <w:rPr>
          <w:rFonts w:ascii="PT Astra Serif" w:hAnsi="PT Astra Serif"/>
          <w:sz w:val="24"/>
          <w:szCs w:val="24"/>
        </w:rPr>
        <w:t xml:space="preserve">«Горсети», ПАО «ТРК», ООО «Газпром Газораспределение Томск»;</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в сфере водоснабжения и водоотведения ООО «Томскводоканал», </w:t>
      </w:r>
      <w:r>
        <w:rPr>
          <w:rFonts w:ascii="PT Astra Serif" w:hAnsi="PT Astra Serif"/>
          <w:sz w:val="24"/>
          <w:szCs w:val="24"/>
        </w:rPr>
        <w:t xml:space="preserve">ФЛ «Северский» ФГУП «НО РАО»</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в телекоммуникационной отрасли: ПАО «Ростелеком», ПАО «Мегафон», ПАО</w:t>
      </w:r>
      <w:r>
        <w:rPr>
          <w:rFonts w:ascii="PT Astra Serif" w:hAnsi="PT Astra Serif"/>
          <w:sz w:val="24"/>
          <w:szCs w:val="24"/>
        </w:rPr>
        <w:t xml:space="preserve"> </w:t>
      </w:r>
      <w:r>
        <w:rPr>
          <w:rFonts w:ascii="PT Astra Serif" w:hAnsi="PT Astra Serif"/>
          <w:sz w:val="24"/>
          <w:szCs w:val="24"/>
        </w:rPr>
        <w:t xml:space="preserve">«Вымпелком», АО «Эр-Телеком Холдинг», ООО «Т2 Мобайл»;</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в жилищном строительстве: ООО «СЗ «Карьероуправление», ОАО «ТДСК», ЗАО</w:t>
      </w:r>
      <w:r>
        <w:rPr>
          <w:rFonts w:ascii="PT Astra Serif" w:hAnsi="PT Astra Serif"/>
          <w:sz w:val="24"/>
          <w:szCs w:val="24"/>
        </w:rPr>
        <w:t xml:space="preserve"> </w:t>
      </w:r>
      <w:r>
        <w:rPr>
          <w:rFonts w:ascii="PT Astra Serif" w:hAnsi="PT Astra Serif"/>
          <w:sz w:val="24"/>
          <w:szCs w:val="24"/>
        </w:rPr>
        <w:t xml:space="preserve">«ТОМ-ДОМ», ЗАО «ТОМ-ДОМ ТДСК»;</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в сфере научных исследований и разработок: АО «НПФ «Микран», АО</w:t>
      </w:r>
      <w:r>
        <w:rPr>
          <w:rFonts w:ascii="PT Astra Serif" w:hAnsi="PT Astra Serif"/>
          <w:sz w:val="24"/>
          <w:szCs w:val="24"/>
        </w:rPr>
        <w:t xml:space="preserve"> </w:t>
      </w:r>
      <w:r>
        <w:rPr>
          <w:rFonts w:ascii="PT Astra Serif" w:hAnsi="PT Astra Serif"/>
          <w:sz w:val="24"/>
          <w:szCs w:val="24"/>
        </w:rPr>
        <w:t xml:space="preserve">«НИИПП», АО «НПЦ «Полюс», ООО «НИОСТ».</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По предварительной оценке «Инвестиции на душу населения» (по полному кругу организаций)</w:t>
      </w:r>
      <w:r>
        <w:rPr>
          <w:rFonts w:ascii="PT Astra Serif" w:hAnsi="PT Astra Serif"/>
          <w:sz w:val="24"/>
          <w:szCs w:val="24"/>
        </w:rPr>
        <w:t xml:space="preserve">,</w:t>
      </w:r>
      <w:r>
        <w:rPr>
          <w:rFonts w:ascii="PT Astra Serif" w:hAnsi="PT Astra Serif"/>
          <w:sz w:val="24"/>
          <w:szCs w:val="24"/>
        </w:rPr>
        <w:t xml:space="preserve"> Томская область со значением 142,3 тыс. рублей на человека занимает 45-е место по РФ, 6-е место в СФО, при этом среднее значение в РФ </w:t>
      </w:r>
      <w:r>
        <w:rPr>
          <w:rFonts w:ascii="PT Astra Serif" w:hAnsi="PT Astra Serif"/>
          <w:sz w:val="24"/>
          <w:szCs w:val="24"/>
        </w:rPr>
        <w:t xml:space="preserve">–</w:t>
      </w:r>
      <w:r>
        <w:rPr>
          <w:rFonts w:ascii="PT Astra Serif" w:hAnsi="PT Astra Serif"/>
          <w:sz w:val="24"/>
          <w:szCs w:val="24"/>
        </w:rPr>
        <w:t xml:space="preserve"> 232,8 тыс. рублей, в СФО - 199,3 тыс. рублей.</w:t>
      </w:r>
      <w:r>
        <w:rPr>
          <w:rFonts w:ascii="PT Astra Serif" w:hAnsi="PT Astra Serif"/>
          <w:sz w:val="24"/>
          <w:szCs w:val="24"/>
        </w:rPr>
      </w:r>
      <w:r>
        <w:rPr>
          <w:rFonts w:ascii="PT Astra Serif" w:hAnsi="PT Astra Serif"/>
          <w:sz w:val="24"/>
          <w:szCs w:val="24"/>
        </w:rPr>
      </w:r>
    </w:p>
    <w:p>
      <w:pPr>
        <w:pStyle w:val="1165"/>
        <w:ind w:firstLine="709"/>
        <w:jc w:val="both"/>
        <w:rPr>
          <w:color w:val="auto"/>
        </w:rPr>
      </w:pPr>
      <w:r>
        <w:rPr>
          <w:color w:val="auto"/>
        </w:rPr>
        <w:t xml:space="preserve">В то же время с</w:t>
      </w:r>
      <w:r>
        <w:rPr>
          <w:color w:val="auto"/>
        </w:rPr>
        <w:t xml:space="preserve">нижение инвестиций отмечено в сферах: сельское хозяйство (80,8%), торговля оптовая и розничная; ремонт автотранспортных средств и мотоциклов (92,0%), деятельность финансовая и страховая (37,5%), деятельность профессиональная, научная и техническая (95,2%).</w:t>
      </w:r>
      <w:r>
        <w:rPr>
          <w:color w:val="auto"/>
        </w:rPr>
      </w:r>
      <w:r>
        <w:rPr>
          <w:color w:val="auto"/>
        </w:rPr>
      </w:r>
    </w:p>
    <w:p>
      <w:pPr>
        <w:pStyle w:val="1154"/>
        <w:ind w:firstLine="709"/>
        <w:jc w:val="both"/>
        <w:rPr>
          <w:rFonts w:ascii="PT Astra Serif" w:hAnsi="PT Astra Serif" w:eastAsiaTheme="minorHAnsi"/>
          <w:lang w:eastAsia="en-US"/>
        </w:rPr>
      </w:pPr>
      <w:r>
        <w:rPr>
          <w:rFonts w:ascii="PT Astra Serif" w:hAnsi="PT Astra Serif" w:eastAsiaTheme="minorHAnsi"/>
          <w:lang w:eastAsia="en-US"/>
        </w:rPr>
        <w:t xml:space="preserve">Интегральный индекс Томской области в Национальном рейтинге состояния инвестиционного климата в субъектах Российской Федерации (далее - Рейтинг) составил 253,3 балла (+8,67 балла). Регион занял 22</w:t>
      </w:r>
      <w:r>
        <w:rPr>
          <w:rFonts w:ascii="PT Astra Serif" w:hAnsi="PT Astra Serif" w:eastAsiaTheme="minorHAnsi"/>
          <w:lang w:eastAsia="en-US"/>
        </w:rPr>
        <w:t xml:space="preserve">-е</w:t>
      </w:r>
      <w:r>
        <w:rPr>
          <w:rFonts w:ascii="PT Astra Serif" w:hAnsi="PT Astra Serif" w:eastAsiaTheme="minorHAnsi"/>
          <w:lang w:eastAsia="en-US"/>
        </w:rPr>
        <w:t xml:space="preserve"> место среди 85 субъектов Российской Федерации, распределенных по 37 местам (в 2022 г</w:t>
      </w:r>
      <w:r>
        <w:rPr>
          <w:rFonts w:ascii="PT Astra Serif" w:hAnsi="PT Astra Serif" w:eastAsiaTheme="minorHAnsi"/>
          <w:lang w:eastAsia="en-US"/>
        </w:rPr>
        <w:t xml:space="preserve">оду</w:t>
      </w:r>
      <w:r>
        <w:rPr>
          <w:rFonts w:ascii="PT Astra Serif" w:hAnsi="PT Astra Serif" w:eastAsiaTheme="minorHAnsi"/>
          <w:lang w:eastAsia="en-US"/>
        </w:rPr>
        <w:t xml:space="preserve"> 24</w:t>
      </w:r>
      <w:r>
        <w:rPr>
          <w:rFonts w:ascii="PT Astra Serif" w:hAnsi="PT Astra Serif" w:eastAsiaTheme="minorHAnsi"/>
          <w:lang w:eastAsia="en-US"/>
        </w:rPr>
        <w:t xml:space="preserve">-е</w:t>
      </w:r>
      <w:r>
        <w:rPr>
          <w:rFonts w:ascii="PT Astra Serif" w:hAnsi="PT Astra Serif" w:eastAsiaTheme="minorHAnsi"/>
          <w:lang w:eastAsia="en-US"/>
        </w:rPr>
        <w:t xml:space="preserve"> место из 34). Среди регионов СФО Томская область заняла 4</w:t>
      </w:r>
      <w:r>
        <w:rPr>
          <w:rFonts w:ascii="PT Astra Serif" w:hAnsi="PT Astra Serif" w:eastAsiaTheme="minorHAnsi"/>
          <w:lang w:eastAsia="en-US"/>
        </w:rPr>
        <w:t xml:space="preserve">-е</w:t>
      </w:r>
      <w:r>
        <w:rPr>
          <w:rFonts w:ascii="PT Astra Serif" w:hAnsi="PT Astra Serif" w:eastAsiaTheme="minorHAnsi"/>
          <w:lang w:eastAsia="en-US"/>
        </w:rPr>
        <w:t xml:space="preserve"> место, улучшив свои позиции (в 2022 г</w:t>
      </w:r>
      <w:r>
        <w:rPr>
          <w:rFonts w:ascii="PT Astra Serif" w:hAnsi="PT Astra Serif" w:eastAsiaTheme="minorHAnsi"/>
          <w:lang w:eastAsia="en-US"/>
        </w:rPr>
        <w:t xml:space="preserve">оду</w:t>
      </w:r>
      <w:r>
        <w:rPr>
          <w:rFonts w:ascii="PT Astra Serif" w:hAnsi="PT Astra Serif" w:eastAsiaTheme="minorHAnsi"/>
          <w:lang w:eastAsia="en-US"/>
        </w:rPr>
        <w:t xml:space="preserve"> – 8 место).</w:t>
      </w:r>
      <w:r>
        <w:rPr>
          <w:rFonts w:ascii="PT Astra Serif" w:hAnsi="PT Astra Serif" w:eastAsiaTheme="minorHAnsi"/>
          <w:lang w:eastAsia="en-US"/>
        </w:rPr>
      </w:r>
      <w:r>
        <w:rPr>
          <w:rFonts w:ascii="PT Astra Serif" w:hAnsi="PT Astra Serif" w:eastAsiaTheme="minorHAnsi"/>
          <w:lang w:eastAsia="en-US"/>
        </w:rPr>
      </w:r>
    </w:p>
    <w:p>
      <w:pPr>
        <w:contextualSpacing/>
        <w:ind w:firstLine="709"/>
        <w:jc w:val="both"/>
        <w:spacing w:after="0" w:line="240" w:lineRule="auto"/>
        <w:widowControl w:val="off"/>
        <w:rPr>
          <w:rFonts w:ascii="PT Astra Serif" w:hAnsi="PT Astra Serif"/>
          <w:sz w:val="24"/>
          <w:szCs w:val="24"/>
        </w:rPr>
      </w:pPr>
      <w:r>
        <w:rPr>
          <w:rFonts w:ascii="PT Astra Serif" w:hAnsi="PT Astra Serif"/>
          <w:sz w:val="24"/>
          <w:szCs w:val="24"/>
        </w:rPr>
        <w:t xml:space="preserve">Высокие оценки получены по показателям, характеризующим эффективность процедур по выдаче раз</w:t>
      </w:r>
      <w:r>
        <w:rPr>
          <w:rFonts w:ascii="PT Astra Serif" w:hAnsi="PT Astra Serif"/>
          <w:sz w:val="24"/>
          <w:szCs w:val="24"/>
        </w:rPr>
        <w:t xml:space="preserve">решений на ввод объектов в эксплуатацию, постановке земельных участков на кадастровый учет, уровень силового давления на бизнес, качество Инвестиционного портала Томской области и портала по вопросам поддержки МСП, качество и доступность трудовых ресурсов.</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widowControl w:val="off"/>
        <w:rPr>
          <w:rFonts w:ascii="PT Astra Serif" w:hAnsi="PT Astra Serif"/>
          <w:sz w:val="24"/>
          <w:szCs w:val="24"/>
        </w:rPr>
      </w:pPr>
      <w:r>
        <w:rPr>
          <w:rFonts w:ascii="PT Astra Serif" w:hAnsi="PT Astra Serif"/>
          <w:sz w:val="24"/>
          <w:szCs w:val="24"/>
        </w:rPr>
        <w:t xml:space="preserve">Низкие значения при оценке показа</w:t>
      </w:r>
      <w:r>
        <w:rPr>
          <w:rFonts w:ascii="PT Astra Serif" w:hAnsi="PT Astra Serif"/>
          <w:sz w:val="24"/>
          <w:szCs w:val="24"/>
        </w:rPr>
        <w:t xml:space="preserve">телей рейтинга получены по процедурам выдачи разрешения на строительство, подключения к электрическим сетям, получения земельных участков (с проведением торгов), а также по показателям, характеризующим качество и доступность мер государственной поддержки. </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widowControl w:val="off"/>
        <w:rPr>
          <w:rFonts w:ascii="PT Astra Serif" w:hAnsi="PT Astra Serif"/>
          <w:sz w:val="24"/>
          <w:szCs w:val="24"/>
        </w:rPr>
      </w:pPr>
      <w:r>
        <w:rPr>
          <w:rFonts w:ascii="PT Astra Serif" w:hAnsi="PT Astra Serif"/>
          <w:sz w:val="24"/>
          <w:szCs w:val="24"/>
        </w:rPr>
        <w:t xml:space="preserve">В 2023 году на территории Томской области осуществлялась реализация более 370</w:t>
      </w:r>
      <w:r>
        <w:rPr>
          <w:rFonts w:ascii="PT Astra Serif" w:hAnsi="PT Astra Serif"/>
          <w:sz w:val="24"/>
          <w:szCs w:val="24"/>
        </w:rPr>
        <w:t xml:space="preserve"> </w:t>
      </w:r>
      <w:r>
        <w:rPr>
          <w:rFonts w:ascii="PT Astra Serif" w:hAnsi="PT Astra Serif"/>
          <w:sz w:val="24"/>
          <w:szCs w:val="24"/>
        </w:rPr>
        <w:t xml:space="preserve">инвестиционных проектов во всех базовых отраслях и сферах экономики региона, направленных на создание (модернизацию, расширение) производственных мощностей и инфраструктуры с общим объемом инвестиций более 885 </w:t>
      </w:r>
      <w:r>
        <w:rPr>
          <w:rFonts w:ascii="PT Astra Serif" w:hAnsi="PT Astra Serif"/>
          <w:sz w:val="24"/>
          <w:szCs w:val="24"/>
        </w:rPr>
        <w:t xml:space="preserve">млрд</w:t>
      </w:r>
      <w:r>
        <w:rPr>
          <w:rFonts w:ascii="PT Astra Serif" w:hAnsi="PT Astra Serif"/>
          <w:sz w:val="24"/>
          <w:szCs w:val="24"/>
        </w:rPr>
        <w:t xml:space="preserve"> </w:t>
      </w:r>
      <w:r>
        <w:rPr>
          <w:rFonts w:ascii="PT Astra Serif" w:hAnsi="PT Astra Serif"/>
          <w:sz w:val="24"/>
          <w:szCs w:val="24"/>
        </w:rPr>
        <w:t xml:space="preserve">рублей.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Продолжилась реализация 4 </w:t>
      </w:r>
      <w:r>
        <w:rPr>
          <w:rFonts w:ascii="PT Astra Serif" w:hAnsi="PT Astra Serif"/>
          <w:sz w:val="24"/>
          <w:szCs w:val="24"/>
        </w:rPr>
        <w:t xml:space="preserve">ключевых </w:t>
      </w:r>
      <w:r>
        <w:rPr>
          <w:rFonts w:ascii="PT Astra Serif" w:hAnsi="PT Astra Serif"/>
          <w:sz w:val="24"/>
          <w:szCs w:val="24"/>
        </w:rPr>
        <w:t xml:space="preserve">инвестиционных проектов, курируемых заместителем Председателя Правительства Росс</w:t>
      </w:r>
      <w:r>
        <w:rPr>
          <w:rFonts w:ascii="PT Astra Serif" w:hAnsi="PT Astra Serif"/>
          <w:sz w:val="24"/>
          <w:szCs w:val="24"/>
        </w:rPr>
        <w:t xml:space="preserve">ийской Федерации Абрамченко В.В.</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промышленная</w:t>
      </w:r>
      <w:r>
        <w:rPr>
          <w:rFonts w:ascii="PT Astra Serif" w:hAnsi="PT Astra Serif"/>
          <w:sz w:val="24"/>
          <w:szCs w:val="24"/>
        </w:rPr>
        <w:t xml:space="preserve"> разработк</w:t>
      </w:r>
      <w:r>
        <w:rPr>
          <w:rFonts w:ascii="PT Astra Serif" w:hAnsi="PT Astra Serif"/>
          <w:sz w:val="24"/>
          <w:szCs w:val="24"/>
        </w:rPr>
        <w:t xml:space="preserve">а</w:t>
      </w:r>
      <w:r>
        <w:rPr>
          <w:rFonts w:ascii="PT Astra Serif" w:hAnsi="PT Astra Serif"/>
          <w:sz w:val="24"/>
          <w:szCs w:val="24"/>
        </w:rPr>
        <w:t xml:space="preserve"> Туганского ильменит-циркониевого россыпного месторождения (АО «ТГОК «Ильменит»);</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расширени</w:t>
      </w:r>
      <w:r>
        <w:rPr>
          <w:rFonts w:ascii="PT Astra Serif" w:hAnsi="PT Astra Serif"/>
          <w:sz w:val="24"/>
          <w:szCs w:val="24"/>
        </w:rPr>
        <w:t xml:space="preserve">е</w:t>
      </w:r>
      <w:r>
        <w:rPr>
          <w:rFonts w:ascii="PT Astra Serif" w:hAnsi="PT Astra Serif"/>
          <w:sz w:val="24"/>
          <w:szCs w:val="24"/>
        </w:rPr>
        <w:t xml:space="preserve"> комплекса по приемке, хранению и переработке масличных и зерновых культур (ООО «Сибирская олива») (2 этап);</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промышленно</w:t>
      </w:r>
      <w:r>
        <w:rPr>
          <w:rFonts w:ascii="PT Astra Serif" w:hAnsi="PT Astra Serif"/>
          <w:sz w:val="24"/>
          <w:szCs w:val="24"/>
        </w:rPr>
        <w:t xml:space="preserve">е</w:t>
      </w:r>
      <w:r>
        <w:rPr>
          <w:rFonts w:ascii="PT Astra Serif" w:hAnsi="PT Astra Serif"/>
          <w:sz w:val="24"/>
          <w:szCs w:val="24"/>
        </w:rPr>
        <w:t xml:space="preserve"> производств</w:t>
      </w:r>
      <w:r>
        <w:rPr>
          <w:rFonts w:ascii="PT Astra Serif" w:hAnsi="PT Astra Serif"/>
          <w:sz w:val="24"/>
          <w:szCs w:val="24"/>
        </w:rPr>
        <w:t xml:space="preserve">о</w:t>
      </w:r>
      <w:r>
        <w:rPr>
          <w:rFonts w:ascii="PT Astra Serif" w:hAnsi="PT Astra Serif"/>
          <w:sz w:val="24"/>
          <w:szCs w:val="24"/>
        </w:rPr>
        <w:t xml:space="preserve"> пигментного диоксида титана на основе фторидной технологии (ООО «Сибирский титан»);</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создани</w:t>
      </w:r>
      <w:r>
        <w:rPr>
          <w:rFonts w:ascii="PT Astra Serif" w:hAnsi="PT Astra Serif"/>
          <w:sz w:val="24"/>
          <w:szCs w:val="24"/>
        </w:rPr>
        <w:t xml:space="preserve">е</w:t>
      </w:r>
      <w:r>
        <w:rPr>
          <w:rFonts w:ascii="PT Astra Serif" w:hAnsi="PT Astra Serif"/>
          <w:sz w:val="24"/>
          <w:szCs w:val="24"/>
        </w:rPr>
        <w:t xml:space="preserve"> современного межвузовского кампуса в г. Томске.</w:t>
      </w:r>
      <w:r>
        <w:rPr>
          <w:rFonts w:ascii="PT Astra Serif" w:hAnsi="PT Astra Serif"/>
          <w:sz w:val="24"/>
          <w:szCs w:val="24"/>
        </w:rPr>
      </w:r>
      <w:r>
        <w:rPr>
          <w:rFonts w:ascii="PT Astra Serif" w:hAnsi="PT Astra Serif"/>
          <w:sz w:val="24"/>
          <w:szCs w:val="24"/>
        </w:rPr>
      </w:r>
    </w:p>
    <w:p>
      <w:pPr>
        <w:pStyle w:val="1154"/>
        <w:ind w:firstLine="709"/>
        <w:jc w:val="both"/>
        <w:rPr>
          <w:rFonts w:ascii="PT Astra Serif" w:hAnsi="PT Astra Serif"/>
        </w:rPr>
      </w:pPr>
      <w:r>
        <w:rPr>
          <w:rFonts w:ascii="PT Astra Serif" w:hAnsi="PT Astra Serif"/>
        </w:rPr>
        <w:t xml:space="preserve">Осуществлена государственная поддержка инвестиционной деятельности: предоставлены налоговые льготы 3 предприятиям (АО «ТГОК «Ильменит»,</w:t>
      </w:r>
      <w:r>
        <w:rPr>
          <w:rFonts w:ascii="PT Astra Serif" w:hAnsi="PT Astra Serif"/>
        </w:rPr>
        <w:t xml:space="preserve"> </w:t>
      </w:r>
      <w:r>
        <w:rPr>
          <w:rFonts w:ascii="PT Astra Serif" w:hAnsi="PT Astra Serif"/>
        </w:rPr>
        <w:t xml:space="preserve">ООО</w:t>
      </w:r>
      <w:r>
        <w:rPr>
          <w:rFonts w:ascii="PT Astra Serif" w:hAnsi="PT Astra Serif"/>
        </w:rPr>
        <w:t xml:space="preserve"> </w:t>
      </w:r>
      <w:r>
        <w:rPr>
          <w:rFonts w:ascii="PT Astra Serif" w:hAnsi="PT Astra Serif"/>
        </w:rPr>
        <w:t xml:space="preserve">«НПО</w:t>
      </w:r>
      <w:r>
        <w:rPr>
          <w:rFonts w:ascii="PT Astra Serif" w:hAnsi="PT Astra Serif"/>
        </w:rPr>
        <w:t xml:space="preserve"> </w:t>
      </w:r>
      <w:r>
        <w:rPr>
          <w:rFonts w:ascii="PT Astra Serif" w:hAnsi="PT Astra Serif"/>
        </w:rPr>
        <w:t xml:space="preserve">«РеаСиб», ООО «Газпромнефть-Восток»), субсидии – 8 предприятиям (ООО</w:t>
      </w:r>
      <w:r>
        <w:rPr>
          <w:rFonts w:ascii="PT Astra Serif" w:hAnsi="PT Astra Serif"/>
        </w:rPr>
        <w:t xml:space="preserve"> </w:t>
      </w:r>
      <w:r>
        <w:rPr>
          <w:rFonts w:ascii="PT Astra Serif" w:hAnsi="PT Astra Serif"/>
        </w:rPr>
        <w:t xml:space="preserve">«Фирма «Биоветсервис», ООО «Компания Эскимос», ООО «Томские мебельные фасады», ООО «Томфрезер», ООО «Люмена», ООО «Чистый мир», ИП С.П.</w:t>
      </w:r>
      <w:r>
        <w:rPr>
          <w:rFonts w:ascii="PT Astra Serif" w:hAnsi="PT Astra Serif"/>
        </w:rPr>
        <w:t xml:space="preserve"> </w:t>
      </w:r>
      <w:r>
        <w:rPr>
          <w:rFonts w:ascii="PT Astra Serif" w:hAnsi="PT Astra Serif"/>
        </w:rPr>
        <w:t xml:space="preserve">Гагалинскому, ООО «РБ и К»).</w:t>
      </w:r>
      <w:r>
        <w:rPr>
          <w:rFonts w:ascii="PT Astra Serif" w:hAnsi="PT Astra Serif"/>
        </w:rPr>
      </w:r>
      <w:r>
        <w:rPr>
          <w:rFonts w:ascii="PT Astra Serif" w:hAnsi="PT Astra Serif"/>
        </w:rPr>
      </w:r>
    </w:p>
    <w:p>
      <w:pPr>
        <w:contextualSpacing/>
        <w:ind w:firstLine="709"/>
        <w:jc w:val="both"/>
        <w:spacing w:after="0" w:line="240" w:lineRule="auto"/>
        <w:widowControl w:val="off"/>
        <w:rPr>
          <w:rFonts w:ascii="PT Astra Serif" w:hAnsi="PT Astra Serif"/>
          <w:sz w:val="24"/>
          <w:szCs w:val="24"/>
        </w:rPr>
      </w:pPr>
      <w:r>
        <w:rPr>
          <w:rFonts w:ascii="PT Astra Serif" w:hAnsi="PT Astra Serif"/>
          <w:sz w:val="24"/>
          <w:szCs w:val="24"/>
        </w:rPr>
        <w:t xml:space="preserve">Расширены меры стимулирования инвестиционной деятельности:</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widowControl w:val="off"/>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ежегодный объем субсидий, предоставляемых в рамках реализации инвестиционных проектов, увеличен поч</w:t>
      </w:r>
      <w:r>
        <w:rPr>
          <w:rFonts w:ascii="PT Astra Serif" w:hAnsi="PT Astra Serif"/>
          <w:sz w:val="24"/>
          <w:szCs w:val="24"/>
        </w:rPr>
        <w:t xml:space="preserve">ти в 2 раза (с 18,4 до 30,3 млн</w:t>
      </w:r>
      <w:r>
        <w:rPr>
          <w:rFonts w:ascii="PT Astra Serif" w:hAnsi="PT Astra Serif"/>
          <w:sz w:val="24"/>
          <w:szCs w:val="24"/>
        </w:rPr>
        <w:t xml:space="preserve"> рублей);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инвесторам предоставлено право на получени</w:t>
      </w:r>
      <w:r>
        <w:rPr>
          <w:rFonts w:ascii="PT Astra Serif" w:hAnsi="PT Astra Serif"/>
          <w:sz w:val="24"/>
          <w:szCs w:val="24"/>
        </w:rPr>
        <w:t xml:space="preserve">е льгот по разным налогам в рамках одного инвестиционного проекта, право на получение льгот по одним и тем же налогам в рамках разных инвестиционных проектов, а также право воспользоваться налоговыми льготами одновременно по общим и специальным основаниям;</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сокращен перечень документов, представляемых инвесторами для получения налоговых льгот и субсидий в рамках реализации инвестиционных проектов;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инвесторам предоставлено право на получение субсидий в целях возмещения части затрат по рефинансированным кредитным договорам;</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инвесторам – получателям субсидий предоставлено право на частичный (взамен полного) возврат субсидий в объеме неисполненных обязательств по достижению результата предоставления субсидий.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Реализованы меры по развитию элементов существующей инвестиционной инфраструктуры, включая содействие привлечению резидентов.</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Общее количество резидентов промышленного парка «</w:t>
      </w:r>
      <w:r>
        <w:rPr>
          <w:rFonts w:ascii="PT Astra Serif" w:hAnsi="PT Astra Serif"/>
          <w:sz w:val="24"/>
          <w:szCs w:val="24"/>
        </w:rPr>
        <w:t xml:space="preserve">Томск» по итогам года – 12 субъектов малого и среднего предпринимательства. За 2023 год Координационным советом по поддержке инвестиционной деятельности и предоставлению государственных гарантий принято решение о присвоении статуса резидента 1 организации </w:t>
      </w:r>
      <w:r>
        <w:rPr>
          <w:rFonts w:ascii="PT Astra Serif" w:hAnsi="PT Astra Serif"/>
          <w:sz w:val="24"/>
          <w:szCs w:val="24"/>
        </w:rPr>
        <w:t xml:space="preserve">–</w:t>
      </w:r>
      <w:r>
        <w:rPr>
          <w:rFonts w:ascii="PT Astra Serif" w:hAnsi="PT Astra Serif"/>
          <w:sz w:val="24"/>
          <w:szCs w:val="24"/>
        </w:rPr>
        <w:t xml:space="preserve"> ООО «ЛогистИнвестСтрой</w:t>
      </w:r>
      <w:r>
        <w:rPr>
          <w:rFonts w:ascii="PT Astra Serif" w:hAnsi="PT Astra Serif"/>
          <w:sz w:val="24"/>
          <w:szCs w:val="24"/>
        </w:rPr>
        <w:t xml:space="preserve">»</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За 2023 год заключены соглашения об осуществлении технико-внедренческой деятельности в ОЭЗ </w:t>
      </w:r>
      <w:r>
        <w:rPr>
          <w:rFonts w:ascii="PT Astra Serif" w:hAnsi="PT Astra Serif"/>
          <w:sz w:val="24"/>
          <w:szCs w:val="24"/>
        </w:rPr>
        <w:t xml:space="preserve">ТВТ </w:t>
      </w:r>
      <w:r>
        <w:rPr>
          <w:rFonts w:ascii="PT Astra Serif" w:hAnsi="PT Astra Serif"/>
          <w:sz w:val="24"/>
          <w:szCs w:val="24"/>
        </w:rPr>
        <w:t xml:space="preserve">с 2 новыми резидентами – ООО «Нова-Хелс» и ООО</w:t>
      </w:r>
      <w:r>
        <w:rPr>
          <w:rFonts w:ascii="PT Astra Serif" w:hAnsi="PT Astra Serif"/>
          <w:sz w:val="24"/>
          <w:szCs w:val="24"/>
        </w:rPr>
        <w:t xml:space="preserve"> </w:t>
      </w:r>
      <w:r>
        <w:rPr>
          <w:rFonts w:ascii="PT Astra Serif" w:hAnsi="PT Astra Serif"/>
          <w:sz w:val="24"/>
          <w:szCs w:val="24"/>
        </w:rPr>
        <w:t xml:space="preserve">«Технологии машинного зрения». Общее количество резидентов ОЭЗ по итогам года – 39.</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IV квартале 2023 года управляющей компанией АО «ОЭЗ ТВТ «Томск» заключен контракт на строительство </w:t>
      </w:r>
      <w:r>
        <w:rPr>
          <w:rFonts w:ascii="PT Astra Serif" w:hAnsi="PT Astra Serif"/>
          <w:sz w:val="24"/>
          <w:szCs w:val="24"/>
        </w:rPr>
        <w:t xml:space="preserve">лабораторного корпуса </w:t>
      </w:r>
      <w:r>
        <w:rPr>
          <w:rFonts w:ascii="PT Astra Serif" w:hAnsi="PT Astra Serif"/>
          <w:sz w:val="24"/>
          <w:szCs w:val="24"/>
        </w:rPr>
        <w:t xml:space="preserve">Инжинирингового центра</w:t>
      </w:r>
      <w:r>
        <w:rPr>
          <w:rFonts w:ascii="PT Astra Serif" w:hAnsi="PT Astra Serif"/>
          <w:sz w:val="24"/>
          <w:szCs w:val="24"/>
        </w:rPr>
        <w:t xml:space="preserve"> </w:t>
      </w:r>
      <w:r>
        <w:rPr>
          <w:rFonts w:ascii="PT Astra Serif" w:hAnsi="PT Astra Serif"/>
          <w:sz w:val="24"/>
          <w:szCs w:val="24"/>
        </w:rPr>
        <w:t xml:space="preserve">общей площадью более 6,9 тыс. кв. м.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Для привл</w:t>
      </w:r>
      <w:r>
        <w:rPr>
          <w:rFonts w:ascii="PT Astra Serif" w:hAnsi="PT Astra Serif"/>
          <w:sz w:val="24"/>
          <w:szCs w:val="24"/>
        </w:rPr>
        <w:t xml:space="preserve">ечения федерального финансирования на завершение строительства административного корпуса Инжинирингового центра (площадью 14,2 тыс. кв. м.) и Экспоцентра (площадью 6,5 тыс. кв. м.) Администрацией Томской области прорабатывается возможность включения указан</w:t>
      </w:r>
      <w:r>
        <w:rPr>
          <w:rFonts w:ascii="PT Astra Serif" w:hAnsi="PT Astra Serif"/>
          <w:sz w:val="24"/>
          <w:szCs w:val="24"/>
        </w:rPr>
        <w:t xml:space="preserve">ных объектов инфраструктуры ОЭЗ </w:t>
      </w:r>
      <w:r>
        <w:rPr>
          <w:rFonts w:ascii="PT Astra Serif" w:hAnsi="PT Astra Serif"/>
          <w:sz w:val="24"/>
          <w:szCs w:val="24"/>
        </w:rPr>
        <w:t xml:space="preserve">ТВТ в федеральную адресную инвестиционную программу.</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в ТОР «Северск» появилось 2 новых резидента: ООО «ЭкоПром» и ООО «Сибэкологистика». Общее количество резидентов ТОР «Северск» по итогам года – 25.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рамках механизма инфраструктурной</w:t>
      </w:r>
      <w:r>
        <w:rPr>
          <w:rFonts w:ascii="PT Astra Serif" w:hAnsi="PT Astra Serif"/>
          <w:sz w:val="24"/>
          <w:szCs w:val="24"/>
        </w:rPr>
        <w:t xml:space="preserve"> поддержки новых инвестиционных проектов за счет высвобождаемых в результате реструктуризации бюджетной задолженности перед федеральным бюджетом средств областного бюджета (постановление Правительства Российской Федерации от 19.10.2020 № 1704) в 2023 году:</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в сводный перечень включен новый инвестиционный проект по строительству нового аэровокзального комплекса внутренних воздушных линий международного аэропорта Томск (ООО «Аэропорт ТОМСК»);</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списана задолженность Томской области по бюджетным кредитам в объеме поступления в 2022 году в федеральный бюджет налоговых доходов от реализации нового инвестиционного проекта по строительству газовых котельных Асиновского городского поселе</w:t>
      </w:r>
      <w:r>
        <w:rPr>
          <w:rFonts w:ascii="PT Astra Serif" w:hAnsi="PT Astra Serif"/>
          <w:sz w:val="24"/>
          <w:szCs w:val="24"/>
        </w:rPr>
        <w:t xml:space="preserve">ния Асиновского района (0,4 млн</w:t>
      </w:r>
      <w:r>
        <w:rPr>
          <w:rFonts w:ascii="PT Astra Serif" w:hAnsi="PT Astra Serif"/>
          <w:sz w:val="24"/>
          <w:szCs w:val="24"/>
        </w:rPr>
        <w:t xml:space="preserve"> рублей).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Осуществлено информационное обеспечение инвесторов посредством Инвестиционного портала Томской области, канала прямой связи инвесторов</w:t>
      </w:r>
      <w:r>
        <w:rPr>
          <w:rFonts w:ascii="PT Astra Serif" w:hAnsi="PT Astra Serif"/>
          <w:sz w:val="24"/>
          <w:szCs w:val="24"/>
        </w:rPr>
        <w:t xml:space="preserve"> и социальных сетей, а также путем проведения информационных кампаний. Проведены рекламные кампании по вопросам улучшения инвестиционного климата, в том числе об условиях внедрения в Томской области регионального и муниципального инвестиционного стандарта.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Реализуются две большие концессии: по строительству межвузовского кампуса и автоматизированного мусоросортировочного комплекса.</w:t>
      </w:r>
      <w:r>
        <w:rPr>
          <w:rFonts w:ascii="PT Astra Serif" w:hAnsi="PT Astra Serif"/>
          <w:sz w:val="24"/>
          <w:szCs w:val="24"/>
        </w:rPr>
      </w:r>
      <w:r>
        <w:rPr>
          <w:rFonts w:ascii="PT Astra Serif" w:hAnsi="PT Astra Serif"/>
          <w:sz w:val="24"/>
          <w:szCs w:val="24"/>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52"/>
        <w:ind w:left="0" w:firstLine="709"/>
        <w:jc w:val="both"/>
        <w:spacing w:after="0" w:line="240" w:lineRule="auto"/>
        <w:widowControl w:val="off"/>
        <w:rPr>
          <w:rFonts w:ascii="PT Astra Serif" w:hAnsi="PT Astra Serif"/>
          <w:sz w:val="24"/>
          <w:szCs w:val="24"/>
        </w:rPr>
      </w:pPr>
      <w:r>
        <w:rPr>
          <w:rFonts w:ascii="PT Astra Serif" w:hAnsi="PT Astra Serif"/>
          <w:sz w:val="24"/>
          <w:szCs w:val="24"/>
        </w:rPr>
        <w:t xml:space="preserve">1. Организация системной работы по сопровождению инвестиционных проектов муниципальными образованиями.</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widowControl w:val="off"/>
        <w:rPr>
          <w:rFonts w:ascii="PT Astra Serif" w:hAnsi="PT Astra Serif"/>
          <w:sz w:val="24"/>
          <w:szCs w:val="24"/>
        </w:rPr>
      </w:pPr>
      <w:r>
        <w:rPr>
          <w:rFonts w:ascii="PT Astra Serif" w:hAnsi="PT Astra Serif"/>
          <w:sz w:val="24"/>
          <w:szCs w:val="24"/>
        </w:rPr>
        <w:t xml:space="preserve">2. Расширение мер стимулирования инвесторов.</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widowControl w:val="off"/>
        <w:rPr>
          <w:rFonts w:ascii="PT Astra Serif" w:hAnsi="PT Astra Serif"/>
          <w:sz w:val="24"/>
          <w:szCs w:val="24"/>
        </w:rPr>
      </w:pPr>
      <w:r>
        <w:rPr>
          <w:rFonts w:ascii="PT Astra Serif" w:hAnsi="PT Astra Serif"/>
          <w:sz w:val="24"/>
          <w:szCs w:val="24"/>
        </w:rPr>
        <w:t xml:space="preserve">3. Развитие площадок инвестиционной инфраструктуры.</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widowControl w:val="off"/>
        <w:rPr>
          <w:rFonts w:ascii="PT Astra Serif" w:hAnsi="PT Astra Serif"/>
          <w:sz w:val="24"/>
          <w:szCs w:val="24"/>
        </w:rPr>
      </w:pPr>
      <w:r>
        <w:rPr>
          <w:rFonts w:ascii="PT Astra Serif" w:hAnsi="PT Astra Serif"/>
          <w:sz w:val="24"/>
          <w:szCs w:val="24"/>
        </w:rPr>
        <w:t xml:space="preserve">4. Реализация мероприятий по созданию промышленных кластеров.</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widowControl w:val="off"/>
        <w:rPr>
          <w:rFonts w:ascii="PT Astra Serif" w:hAnsi="PT Astra Serif"/>
          <w:sz w:val="24"/>
          <w:szCs w:val="24"/>
        </w:rPr>
      </w:pPr>
      <w:r>
        <w:rPr>
          <w:rFonts w:ascii="PT Astra Serif" w:hAnsi="PT Astra Serif"/>
          <w:sz w:val="24"/>
          <w:szCs w:val="24"/>
        </w:rPr>
        <w:t xml:space="preserve">5. Содействие в реализации инвестиционных проектов, в том числе организационное сопровождение инвесторов. </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widowControl w:val="off"/>
        <w:rPr>
          <w:rFonts w:ascii="PT Astra Serif" w:hAnsi="PT Astra Serif"/>
          <w:sz w:val="24"/>
          <w:szCs w:val="24"/>
        </w:rPr>
      </w:pPr>
      <w:r>
        <w:rPr>
          <w:rFonts w:ascii="PT Astra Serif" w:hAnsi="PT Astra Serif"/>
          <w:sz w:val="24"/>
          <w:szCs w:val="24"/>
        </w:rPr>
        <w:t xml:space="preserve">6. Расширение практики применения механизмо</w:t>
      </w:r>
      <w:r>
        <w:rPr>
          <w:rFonts w:ascii="PT Astra Serif" w:hAnsi="PT Astra Serif"/>
          <w:sz w:val="24"/>
          <w:szCs w:val="24"/>
        </w:rPr>
        <w:t xml:space="preserve">в государственно-частного партне</w:t>
      </w:r>
      <w:r>
        <w:rPr>
          <w:rFonts w:ascii="PT Astra Serif" w:hAnsi="PT Astra Serif"/>
          <w:sz w:val="24"/>
          <w:szCs w:val="24"/>
        </w:rPr>
        <w:t xml:space="preserve">рства.</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widowControl w:val="off"/>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shd w:val="clear" w:color="auto" w:fill="eaf1dd" w:themeFill="accent3" w:themeFillTint="33"/>
        <w:tabs>
          <w:tab w:val="left" w:pos="4962" w:leader="none"/>
        </w:tabs>
        <w:rPr>
          <w:rFonts w:ascii="PT Astra Serif" w:hAnsi="PT Astra Serif" w:eastAsia="Times New Roman"/>
          <w:b/>
          <w:sz w:val="24"/>
          <w:szCs w:val="24"/>
        </w:rPr>
      </w:pPr>
      <w:r>
        <w:rPr>
          <w:rFonts w:ascii="PT Astra Serif" w:hAnsi="PT Astra Serif" w:eastAsia="Times New Roman"/>
          <w:b/>
          <w:sz w:val="24"/>
          <w:szCs w:val="24"/>
          <w:shd w:val="clear" w:color="auto" w:fill="eaf1dd" w:themeFill="accent3" w:themeFillTint="33"/>
        </w:rPr>
        <w:t xml:space="preserve">Международная и межрегиональная деятельность</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rPr>
          <w:rFonts w:ascii="PT Astra Serif" w:hAnsi="PT Astra Serif" w:eastAsia="Calibri"/>
          <w:sz w:val="24"/>
          <w:szCs w:val="24"/>
          <w:lang w:eastAsia="ru-RU"/>
        </w:rPr>
      </w:pPr>
      <w:r>
        <w:rPr>
          <w:rFonts w:ascii="PT Astra Serif" w:hAnsi="PT Astra Serif" w:eastAsia="Calibri"/>
          <w:sz w:val="24"/>
          <w:szCs w:val="24"/>
          <w:lang w:eastAsia="ru-RU"/>
        </w:rPr>
        <w:t xml:space="preserve">Международные и внешнеэкономические связи Томской области продолжают развиваться в условиях трансформации внешней среды, начавшейся с 2022 года. В 2023 году была во многом завершена переор</w:t>
      </w:r>
      <w:r>
        <w:rPr>
          <w:rFonts w:ascii="PT Astra Serif" w:hAnsi="PT Astra Serif" w:eastAsia="Calibri"/>
          <w:sz w:val="24"/>
          <w:szCs w:val="24"/>
          <w:lang w:eastAsia="ru-RU"/>
        </w:rPr>
        <w:t xml:space="preserve">иентация внешних связей региона</w:t>
      </w:r>
      <w:r>
        <w:rPr>
          <w:rFonts w:ascii="PT Astra Serif" w:hAnsi="PT Astra Serif" w:eastAsia="Calibri"/>
          <w:sz w:val="24"/>
          <w:szCs w:val="24"/>
          <w:lang w:eastAsia="ru-RU"/>
        </w:rPr>
        <w:t xml:space="preserve"> в связи с внешними санкционными </w:t>
      </w:r>
      <w:r>
        <w:rPr>
          <w:rFonts w:ascii="PT Astra Serif" w:hAnsi="PT Astra Serif" w:eastAsia="Calibri"/>
          <w:sz w:val="24"/>
          <w:szCs w:val="24"/>
          <w:lang w:eastAsia="ru-RU"/>
        </w:rPr>
        <w:t xml:space="preserve">ограничениями со стороны недружественных стран. Основным географическим фокусом активности Томской области стали страны СНГ, Юго-Восточной Азии и Китай. Именно с партнерами из этих государств в 2023 году было организовано наибольшее количество мероприятий.</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rPr>
          <w:rFonts w:ascii="PT Astra Serif" w:hAnsi="PT Astra Serif" w:eastAsia="Calibri"/>
          <w:sz w:val="24"/>
          <w:szCs w:val="24"/>
          <w:lang w:eastAsia="ru-RU"/>
        </w:rPr>
      </w:pPr>
      <w:r>
        <w:rPr>
          <w:rFonts w:ascii="PT Astra Serif" w:hAnsi="PT Astra Serif" w:eastAsia="Calibri"/>
          <w:sz w:val="24"/>
          <w:szCs w:val="24"/>
          <w:lang w:eastAsia="ru-RU"/>
        </w:rPr>
        <w:t xml:space="preserve">Основными факторами, оказавшими влияние на внешнеэкон</w:t>
      </w:r>
      <w:r>
        <w:rPr>
          <w:rFonts w:ascii="PT Astra Serif" w:hAnsi="PT Astra Serif" w:eastAsia="Calibri"/>
          <w:sz w:val="24"/>
          <w:szCs w:val="24"/>
          <w:lang w:eastAsia="ru-RU"/>
        </w:rPr>
        <w:t xml:space="preserve">омическую деятельность, стали изменения в международной транспортной и финансовой логистике, а также отказ ряда партнеров из недружественных стран от продолжения взаимодействия. Основная деятельность исполнительных органов Томской области и региональных ин</w:t>
      </w:r>
      <w:r>
        <w:rPr>
          <w:rFonts w:ascii="PT Astra Serif" w:hAnsi="PT Astra Serif" w:eastAsia="Calibri"/>
          <w:sz w:val="24"/>
          <w:szCs w:val="24"/>
          <w:lang w:eastAsia="ru-RU"/>
        </w:rPr>
        <w:t xml:space="preserve">ститутов развития была направлена на преодоление барьеров и изменение географии внешней торговли, реализацию международных кооперационных проектов, нацеленных на опережающий рост научно-технологического развития и обеспечения технологического суверенитета.</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right"/>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right"/>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Таблица </w:t>
      </w:r>
      <w:r>
        <w:rPr>
          <w:rFonts w:ascii="PT Astra Serif" w:hAnsi="PT Astra Serif" w:eastAsia="Times New Roman"/>
          <w:sz w:val="24"/>
          <w:szCs w:val="24"/>
        </w:rPr>
        <w:t xml:space="preserve">8</w:t>
      </w:r>
      <w:r>
        <w:rPr>
          <w:rFonts w:ascii="PT Astra Serif" w:hAnsi="PT Astra Serif" w:eastAsia="Times New Roman"/>
          <w:sz w:val="24"/>
          <w:szCs w:val="24"/>
        </w:rPr>
      </w:r>
      <w:r>
        <w:rPr>
          <w:rFonts w:ascii="PT Astra Serif" w:hAnsi="PT Astra Serif" w:eastAsia="Times New Roman"/>
          <w:sz w:val="24"/>
          <w:szCs w:val="24"/>
        </w:rPr>
      </w:r>
    </w:p>
    <w:p>
      <w:pPr>
        <w:ind w:firstLine="709"/>
        <w:jc w:val="center"/>
        <w:spacing w:after="0" w:line="240" w:lineRule="auto"/>
        <w:tabs>
          <w:tab w:val="left" w:pos="4962" w:leader="none"/>
        </w:tabs>
        <w:rPr>
          <w:rFonts w:ascii="PT Astra Serif" w:hAnsi="PT Astra Serif" w:eastAsia="Times New Roman"/>
          <w:sz w:val="24"/>
          <w:szCs w:val="24"/>
        </w:rPr>
      </w:pPr>
      <w:r>
        <w:rPr>
          <w:rFonts w:ascii="PT Astra Serif" w:hAnsi="PT Astra Serif" w:eastAsia="Calibri"/>
          <w:sz w:val="24"/>
          <w:szCs w:val="24"/>
          <w:lang w:eastAsia="ru-RU"/>
        </w:rPr>
        <w:t xml:space="preserve">Структура экспорта и импорта</w:t>
      </w:r>
      <w:r>
        <w:rPr>
          <w:rFonts w:ascii="PT Astra Serif" w:hAnsi="PT Astra Serif" w:eastAsia="Calibri"/>
          <w:b/>
          <w:sz w:val="24"/>
          <w:szCs w:val="24"/>
          <w:lang w:eastAsia="ru-RU"/>
        </w:rPr>
        <w:t xml:space="preserve"> </w:t>
      </w:r>
      <w:r>
        <w:rPr>
          <w:rFonts w:ascii="PT Astra Serif" w:hAnsi="PT Astra Serif" w:eastAsia="Calibri"/>
          <w:sz w:val="24"/>
          <w:szCs w:val="24"/>
          <w:lang w:eastAsia="ru-RU"/>
        </w:rPr>
        <w:t xml:space="preserve">Томской области</w:t>
      </w:r>
      <w:r>
        <w:rPr>
          <w:rFonts w:ascii="PT Astra Serif" w:hAnsi="PT Astra Serif" w:eastAsia="Times New Roman"/>
          <w:sz w:val="24"/>
          <w:szCs w:val="24"/>
        </w:rPr>
      </w:r>
      <w:r>
        <w:rPr>
          <w:rFonts w:ascii="PT Astra Serif" w:hAnsi="PT Astra Serif" w:eastAsia="Times New Roman"/>
          <w:sz w:val="24"/>
          <w:szCs w:val="24"/>
        </w:rPr>
      </w:r>
    </w:p>
    <w:p>
      <w:pPr>
        <w:ind w:firstLine="709"/>
        <w:jc w:val="center"/>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tbl>
      <w:tblPr>
        <w:tblStyle w:val="1157"/>
        <w:tblW w:w="9180" w:type="dxa"/>
        <w:jc w:val="center"/>
        <w:tblLayout w:type="fixed"/>
        <w:tblLook w:val="04A0" w:firstRow="1" w:lastRow="0" w:firstColumn="1" w:lastColumn="0" w:noHBand="0" w:noVBand="1"/>
      </w:tblPr>
      <w:tblGrid>
        <w:gridCol w:w="1526"/>
        <w:gridCol w:w="4483"/>
        <w:gridCol w:w="3171"/>
      </w:tblGrid>
      <w:tr>
        <w:tblPrEx/>
        <w:trPr>
          <w:jc w:val="center"/>
          <w:trHeight w:val="459"/>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jc w:val="center"/>
              <w:rPr>
                <w:rFonts w:ascii="PT Astra Serif" w:hAnsi="PT Astra Serif"/>
                <w:sz w:val="24"/>
                <w:szCs w:val="24"/>
              </w:rPr>
            </w:pPr>
            <w:r>
              <w:rPr>
                <w:rFonts w:ascii="PT Astra Serif" w:hAnsi="PT Astra Serif"/>
                <w:sz w:val="24"/>
                <w:szCs w:val="24"/>
              </w:rPr>
              <w:t xml:space="preserve">Показатели</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4483" w:type="dxa"/>
            <w:vAlign w:val="center"/>
            <w:textDirection w:val="lrTb"/>
            <w:noWrap w:val="false"/>
          </w:tcPr>
          <w:p>
            <w:pPr>
              <w:jc w:val="center"/>
              <w:rPr>
                <w:rFonts w:ascii="PT Astra Serif" w:hAnsi="PT Astra Serif"/>
                <w:sz w:val="24"/>
                <w:szCs w:val="24"/>
              </w:rPr>
            </w:pPr>
            <w:r>
              <w:rPr>
                <w:rFonts w:ascii="PT Astra Serif" w:hAnsi="PT Astra Serif"/>
                <w:sz w:val="24"/>
                <w:szCs w:val="24"/>
              </w:rPr>
              <w:t xml:space="preserve">Наибольшая доля в структуре</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3171" w:type="dxa"/>
            <w:vAlign w:val="center"/>
            <w:textDirection w:val="lrTb"/>
            <w:noWrap w:val="false"/>
          </w:tcPr>
          <w:p>
            <w:pPr>
              <w:jc w:val="center"/>
              <w:rPr>
                <w:rFonts w:ascii="PT Astra Serif" w:hAnsi="PT Astra Serif"/>
                <w:sz w:val="24"/>
                <w:szCs w:val="24"/>
              </w:rPr>
            </w:pPr>
            <w:r>
              <w:rPr>
                <w:rFonts w:ascii="PT Astra Serif" w:hAnsi="PT Astra Serif"/>
                <w:sz w:val="24"/>
                <w:szCs w:val="24"/>
              </w:rPr>
              <w:t xml:space="preserve">Основные страны-партнеры</w:t>
            </w:r>
            <w:r>
              <w:rPr>
                <w:rFonts w:ascii="PT Astra Serif" w:hAnsi="PT Astra Serif"/>
                <w:sz w:val="24"/>
                <w:szCs w:val="24"/>
              </w:rPr>
            </w:r>
            <w:r>
              <w:rPr>
                <w:rFonts w:ascii="PT Astra Serif" w:hAnsi="PT Astra Serif"/>
                <w:sz w:val="24"/>
                <w:szCs w:val="24"/>
              </w:rPr>
            </w:r>
          </w:p>
        </w:tc>
      </w:tr>
      <w:tr>
        <w:tblPrEx/>
        <w:trPr>
          <w:jc w:val="center"/>
          <w:trHeight w:val="649"/>
        </w:trPr>
        <w:tc>
          <w:tcPr>
            <w:tcBorders>
              <w:top w:val="single" w:color="auto" w:sz="4" w:space="0"/>
              <w:left w:val="single" w:color="auto" w:sz="4" w:space="0"/>
              <w:bottom w:val="single" w:color="auto" w:sz="4" w:space="0"/>
              <w:right w:val="single" w:color="auto" w:sz="4" w:space="0"/>
            </w:tcBorders>
            <w:tcW w:w="1526" w:type="dxa"/>
            <w:textDirection w:val="lrTb"/>
            <w:noWrap w:val="false"/>
          </w:tcPr>
          <w:p>
            <w:pPr>
              <w:rPr>
                <w:rFonts w:ascii="PT Astra Serif" w:hAnsi="PT Astra Serif"/>
                <w:sz w:val="24"/>
                <w:szCs w:val="24"/>
              </w:rPr>
            </w:pPr>
            <w:r>
              <w:rPr>
                <w:rFonts w:ascii="PT Astra Serif" w:hAnsi="PT Astra Serif"/>
                <w:sz w:val="24"/>
                <w:szCs w:val="24"/>
              </w:rPr>
              <w:t xml:space="preserve">Экспорт товаров</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4483" w:type="dxa"/>
            <w:textDirection w:val="lrTb"/>
            <w:noWrap w:val="false"/>
          </w:tcPr>
          <w:p>
            <w:pPr>
              <w:rPr>
                <w:rFonts w:ascii="PT Astra Serif" w:hAnsi="PT Astra Serif"/>
                <w:sz w:val="24"/>
                <w:szCs w:val="24"/>
              </w:rPr>
            </w:pPr>
            <w:r>
              <w:rPr>
                <w:rFonts w:ascii="PT Astra Serif" w:hAnsi="PT Astra Serif"/>
                <w:sz w:val="24"/>
                <w:szCs w:val="24"/>
              </w:rPr>
              <w:t xml:space="preserve">древесина – 51,6%</w:t>
            </w:r>
            <w:r>
              <w:rPr>
                <w:rFonts w:ascii="PT Astra Serif" w:hAnsi="PT Astra Serif"/>
                <w:sz w:val="24"/>
                <w:szCs w:val="24"/>
              </w:rPr>
            </w:r>
            <w:r>
              <w:rPr>
                <w:rFonts w:ascii="PT Astra Serif" w:hAnsi="PT Astra Serif"/>
                <w:sz w:val="24"/>
                <w:szCs w:val="24"/>
              </w:rPr>
            </w:r>
          </w:p>
          <w:p>
            <w:pPr>
              <w:rPr>
                <w:rFonts w:ascii="PT Astra Serif" w:hAnsi="PT Astra Serif"/>
                <w:sz w:val="24"/>
                <w:szCs w:val="24"/>
              </w:rPr>
            </w:pPr>
            <w:r>
              <w:rPr>
                <w:rFonts w:ascii="PT Astra Serif" w:hAnsi="PT Astra Serif"/>
                <w:sz w:val="24"/>
                <w:szCs w:val="24"/>
              </w:rPr>
              <w:t xml:space="preserve">продовольственные товары – 21%</w:t>
            </w:r>
            <w:r>
              <w:rPr>
                <w:rFonts w:ascii="PT Astra Serif" w:hAnsi="PT Astra Serif"/>
                <w:sz w:val="24"/>
                <w:szCs w:val="24"/>
              </w:rPr>
            </w:r>
            <w:r>
              <w:rPr>
                <w:rFonts w:ascii="PT Astra Serif" w:hAnsi="PT Astra Serif"/>
                <w:sz w:val="24"/>
                <w:szCs w:val="24"/>
              </w:rPr>
            </w:r>
          </w:p>
          <w:p>
            <w:pPr>
              <w:rPr>
                <w:rFonts w:ascii="PT Astra Serif" w:hAnsi="PT Astra Serif"/>
                <w:sz w:val="24"/>
                <w:szCs w:val="24"/>
              </w:rPr>
            </w:pPr>
            <w:r>
              <w:rPr>
                <w:rFonts w:ascii="PT Astra Serif" w:hAnsi="PT Astra Serif"/>
                <w:sz w:val="24"/>
                <w:szCs w:val="24"/>
              </w:rPr>
              <w:t xml:space="preserve">топливно-энергетические товары – 9,4%</w:t>
            </w:r>
            <w:r>
              <w:rPr>
                <w:rFonts w:ascii="PT Astra Serif" w:hAnsi="PT Astra Serif"/>
                <w:sz w:val="24"/>
                <w:szCs w:val="24"/>
              </w:rPr>
            </w:r>
            <w:r>
              <w:rPr>
                <w:rFonts w:ascii="PT Astra Serif" w:hAnsi="PT Astra Serif"/>
                <w:sz w:val="24"/>
                <w:szCs w:val="24"/>
              </w:rPr>
            </w:r>
          </w:p>
          <w:p>
            <w:pPr>
              <w:rPr>
                <w:rFonts w:ascii="PT Astra Serif" w:hAnsi="PT Astra Serif"/>
                <w:sz w:val="24"/>
                <w:szCs w:val="24"/>
              </w:rPr>
            </w:pPr>
            <w:r>
              <w:rPr>
                <w:rFonts w:ascii="PT Astra Serif" w:hAnsi="PT Astra Serif"/>
                <w:sz w:val="24"/>
                <w:szCs w:val="24"/>
              </w:rPr>
              <w:t xml:space="preserve">машины и оборудование – 9%</w:t>
            </w:r>
            <w:r>
              <w:rPr>
                <w:rFonts w:ascii="PT Astra Serif" w:hAnsi="PT Astra Serif"/>
                <w:sz w:val="24"/>
                <w:szCs w:val="24"/>
              </w:rPr>
            </w:r>
            <w:r>
              <w:rPr>
                <w:rFonts w:ascii="PT Astra Serif" w:hAnsi="PT Astra Serif"/>
                <w:sz w:val="24"/>
                <w:szCs w:val="24"/>
              </w:rPr>
            </w:r>
          </w:p>
          <w:p>
            <w:pPr>
              <w:rPr>
                <w:rFonts w:ascii="PT Astra Serif" w:hAnsi="PT Astra Serif"/>
                <w:sz w:val="24"/>
                <w:szCs w:val="24"/>
              </w:rPr>
            </w:pPr>
            <w:r>
              <w:rPr>
                <w:rFonts w:ascii="PT Astra Serif" w:hAnsi="PT Astra Serif" w:eastAsia="Calibri"/>
                <w:sz w:val="24"/>
                <w:szCs w:val="24"/>
                <w:lang w:eastAsia="ru-RU"/>
              </w:rPr>
              <w:t xml:space="preserve">продукции х</w:t>
            </w:r>
            <w:r>
              <w:rPr>
                <w:rFonts w:ascii="PT Astra Serif" w:hAnsi="PT Astra Serif" w:eastAsia="Calibri"/>
                <w:sz w:val="24"/>
                <w:szCs w:val="24"/>
                <w:lang w:eastAsia="ru-RU"/>
              </w:rPr>
              <w:t xml:space="preserve">имической промышленности – 7,0%</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3171" w:type="dxa"/>
            <w:textDirection w:val="lrTb"/>
            <w:noWrap w:val="false"/>
          </w:tcPr>
          <w:p>
            <w:pPr>
              <w:rPr>
                <w:rFonts w:ascii="PT Astra Serif" w:hAnsi="PT Astra Serif"/>
                <w:sz w:val="24"/>
                <w:szCs w:val="24"/>
              </w:rPr>
            </w:pPr>
            <w:r>
              <w:rPr>
                <w:rFonts w:ascii="PT Astra Serif" w:hAnsi="PT Astra Serif"/>
                <w:sz w:val="24"/>
                <w:szCs w:val="24"/>
              </w:rPr>
              <w:t xml:space="preserve">Китай – 27%</w:t>
            </w:r>
            <w:r>
              <w:rPr>
                <w:rFonts w:ascii="PT Astra Serif" w:hAnsi="PT Astra Serif"/>
                <w:sz w:val="24"/>
                <w:szCs w:val="24"/>
              </w:rPr>
            </w:r>
            <w:r>
              <w:rPr>
                <w:rFonts w:ascii="PT Astra Serif" w:hAnsi="PT Astra Serif"/>
                <w:sz w:val="24"/>
                <w:szCs w:val="24"/>
              </w:rPr>
            </w:r>
          </w:p>
          <w:p>
            <w:pPr>
              <w:rPr>
                <w:rFonts w:ascii="PT Astra Serif" w:hAnsi="PT Astra Serif"/>
                <w:sz w:val="24"/>
                <w:szCs w:val="24"/>
              </w:rPr>
            </w:pPr>
            <w:r>
              <w:rPr>
                <w:rFonts w:ascii="PT Astra Serif" w:hAnsi="PT Astra Serif"/>
                <w:sz w:val="24"/>
                <w:szCs w:val="24"/>
              </w:rPr>
              <w:t xml:space="preserve">Узбекистан – 27,2%</w:t>
            </w:r>
            <w:r>
              <w:rPr>
                <w:rFonts w:ascii="PT Astra Serif" w:hAnsi="PT Astra Serif"/>
                <w:sz w:val="24"/>
                <w:szCs w:val="24"/>
              </w:rPr>
            </w:r>
            <w:r>
              <w:rPr>
                <w:rFonts w:ascii="PT Astra Serif" w:hAnsi="PT Astra Serif"/>
                <w:sz w:val="24"/>
                <w:szCs w:val="24"/>
              </w:rPr>
            </w:r>
          </w:p>
          <w:p>
            <w:pPr>
              <w:rPr>
                <w:rFonts w:ascii="PT Astra Serif" w:hAnsi="PT Astra Serif"/>
                <w:sz w:val="24"/>
                <w:szCs w:val="24"/>
              </w:rPr>
            </w:pPr>
            <w:r>
              <w:rPr>
                <w:rFonts w:ascii="PT Astra Serif" w:hAnsi="PT Astra Serif"/>
                <w:sz w:val="24"/>
                <w:szCs w:val="24"/>
              </w:rPr>
              <w:t xml:space="preserve">Казахстан – 22,6%</w:t>
            </w:r>
            <w:r>
              <w:rPr>
                <w:rFonts w:ascii="PT Astra Serif" w:hAnsi="PT Astra Serif"/>
                <w:sz w:val="24"/>
                <w:szCs w:val="24"/>
              </w:rPr>
            </w:r>
            <w:r>
              <w:rPr>
                <w:rFonts w:ascii="PT Astra Serif" w:hAnsi="PT Astra Serif"/>
                <w:sz w:val="24"/>
                <w:szCs w:val="24"/>
              </w:rPr>
            </w:r>
          </w:p>
          <w:p>
            <w:pPr>
              <w:rPr>
                <w:rFonts w:ascii="PT Astra Serif" w:hAnsi="PT Astra Serif"/>
                <w:sz w:val="24"/>
                <w:szCs w:val="24"/>
              </w:rPr>
            </w:pPr>
            <w:r>
              <w:rPr>
                <w:rFonts w:ascii="PT Astra Serif" w:hAnsi="PT Astra Serif"/>
                <w:sz w:val="24"/>
                <w:szCs w:val="24"/>
              </w:rPr>
              <w:t xml:space="preserve">Киргизия – 7,6%</w:t>
            </w:r>
            <w:r>
              <w:rPr>
                <w:rFonts w:ascii="PT Astra Serif" w:hAnsi="PT Astra Serif"/>
                <w:sz w:val="24"/>
                <w:szCs w:val="24"/>
              </w:rPr>
            </w:r>
            <w:r>
              <w:rPr>
                <w:rFonts w:ascii="PT Astra Serif" w:hAnsi="PT Astra Serif"/>
                <w:sz w:val="24"/>
                <w:szCs w:val="24"/>
              </w:rPr>
            </w:r>
          </w:p>
          <w:p>
            <w:pPr>
              <w:rPr>
                <w:rFonts w:ascii="PT Astra Serif" w:hAnsi="PT Astra Serif"/>
                <w:i/>
                <w:sz w:val="24"/>
                <w:szCs w:val="24"/>
              </w:rPr>
            </w:pPr>
            <w:r>
              <w:rPr>
                <w:rFonts w:ascii="PT Astra Serif" w:hAnsi="PT Astra Serif"/>
                <w:sz w:val="24"/>
                <w:szCs w:val="24"/>
              </w:rPr>
              <w:t xml:space="preserve">Монголия – 6,1%</w:t>
            </w:r>
            <w:r>
              <w:rPr>
                <w:rFonts w:ascii="PT Astra Serif" w:hAnsi="PT Astra Serif"/>
                <w:i/>
                <w:sz w:val="24"/>
                <w:szCs w:val="24"/>
              </w:rPr>
            </w:r>
            <w:r>
              <w:rPr>
                <w:rFonts w:ascii="PT Astra Serif" w:hAnsi="PT Astra Serif"/>
                <w:i/>
                <w:sz w:val="24"/>
                <w:szCs w:val="24"/>
              </w:rPr>
            </w:r>
          </w:p>
        </w:tc>
      </w:tr>
      <w:tr>
        <w:tblPrEx/>
        <w:trPr>
          <w:jc w:val="center"/>
          <w:trHeight w:val="407"/>
        </w:trPr>
        <w:tc>
          <w:tcPr>
            <w:tcBorders>
              <w:top w:val="single" w:color="auto" w:sz="4" w:space="0"/>
              <w:left w:val="single" w:color="auto" w:sz="4" w:space="0"/>
              <w:bottom w:val="single" w:color="auto" w:sz="4" w:space="0"/>
              <w:right w:val="single" w:color="auto" w:sz="4" w:space="0"/>
            </w:tcBorders>
            <w:tcW w:w="1526" w:type="dxa"/>
            <w:textDirection w:val="lrTb"/>
            <w:noWrap w:val="false"/>
          </w:tcPr>
          <w:p>
            <w:pPr>
              <w:rPr>
                <w:rFonts w:ascii="PT Astra Serif" w:hAnsi="PT Astra Serif"/>
                <w:sz w:val="24"/>
                <w:szCs w:val="24"/>
              </w:rPr>
            </w:pPr>
            <w:r>
              <w:rPr>
                <w:rFonts w:ascii="PT Astra Serif" w:hAnsi="PT Astra Serif"/>
                <w:sz w:val="24"/>
                <w:szCs w:val="24"/>
              </w:rPr>
              <w:t xml:space="preserve">Импорт товаров</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4483" w:type="dxa"/>
            <w:textDirection w:val="lrTb"/>
            <w:noWrap w:val="false"/>
          </w:tcPr>
          <w:p>
            <w:pPr>
              <w:rPr>
                <w:rFonts w:ascii="PT Astra Serif" w:hAnsi="PT Astra Serif"/>
                <w:sz w:val="24"/>
                <w:szCs w:val="24"/>
              </w:rPr>
            </w:pPr>
            <w:r>
              <w:rPr>
                <w:rFonts w:ascii="PT Astra Serif" w:hAnsi="PT Astra Serif"/>
                <w:sz w:val="24"/>
                <w:szCs w:val="24"/>
              </w:rPr>
              <w:t xml:space="preserve">химическая продукция – 45%</w:t>
            </w:r>
            <w:r>
              <w:rPr>
                <w:rFonts w:ascii="PT Astra Serif" w:hAnsi="PT Astra Serif"/>
                <w:sz w:val="24"/>
                <w:szCs w:val="24"/>
              </w:rPr>
            </w:r>
            <w:r>
              <w:rPr>
                <w:rFonts w:ascii="PT Astra Serif" w:hAnsi="PT Astra Serif"/>
                <w:sz w:val="24"/>
                <w:szCs w:val="24"/>
              </w:rPr>
            </w:r>
          </w:p>
          <w:p>
            <w:pPr>
              <w:rPr>
                <w:rFonts w:ascii="PT Astra Serif" w:hAnsi="PT Astra Serif"/>
                <w:sz w:val="24"/>
                <w:szCs w:val="24"/>
              </w:rPr>
            </w:pPr>
            <w:r>
              <w:rPr>
                <w:rFonts w:ascii="PT Astra Serif" w:hAnsi="PT Astra Serif"/>
                <w:sz w:val="24"/>
                <w:szCs w:val="24"/>
              </w:rPr>
              <w:t xml:space="preserve">продовольственные товары – 37,1%</w:t>
            </w:r>
            <w:r>
              <w:rPr>
                <w:rFonts w:ascii="PT Astra Serif" w:hAnsi="PT Astra Serif"/>
                <w:sz w:val="24"/>
                <w:szCs w:val="24"/>
              </w:rPr>
            </w:r>
            <w:r>
              <w:rPr>
                <w:rFonts w:ascii="PT Astra Serif" w:hAnsi="PT Astra Serif"/>
                <w:sz w:val="24"/>
                <w:szCs w:val="24"/>
              </w:rPr>
            </w:r>
          </w:p>
          <w:p>
            <w:pPr>
              <w:rPr>
                <w:rFonts w:ascii="PT Astra Serif" w:hAnsi="PT Astra Serif"/>
                <w:sz w:val="24"/>
                <w:szCs w:val="24"/>
              </w:rPr>
            </w:pPr>
            <w:r>
              <w:rPr>
                <w:rFonts w:ascii="PT Astra Serif" w:hAnsi="PT Astra Serif"/>
                <w:sz w:val="24"/>
                <w:szCs w:val="24"/>
              </w:rPr>
              <w:t xml:space="preserve">машины и оборудование – 13,1%</w:t>
            </w:r>
            <w:r>
              <w:rPr>
                <w:rFonts w:ascii="PT Astra Serif" w:hAnsi="PT Astra Serif"/>
                <w:sz w:val="24"/>
                <w:szCs w:val="24"/>
              </w:rPr>
            </w:r>
            <w:r>
              <w:rPr>
                <w:rFonts w:ascii="PT Astra Serif" w:hAnsi="PT Astra Serif"/>
                <w:sz w:val="24"/>
                <w:szCs w:val="24"/>
              </w:rPr>
            </w:r>
          </w:p>
        </w:tc>
        <w:tc>
          <w:tcPr>
            <w:tcBorders>
              <w:top w:val="single" w:color="auto" w:sz="4" w:space="0"/>
              <w:left w:val="single" w:color="auto" w:sz="4" w:space="0"/>
              <w:bottom w:val="single" w:color="auto" w:sz="4" w:space="0"/>
              <w:right w:val="single" w:color="auto" w:sz="4" w:space="0"/>
            </w:tcBorders>
            <w:tcW w:w="3171" w:type="dxa"/>
            <w:textDirection w:val="lrTb"/>
            <w:noWrap w:val="false"/>
          </w:tcPr>
          <w:p>
            <w:pPr>
              <w:rPr>
                <w:rFonts w:ascii="PT Astra Serif" w:hAnsi="PT Astra Serif"/>
                <w:sz w:val="24"/>
                <w:szCs w:val="24"/>
              </w:rPr>
            </w:pPr>
            <w:r>
              <w:rPr>
                <w:rFonts w:ascii="PT Astra Serif" w:hAnsi="PT Astra Serif"/>
                <w:sz w:val="24"/>
                <w:szCs w:val="24"/>
              </w:rPr>
              <w:t xml:space="preserve">Узбекистан – 36,3%</w:t>
            </w:r>
            <w:r>
              <w:rPr>
                <w:rFonts w:ascii="PT Astra Serif" w:hAnsi="PT Astra Serif"/>
                <w:sz w:val="24"/>
                <w:szCs w:val="24"/>
              </w:rPr>
            </w:r>
            <w:r>
              <w:rPr>
                <w:rFonts w:ascii="PT Astra Serif" w:hAnsi="PT Astra Serif"/>
                <w:sz w:val="24"/>
                <w:szCs w:val="24"/>
              </w:rPr>
            </w:r>
          </w:p>
          <w:p>
            <w:pPr>
              <w:rPr>
                <w:rFonts w:ascii="PT Astra Serif" w:hAnsi="PT Astra Serif"/>
                <w:sz w:val="24"/>
                <w:szCs w:val="24"/>
              </w:rPr>
            </w:pPr>
            <w:r>
              <w:rPr>
                <w:rFonts w:ascii="PT Astra Serif" w:hAnsi="PT Astra Serif"/>
                <w:sz w:val="24"/>
                <w:szCs w:val="24"/>
              </w:rPr>
              <w:t xml:space="preserve">Китай – 19,7%</w:t>
            </w:r>
            <w:r>
              <w:rPr>
                <w:rFonts w:ascii="PT Astra Serif" w:hAnsi="PT Astra Serif"/>
                <w:sz w:val="24"/>
                <w:szCs w:val="24"/>
              </w:rPr>
            </w:r>
            <w:r>
              <w:rPr>
                <w:rFonts w:ascii="PT Astra Serif" w:hAnsi="PT Astra Serif"/>
                <w:sz w:val="24"/>
                <w:szCs w:val="24"/>
              </w:rPr>
            </w:r>
          </w:p>
          <w:p>
            <w:pPr>
              <w:rPr>
                <w:rFonts w:ascii="PT Astra Serif" w:hAnsi="PT Astra Serif"/>
                <w:sz w:val="24"/>
                <w:szCs w:val="24"/>
              </w:rPr>
            </w:pPr>
            <w:r>
              <w:rPr>
                <w:rFonts w:ascii="PT Astra Serif" w:hAnsi="PT Astra Serif"/>
                <w:sz w:val="24"/>
                <w:szCs w:val="24"/>
              </w:rPr>
              <w:t xml:space="preserve">Индонезия – 4,5%</w:t>
            </w:r>
            <w:r>
              <w:rPr>
                <w:rFonts w:ascii="PT Astra Serif" w:hAnsi="PT Astra Serif"/>
                <w:sz w:val="24"/>
                <w:szCs w:val="24"/>
              </w:rPr>
            </w:r>
            <w:r>
              <w:rPr>
                <w:rFonts w:ascii="PT Astra Serif" w:hAnsi="PT Astra Serif"/>
                <w:sz w:val="24"/>
                <w:szCs w:val="24"/>
              </w:rPr>
            </w:r>
          </w:p>
          <w:p>
            <w:pPr>
              <w:rPr>
                <w:rFonts w:ascii="PT Astra Serif" w:hAnsi="PT Astra Serif"/>
                <w:sz w:val="24"/>
                <w:szCs w:val="24"/>
              </w:rPr>
            </w:pPr>
            <w:r>
              <w:rPr>
                <w:rFonts w:ascii="PT Astra Serif" w:hAnsi="PT Astra Serif"/>
                <w:sz w:val="24"/>
                <w:szCs w:val="24"/>
              </w:rPr>
              <w:t xml:space="preserve">Гана – 4,3%</w:t>
            </w:r>
            <w:r>
              <w:rPr>
                <w:rFonts w:ascii="PT Astra Serif" w:hAnsi="PT Astra Serif"/>
                <w:sz w:val="24"/>
                <w:szCs w:val="24"/>
              </w:rPr>
            </w:r>
            <w:r>
              <w:rPr>
                <w:rFonts w:ascii="PT Astra Serif" w:hAnsi="PT Astra Serif"/>
                <w:sz w:val="24"/>
                <w:szCs w:val="24"/>
              </w:rPr>
            </w:r>
          </w:p>
          <w:p>
            <w:pPr>
              <w:rPr>
                <w:rFonts w:ascii="PT Astra Serif" w:hAnsi="PT Astra Serif"/>
                <w:i/>
                <w:sz w:val="24"/>
                <w:szCs w:val="24"/>
              </w:rPr>
            </w:pPr>
            <w:r>
              <w:rPr>
                <w:rFonts w:ascii="PT Astra Serif" w:hAnsi="PT Astra Serif"/>
                <w:sz w:val="24"/>
                <w:szCs w:val="24"/>
              </w:rPr>
              <w:t xml:space="preserve">Нидерланды  – 3,7%</w:t>
            </w:r>
            <w:r>
              <w:rPr>
                <w:rFonts w:ascii="PT Astra Serif" w:hAnsi="PT Astra Serif"/>
                <w:i/>
                <w:sz w:val="24"/>
                <w:szCs w:val="24"/>
              </w:rPr>
            </w:r>
            <w:r>
              <w:rPr>
                <w:rFonts w:ascii="PT Astra Serif" w:hAnsi="PT Astra Serif"/>
                <w:i/>
                <w:sz w:val="24"/>
                <w:szCs w:val="24"/>
              </w:rPr>
            </w:r>
          </w:p>
        </w:tc>
      </w:tr>
    </w:tbl>
    <w:p>
      <w:pPr>
        <w:ind w:firstLine="709"/>
        <w:jc w:val="both"/>
        <w:spacing w:after="0" w:line="240" w:lineRule="auto"/>
        <w:rPr>
          <w:rFonts w:ascii="PT Astra Serif" w:hAnsi="PT Astra Serif" w:eastAsia="Calibri"/>
          <w:sz w:val="24"/>
          <w:szCs w:val="24"/>
          <w:lang w:eastAsia="ru-RU"/>
        </w:rPr>
      </w:pPr>
      <w:r>
        <w:rPr>
          <w:rFonts w:ascii="PT Astra Serif" w:hAnsi="PT Astra Serif" w:eastAsia="Calibri"/>
          <w:sz w:val="24"/>
          <w:szCs w:val="24"/>
          <w:lang w:eastAsia="ru-RU"/>
        </w:rPr>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rPr>
          <w:rFonts w:ascii="PT Astra Serif" w:hAnsi="PT Astra Serif" w:eastAsia="Calibri"/>
          <w:sz w:val="24"/>
          <w:szCs w:val="24"/>
          <w:lang w:eastAsia="ru-RU"/>
        </w:rPr>
      </w:pPr>
      <w:r>
        <w:rPr>
          <w:rFonts w:ascii="PT Astra Serif" w:hAnsi="PT Astra Serif" w:eastAsia="Calibri"/>
          <w:sz w:val="24"/>
          <w:szCs w:val="24"/>
          <w:lang w:eastAsia="ru-RU"/>
        </w:rPr>
        <w:t xml:space="preserve">Внешнеторговый оборот Томской области в 2023 году вы</w:t>
      </w:r>
      <w:r>
        <w:rPr>
          <w:rFonts w:ascii="PT Astra Serif" w:hAnsi="PT Astra Serif" w:eastAsia="Calibri"/>
          <w:sz w:val="24"/>
          <w:szCs w:val="24"/>
          <w:lang w:eastAsia="ru-RU"/>
        </w:rPr>
        <w:t xml:space="preserve">рос на 24,4% по сравнению с прошлым годом. Товарооборот с дружественными странами Азии (без учета стран СНГ) вырос на 10,0%, со странами Африки – на 24,3%, со странами Латинской Америки – на 63,1% (рост преимущественно за счет низкой базы), со странами СНГ</w:t>
      </w:r>
      <w:r>
        <w:rPr>
          <w:rFonts w:ascii="PT Astra Serif" w:hAnsi="PT Astra Serif" w:eastAsia="Calibri"/>
          <w:sz w:val="24"/>
          <w:szCs w:val="24"/>
          <w:lang w:eastAsia="ru-RU"/>
        </w:rPr>
        <w:t xml:space="preserve"> </w:t>
      </w:r>
      <w:r>
        <w:rPr>
          <w:rFonts w:ascii="PT Astra Serif" w:hAnsi="PT Astra Serif"/>
          <w:sz w:val="24"/>
          <w:szCs w:val="24"/>
        </w:rPr>
        <w:t xml:space="preserve">–</w:t>
      </w:r>
      <w:r>
        <w:rPr>
          <w:rFonts w:ascii="PT Astra Serif" w:hAnsi="PT Astra Serif" w:eastAsia="Calibri"/>
          <w:sz w:val="24"/>
          <w:szCs w:val="24"/>
          <w:lang w:eastAsia="ru-RU"/>
        </w:rPr>
        <w:t xml:space="preserve"> на 39,6%.</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rPr>
          <w:rFonts w:ascii="PT Astra Serif" w:hAnsi="PT Astra Serif" w:eastAsia="Calibri"/>
          <w:sz w:val="24"/>
          <w:szCs w:val="24"/>
          <w:lang w:eastAsia="ru-RU"/>
        </w:rPr>
      </w:pPr>
      <w:r>
        <w:rPr>
          <w:rFonts w:ascii="PT Astra Serif" w:hAnsi="PT Astra Serif" w:eastAsia="Calibri"/>
          <w:sz w:val="24"/>
          <w:szCs w:val="24"/>
          <w:lang w:eastAsia="ru-RU"/>
        </w:rPr>
        <w:t xml:space="preserve">Экспорт</w:t>
      </w:r>
      <w:r>
        <w:rPr>
          <w:rFonts w:ascii="PT Astra Serif" w:hAnsi="PT Astra Serif" w:eastAsia="Calibri"/>
          <w:b/>
          <w:sz w:val="24"/>
          <w:szCs w:val="24"/>
          <w:lang w:eastAsia="ru-RU"/>
        </w:rPr>
        <w:t xml:space="preserve"> </w:t>
      </w:r>
      <w:r>
        <w:rPr>
          <w:rFonts w:ascii="PT Astra Serif" w:hAnsi="PT Astra Serif" w:eastAsia="Calibri"/>
          <w:sz w:val="24"/>
          <w:szCs w:val="24"/>
          <w:lang w:eastAsia="ru-RU"/>
        </w:rPr>
        <w:t xml:space="preserve">Томской области в 2023 году снизился на 23,9% по сравнению с аналогичным периодом прошлого года, что связано с сокращением поставок продукции лесопромышленного-комплекса (ЛПК) (спад стоимостного объема экспорта на 25,2% по сравне</w:t>
      </w:r>
      <w:r>
        <w:rPr>
          <w:rFonts w:ascii="PT Astra Serif" w:hAnsi="PT Astra Serif" w:eastAsia="Calibri"/>
          <w:sz w:val="24"/>
          <w:szCs w:val="24"/>
          <w:lang w:eastAsia="ru-RU"/>
        </w:rPr>
        <w:t xml:space="preserve">нию с 2022 годом), который традиционно представляет более половины всего экспорта Томской области (51,6%), а также топливно-энергетических товаров (стоимостной объем уменьшился в 3,0 раза). На поставки продукции ЛПК повлияло снижение спроса на пиломатериал</w:t>
      </w:r>
      <w:r>
        <w:rPr>
          <w:rFonts w:ascii="PT Astra Serif" w:hAnsi="PT Astra Serif" w:eastAsia="Calibri"/>
          <w:sz w:val="24"/>
          <w:szCs w:val="24"/>
          <w:lang w:eastAsia="ru-RU"/>
        </w:rPr>
        <w:t xml:space="preserve"> в странах Центральной и Восточной Азии, имевшиеся в первом полугодии 2023 года ограничения на экспорт лесоматериалов автомобильным транспортом, нехватка перевозочных мощностей железной дороги, а также рост спроса на плитную продукцию на внутреннем рынке. </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rPr>
          <w:rFonts w:ascii="PT Astra Serif" w:hAnsi="PT Astra Serif" w:eastAsia="Calibri"/>
          <w:sz w:val="24"/>
          <w:szCs w:val="24"/>
          <w:lang w:eastAsia="ru-RU"/>
        </w:rPr>
      </w:pPr>
      <w:r>
        <w:rPr>
          <w:rFonts w:ascii="PT Astra Serif" w:hAnsi="PT Astra Serif" w:eastAsia="Calibri"/>
          <w:sz w:val="24"/>
          <w:szCs w:val="24"/>
          <w:lang w:eastAsia="ru-RU"/>
        </w:rPr>
        <w:t xml:space="preserve">Снижение объема экспорта продукции машиностроения на 10% при одновременном росте объема ее производства также свидетельствует о переориентации поставок на внутренний рынок. </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rPr>
          <w:rFonts w:ascii="PT Astra Serif" w:hAnsi="PT Astra Serif" w:eastAsia="Calibri"/>
          <w:strike/>
          <w:sz w:val="24"/>
          <w:szCs w:val="24"/>
          <w:lang w:eastAsia="ru-RU"/>
        </w:rPr>
      </w:pPr>
      <w:r>
        <w:rPr>
          <w:rFonts w:ascii="PT Astra Serif" w:hAnsi="PT Astra Serif" w:eastAsia="Calibri"/>
          <w:sz w:val="24"/>
          <w:szCs w:val="24"/>
          <w:lang w:eastAsia="ru-RU"/>
        </w:rPr>
        <w:t xml:space="preserve">Реализация проектов развития региона, в том числе инвестиционных проектов, и наращивание промышленного производства на территории Томской области повлияли на опережающий рост импорта товаров промышленного назначения (сырье и оборудование).</w:t>
      </w:r>
      <w:r>
        <w:rPr>
          <w:rFonts w:ascii="PT Astra Serif" w:hAnsi="PT Astra Serif" w:eastAsia="Calibri"/>
          <w:b/>
          <w:sz w:val="24"/>
          <w:szCs w:val="24"/>
          <w:lang w:eastAsia="ru-RU"/>
        </w:rPr>
        <w:t xml:space="preserve"> </w:t>
      </w:r>
      <w:r>
        <w:rPr>
          <w:rFonts w:ascii="PT Astra Serif" w:hAnsi="PT Astra Serif" w:eastAsia="Calibri"/>
          <w:sz w:val="24"/>
          <w:szCs w:val="24"/>
          <w:lang w:eastAsia="ru-RU"/>
        </w:rPr>
        <w:t xml:space="preserve">Благодаря адаптации международных логистических цепочек импорт</w:t>
      </w:r>
      <w:r>
        <w:rPr>
          <w:rFonts w:ascii="PT Astra Serif" w:hAnsi="PT Astra Serif" w:eastAsia="Calibri"/>
          <w:b/>
          <w:sz w:val="24"/>
          <w:szCs w:val="24"/>
          <w:lang w:eastAsia="ru-RU"/>
        </w:rPr>
        <w:t xml:space="preserve"> </w:t>
      </w:r>
      <w:r>
        <w:rPr>
          <w:rFonts w:ascii="PT Astra Serif" w:hAnsi="PT Astra Serif" w:eastAsia="Calibri"/>
          <w:sz w:val="24"/>
          <w:szCs w:val="24"/>
          <w:lang w:eastAsia="ru-RU"/>
        </w:rPr>
        <w:t xml:space="preserve">Томской области в 2023 году увеличился в 2 раза по сравнению с 2022 годом. Основной партнер Томской области по импорту </w:t>
      </w:r>
      <w:r>
        <w:rPr>
          <w:rFonts w:ascii="PT Astra Serif" w:hAnsi="PT Astra Serif"/>
          <w:sz w:val="24"/>
          <w:szCs w:val="24"/>
        </w:rPr>
        <w:t xml:space="preserve">–</w:t>
      </w:r>
      <w:r>
        <w:rPr>
          <w:rFonts w:ascii="PT Astra Serif" w:hAnsi="PT Astra Serif" w:eastAsia="Calibri"/>
          <w:sz w:val="24"/>
          <w:szCs w:val="24"/>
          <w:lang w:eastAsia="ru-RU"/>
        </w:rPr>
        <w:t xml:space="preserve"> Узбекистан (доля в импорте 36,3%). В товар</w:t>
      </w:r>
      <w:r>
        <w:rPr>
          <w:rFonts w:ascii="PT Astra Serif" w:hAnsi="PT Astra Serif" w:eastAsia="Calibri"/>
          <w:sz w:val="24"/>
          <w:szCs w:val="24"/>
          <w:lang w:eastAsia="ru-RU"/>
        </w:rPr>
        <w:t xml:space="preserve">ной структуре импорта преоблада</w:t>
      </w:r>
      <w:r>
        <w:rPr>
          <w:rFonts w:ascii="PT Astra Serif" w:hAnsi="PT Astra Serif"/>
          <w:sz w:val="24"/>
          <w:szCs w:val="24"/>
        </w:rPr>
        <w:t xml:space="preserve">е</w:t>
      </w:r>
      <w:r>
        <w:rPr>
          <w:rFonts w:ascii="PT Astra Serif" w:hAnsi="PT Astra Serif" w:eastAsia="Calibri"/>
          <w:sz w:val="24"/>
          <w:szCs w:val="24"/>
          <w:lang w:eastAsia="ru-RU"/>
        </w:rPr>
        <w:t xml:space="preserve">т продукция химической п</w:t>
      </w:r>
      <w:r>
        <w:rPr>
          <w:rFonts w:ascii="PT Astra Serif" w:hAnsi="PT Astra Serif" w:eastAsia="Calibri"/>
          <w:sz w:val="24"/>
          <w:szCs w:val="24"/>
          <w:lang w:eastAsia="ru-RU"/>
        </w:rPr>
        <w:t xml:space="preserve">ромышленности (45,0%) (таблица 8</w:t>
      </w:r>
      <w:r>
        <w:rPr>
          <w:rFonts w:ascii="PT Astra Serif" w:hAnsi="PT Astra Serif" w:eastAsia="Calibri"/>
          <w:sz w:val="24"/>
          <w:szCs w:val="24"/>
          <w:lang w:eastAsia="ru-RU"/>
        </w:rPr>
        <w:t xml:space="preserve">).</w:t>
      </w:r>
      <w:r>
        <w:rPr>
          <w:rFonts w:ascii="PT Astra Serif" w:hAnsi="PT Astra Serif" w:eastAsia="Calibri"/>
          <w:strike/>
          <w:sz w:val="24"/>
          <w:szCs w:val="24"/>
          <w:lang w:eastAsia="ru-RU"/>
        </w:rPr>
      </w:r>
      <w:r>
        <w:rPr>
          <w:rFonts w:ascii="PT Astra Serif" w:hAnsi="PT Astra Serif" w:eastAsia="Calibri"/>
          <w:strike/>
          <w:sz w:val="24"/>
          <w:szCs w:val="24"/>
          <w:lang w:eastAsia="ru-RU"/>
        </w:rPr>
      </w:r>
    </w:p>
    <w:p>
      <w:pPr>
        <w:ind w:firstLine="709"/>
        <w:jc w:val="both"/>
        <w:spacing w:after="0" w:line="240" w:lineRule="auto"/>
        <w:rPr>
          <w:rFonts w:ascii="PT Astra Serif" w:hAnsi="PT Astra Serif" w:eastAsia="Calibri"/>
          <w:sz w:val="24"/>
          <w:szCs w:val="24"/>
          <w:lang w:eastAsia="ru-RU"/>
        </w:rPr>
      </w:pPr>
      <w:r>
        <w:rPr>
          <w:rFonts w:ascii="PT Astra Serif" w:hAnsi="PT Astra Serif" w:eastAsia="Calibri"/>
          <w:sz w:val="24"/>
          <w:szCs w:val="24"/>
          <w:lang w:eastAsia="ru-RU"/>
        </w:rPr>
        <w:t xml:space="preserve">В 2023 году продолжена реализация Национального проекта «Международная кооперация и экспорт» и входящего </w:t>
      </w:r>
      <w:r>
        <w:rPr>
          <w:rFonts w:ascii="PT Astra Serif" w:hAnsi="PT Astra Serif" w:eastAsia="Calibri"/>
          <w:sz w:val="24"/>
          <w:szCs w:val="24"/>
          <w:lang w:eastAsia="ru-RU"/>
        </w:rPr>
        <w:t xml:space="preserve">в его состав регионального проекта «Системные меры развития международной кооперации и экспорта». По итогам 2023 года обеспечено внедрение Регионального экспортного стандарта 2.0 в полном объеме. Системная работа велась по таким ключевым направлениям, как:</w:t>
      </w:r>
      <w:r>
        <w:rPr>
          <w:rFonts w:ascii="PT Astra Serif" w:hAnsi="PT Astra Serif" w:eastAsia="Calibri"/>
          <w:sz w:val="24"/>
          <w:szCs w:val="24"/>
          <w:lang w:eastAsia="ru-RU"/>
        </w:rPr>
      </w:r>
      <w:r>
        <w:rPr>
          <w:rFonts w:ascii="PT Astra Serif" w:hAnsi="PT Astra Serif" w:eastAsia="Calibri"/>
          <w:sz w:val="24"/>
          <w:szCs w:val="24"/>
          <w:lang w:eastAsia="ru-RU"/>
        </w:rPr>
      </w:r>
    </w:p>
    <w:p>
      <w:pPr>
        <w:contextualSpacing/>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w:t>
      </w:r>
      <w:r>
        <w:rPr>
          <w:rFonts w:ascii="PT Astra Serif" w:hAnsi="PT Astra Serif"/>
          <w:i/>
          <w:sz w:val="24"/>
          <w:szCs w:val="24"/>
        </w:rPr>
        <w:t xml:space="preserve"> </w:t>
      </w:r>
      <w:r>
        <w:rPr>
          <w:rFonts w:ascii="PT Astra Serif" w:hAnsi="PT Astra Serif"/>
          <w:b/>
          <w:sz w:val="24"/>
          <w:szCs w:val="24"/>
        </w:rPr>
        <w:t xml:space="preserve">Создание базы для развития экспорта</w:t>
      </w:r>
      <w:r>
        <w:rPr>
          <w:rFonts w:ascii="PT Astra Serif" w:hAnsi="PT Astra Serif"/>
          <w:i/>
          <w:sz w:val="24"/>
          <w:szCs w:val="24"/>
        </w:rPr>
        <w:t xml:space="preserve">.</w:t>
      </w:r>
      <w:r>
        <w:rPr>
          <w:rFonts w:ascii="PT Astra Serif" w:hAnsi="PT Astra Serif"/>
          <w:sz w:val="24"/>
          <w:szCs w:val="24"/>
        </w:rPr>
        <w:t xml:space="preserve"> Разработана Стратегия по обеспечению благоприятных условий для развития экспорта и внешних связей Томской области до 2030 года, проект программы развития экспорта в Томской области на период до 2030 года. </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w:t>
      </w:r>
      <w:r>
        <w:rPr>
          <w:rFonts w:ascii="PT Astra Serif" w:hAnsi="PT Astra Serif"/>
          <w:i/>
          <w:sz w:val="24"/>
          <w:szCs w:val="24"/>
        </w:rPr>
        <w:t xml:space="preserve"> </w:t>
      </w:r>
      <w:r>
        <w:rPr>
          <w:rFonts w:ascii="PT Astra Serif" w:hAnsi="PT Astra Serif"/>
          <w:b/>
          <w:sz w:val="24"/>
          <w:szCs w:val="24"/>
        </w:rPr>
        <w:t xml:space="preserve">Обеспечение доступа к необходимым мерам поддержки экспортной деятельности</w:t>
      </w:r>
      <w:r>
        <w:rPr>
          <w:rFonts w:ascii="PT Astra Serif" w:hAnsi="PT Astra Serif"/>
          <w:i/>
          <w:sz w:val="24"/>
          <w:szCs w:val="24"/>
        </w:rPr>
        <w:t xml:space="preserve">.</w:t>
      </w:r>
      <w:r>
        <w:rPr>
          <w:rFonts w:ascii="PT Astra Serif" w:hAnsi="PT Astra Serif"/>
          <w:sz w:val="24"/>
          <w:szCs w:val="24"/>
        </w:rPr>
        <w:t xml:space="preserve"> </w:t>
      </w:r>
      <w:r>
        <w:rPr>
          <w:rFonts w:ascii="PT Astra Serif" w:hAnsi="PT Astra Serif" w:eastAsia="Times New Roman"/>
          <w:sz w:val="24"/>
          <w:szCs w:val="24"/>
        </w:rPr>
        <w:t xml:space="preserve">139 субъектов пред</w:t>
      </w:r>
      <w:r>
        <w:rPr>
          <w:rFonts w:ascii="PT Astra Serif" w:hAnsi="PT Astra Serif" w:eastAsia="Times New Roman"/>
          <w:sz w:val="24"/>
          <w:szCs w:val="24"/>
        </w:rPr>
        <w:t xml:space="preserve">принимательства стали получателями мер поддержки, из них 126 субъектов предпринимательства получили услуги Центра поддержки экспорта Томской области (далее - ЦПЭ), 44 получили услуги группы Российского экспортного центра. 16 организаций заключили экспортны</w:t>
      </w:r>
      <w:r>
        <w:rPr>
          <w:rFonts w:ascii="PT Astra Serif" w:hAnsi="PT Astra Serif" w:eastAsia="Times New Roman"/>
          <w:sz w:val="24"/>
          <w:szCs w:val="24"/>
        </w:rPr>
        <w:t xml:space="preserve">е</w:t>
      </w:r>
      <w:r>
        <w:rPr>
          <w:rFonts w:ascii="PT Astra Serif" w:hAnsi="PT Astra Serif" w:eastAsia="Times New Roman"/>
          <w:sz w:val="24"/>
          <w:szCs w:val="24"/>
        </w:rPr>
        <w:t xml:space="preserve"> контракты при поддержке ЦПЭ, объем поддержан</w:t>
      </w:r>
      <w:r>
        <w:rPr>
          <w:rFonts w:ascii="PT Astra Serif" w:hAnsi="PT Astra Serif" w:eastAsia="Times New Roman"/>
          <w:sz w:val="24"/>
          <w:szCs w:val="24"/>
        </w:rPr>
        <w:t xml:space="preserve">ного экспорта составил 6,64 млн</w:t>
      </w:r>
      <w:r>
        <w:rPr>
          <w:rFonts w:ascii="PT Astra Serif" w:hAnsi="PT Astra Serif" w:eastAsia="Times New Roman"/>
          <w:sz w:val="24"/>
          <w:szCs w:val="24"/>
        </w:rPr>
        <w:t xml:space="preserve"> долларов США. Объем поддержанного экспорта томских компаний по группе Российского</w:t>
      </w:r>
      <w:r>
        <w:rPr>
          <w:rFonts w:ascii="PT Astra Serif" w:hAnsi="PT Astra Serif" w:eastAsia="Times New Roman"/>
          <w:sz w:val="24"/>
          <w:szCs w:val="24"/>
        </w:rPr>
        <w:t xml:space="preserve"> экспортного центра составил 23 </w:t>
      </w:r>
      <w:r>
        <w:rPr>
          <w:rFonts w:ascii="PT Astra Serif" w:hAnsi="PT Astra Serif" w:eastAsia="Times New Roman"/>
          <w:sz w:val="24"/>
          <w:szCs w:val="24"/>
        </w:rPr>
        <w:t xml:space="preserve">млн</w:t>
      </w:r>
      <w:r>
        <w:rPr>
          <w:rFonts w:ascii="PT Astra Serif" w:hAnsi="PT Astra Serif" w:eastAsia="Times New Roman"/>
          <w:sz w:val="24"/>
          <w:szCs w:val="24"/>
        </w:rPr>
        <w:t xml:space="preserve"> </w:t>
      </w:r>
      <w:r>
        <w:rPr>
          <w:rFonts w:ascii="PT Astra Serif" w:hAnsi="PT Astra Serif" w:eastAsia="Times New Roman"/>
          <w:sz w:val="24"/>
          <w:szCs w:val="24"/>
        </w:rPr>
        <w:t xml:space="preserve">долларов США.</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tabs>
          <w:tab w:val="left" w:pos="993" w:leader="none"/>
        </w:tabs>
        <w:rPr>
          <w:rFonts w:ascii="PT Astra Serif" w:hAnsi="PT Astra Serif" w:cs="PT Astra Serif"/>
          <w:sz w:val="24"/>
          <w:szCs w:val="24"/>
        </w:rPr>
      </w:pPr>
      <w:r>
        <w:rPr>
          <w:rFonts w:ascii="PT Astra Serif" w:hAnsi="PT Astra Serif"/>
          <w:sz w:val="24"/>
          <w:szCs w:val="24"/>
        </w:rPr>
        <w:t xml:space="preserve">–</w:t>
      </w:r>
      <w:r>
        <w:rPr>
          <w:rFonts w:ascii="PT Astra Serif" w:hAnsi="PT Astra Serif" w:cs="PT Astra Serif"/>
          <w:i/>
          <w:sz w:val="24"/>
          <w:szCs w:val="24"/>
        </w:rPr>
        <w:t xml:space="preserve"> </w:t>
      </w:r>
      <w:r>
        <w:rPr>
          <w:rFonts w:ascii="PT Astra Serif" w:hAnsi="PT Astra Serif" w:cs="PT Astra Serif"/>
          <w:b/>
          <w:sz w:val="24"/>
          <w:szCs w:val="24"/>
        </w:rPr>
        <w:t xml:space="preserve">Продвижение региона на зарубежных рынках</w:t>
      </w:r>
      <w:r>
        <w:rPr>
          <w:rFonts w:ascii="PT Astra Serif" w:hAnsi="PT Astra Serif" w:cs="PT Astra Serif"/>
          <w:i/>
          <w:sz w:val="24"/>
          <w:szCs w:val="24"/>
        </w:rPr>
        <w:t xml:space="preserve">.</w:t>
      </w:r>
      <w:r>
        <w:rPr>
          <w:rFonts w:ascii="PT Astra Serif" w:hAnsi="PT Astra Serif" w:cs="PT Astra Serif"/>
          <w:sz w:val="24"/>
          <w:szCs w:val="24"/>
        </w:rPr>
        <w:t xml:space="preserve"> Совместно с инфраструктурой поддержки экспорта организованы бизнес-миссии, участие в международных выставках, продвижение по каналам электронной торговли. География мероприятий включила как традиционные, так и новые рынки дружественных стран.</w:t>
      </w:r>
      <w:r>
        <w:rPr>
          <w:rFonts w:ascii="PT Astra Serif" w:hAnsi="PT Astra Serif"/>
          <w:sz w:val="24"/>
          <w:szCs w:val="24"/>
        </w:rPr>
        <w:t xml:space="preserve"> </w:t>
      </w:r>
      <w:r>
        <w:rPr>
          <w:rFonts w:ascii="PT Astra Serif" w:hAnsi="PT Astra Serif" w:cs="PT Astra Serif"/>
          <w:sz w:val="24"/>
          <w:szCs w:val="24"/>
        </w:rPr>
        <w:t xml:space="preserve">В 2023 году делегации Томской области посетили Вьетнам (участие в заседании межправкомиссии), Узбекистан (выставка «Иннопром. Центральная Азия»), Беларусь, Казахстан, Китай (участие в заседании межправкомиссии). </w:t>
      </w:r>
      <w:r>
        <w:rPr>
          <w:rFonts w:ascii="PT Astra Serif" w:hAnsi="PT Astra Serif" w:cs="PT Astra Serif"/>
          <w:sz w:val="24"/>
          <w:szCs w:val="24"/>
        </w:rPr>
      </w:r>
      <w:r>
        <w:rPr>
          <w:rFonts w:ascii="PT Astra Serif" w:hAnsi="PT Astra Serif" w:cs="PT Astra Serif"/>
          <w:sz w:val="24"/>
          <w:szCs w:val="24"/>
        </w:rPr>
      </w:r>
    </w:p>
    <w:p>
      <w:pPr>
        <w:contextualSpacing/>
        <w:ind w:firstLine="709"/>
        <w:jc w:val="both"/>
        <w:spacing w:after="0" w:line="240" w:lineRule="auto"/>
        <w:tabs>
          <w:tab w:val="left" w:pos="993" w:leader="none"/>
        </w:tabs>
        <w:rPr>
          <w:rFonts w:ascii="PT Astra Serif" w:hAnsi="PT Astra Serif"/>
          <w:sz w:val="24"/>
          <w:szCs w:val="24"/>
        </w:rPr>
      </w:pPr>
      <w:r>
        <w:rPr>
          <w:rFonts w:ascii="PT Astra Serif" w:hAnsi="PT Astra Serif" w:cs="PT Astra Serif"/>
          <w:sz w:val="24"/>
          <w:szCs w:val="24"/>
        </w:rPr>
        <w:t xml:space="preserve">Представители региона приняли участие в межрегиональных форумах Росси</w:t>
      </w:r>
      <w:r>
        <w:rPr>
          <w:rFonts w:ascii="PT Astra Serif" w:hAnsi="PT Astra Serif" w:cs="PT Astra Serif"/>
          <w:sz w:val="24"/>
          <w:szCs w:val="24"/>
        </w:rPr>
        <w:t xml:space="preserve">и и Узбекистана, Кыргызстана, Китая, VII Международном экономическом форуме «Иссык-Куль 2023» в Кыргызстане, бизнес-форуме «Россия-Вьетнам», Экономическом и гуманитарном форуме Россия – Африка, ПМЭФ-2023, ВЭФ-2023, XIV «Индийско-Российском бизнес-диалоге».</w:t>
      </w:r>
      <w:r>
        <w:rPr>
          <w:rFonts w:ascii="PT Astra Serif" w:hAnsi="PT Astra Serif"/>
          <w:sz w:val="24"/>
          <w:szCs w:val="24"/>
        </w:rPr>
        <w:t xml:space="preserve"> </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tabs>
          <w:tab w:val="left" w:pos="993" w:leader="none"/>
        </w:tabs>
        <w:rPr>
          <w:rFonts w:ascii="PT Astra Serif" w:hAnsi="PT Astra Serif"/>
          <w:sz w:val="24"/>
          <w:szCs w:val="24"/>
        </w:rPr>
      </w:pPr>
      <w:r>
        <w:rPr>
          <w:rFonts w:ascii="PT Astra Serif" w:hAnsi="PT Astra Serif" w:cs="PT Astra Serif"/>
          <w:sz w:val="24"/>
          <w:szCs w:val="24"/>
        </w:rPr>
        <w:t xml:space="preserve">Томскую область посетили генеральные консулы Кыргызстана, Таджикистана и Узбекистана, делегация Посольства Ирана в Москве во главе с Послом, делегация Узбекистана во главе с советником Президента Республики Узбекистан</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Calibri" w:cs="PT Astra Serif"/>
          <w:sz w:val="24"/>
          <w:szCs w:val="24"/>
          <w:lang w:eastAsia="ru-RU"/>
        </w:rPr>
      </w:pPr>
      <w:r>
        <w:rPr>
          <w:rFonts w:ascii="PT Astra Serif" w:hAnsi="PT Astra Serif" w:eastAsia="Calibri" w:cs="PT Astra Serif"/>
          <w:sz w:val="24"/>
          <w:szCs w:val="24"/>
          <w:lang w:eastAsia="ru-RU"/>
        </w:rPr>
        <w:t xml:space="preserve">ЦПЭ Томской области в 2023 году были организованы 4 бизнес-миссии в Узбекистан, Казахстан, Киргизию и Малайзию; обеспечено участие томских компаний в международных выст</w:t>
      </w:r>
      <w:r>
        <w:rPr>
          <w:rFonts w:ascii="PT Astra Serif" w:hAnsi="PT Astra Serif" w:eastAsia="Calibri" w:cs="PT Astra Serif"/>
          <w:sz w:val="24"/>
          <w:szCs w:val="24"/>
          <w:lang w:eastAsia="ru-RU"/>
        </w:rPr>
        <w:t xml:space="preserve">авках в Бразилии, Казахстане, Узбекистане, ОАЭ, Алжире; организованы 3 реверсные бизнес-миссии иностранных покупателей в Томскую область из Казахстана, Киргизии, Таджикистана. Состоялась бизнес-миссия томских инновационных компаний и университетов в ХМАО. </w:t>
      </w:r>
      <w:r>
        <w:rPr>
          <w:rFonts w:ascii="PT Astra Serif" w:hAnsi="PT Astra Serif" w:eastAsia="Calibri" w:cs="PT Astra Serif"/>
          <w:sz w:val="24"/>
          <w:szCs w:val="24"/>
          <w:lang w:eastAsia="ru-RU"/>
        </w:rPr>
      </w:r>
      <w:r>
        <w:rPr>
          <w:rFonts w:ascii="PT Astra Serif" w:hAnsi="PT Astra Serif" w:eastAsia="Calibri" w:cs="PT Astra Serif"/>
          <w:sz w:val="24"/>
          <w:szCs w:val="24"/>
          <w:lang w:eastAsia="ru-RU"/>
        </w:rPr>
      </w:r>
    </w:p>
    <w:p>
      <w:pPr>
        <w:ind w:firstLine="709"/>
        <w:jc w:val="both"/>
        <w:spacing w:after="0" w:line="240" w:lineRule="auto"/>
        <w:rPr>
          <w:rFonts w:ascii="PT Astra Serif" w:hAnsi="PT Astra Serif" w:eastAsia="Calibri"/>
          <w:sz w:val="24"/>
          <w:szCs w:val="24"/>
          <w:lang w:eastAsia="ru-RU"/>
        </w:rPr>
      </w:pPr>
      <w:r>
        <w:rPr>
          <w:rFonts w:ascii="PT Astra Serif" w:hAnsi="PT Astra Serif" w:eastAsia="Calibri" w:cs="PT Astra Serif"/>
          <w:sz w:val="24"/>
          <w:szCs w:val="24"/>
          <w:lang w:eastAsia="ru-RU"/>
        </w:rPr>
        <w:t xml:space="preserve">В 2023 году подписана новая Дорожная карта сотрудничества с Республикой Беларусь на 2024</w:t>
      </w:r>
      <w:r>
        <w:rPr>
          <w:rFonts w:ascii="PT Astra Serif" w:hAnsi="PT Astra Serif"/>
          <w:sz w:val="24"/>
          <w:szCs w:val="24"/>
        </w:rPr>
        <w:t xml:space="preserve">–</w:t>
      </w:r>
      <w:r>
        <w:rPr>
          <w:rFonts w:ascii="PT Astra Serif" w:hAnsi="PT Astra Serif" w:eastAsia="Calibri" w:cs="PT Astra Serif"/>
          <w:sz w:val="24"/>
          <w:szCs w:val="24"/>
          <w:lang w:eastAsia="ru-RU"/>
        </w:rPr>
        <w:t xml:space="preserve">2026 гг. по развитию кооперационных проектов, направленных в том числе на опережающее технологическое развитие, </w:t>
      </w:r>
      <w:r>
        <w:rPr>
          <w:rFonts w:ascii="PT Astra Serif" w:hAnsi="PT Astra Serif" w:eastAsia="Calibri"/>
          <w:sz w:val="24"/>
          <w:szCs w:val="24"/>
          <w:lang w:eastAsia="ru-RU"/>
        </w:rPr>
        <w:t xml:space="preserve">по инициативе Губернатора Томской области начата разработка новой программы Союзного государства России и Беларуси по промышленной электронике «Фотоника и СВЧ-микроэлектроника», предусматривающ</w:t>
      </w:r>
      <w:r>
        <w:rPr>
          <w:rFonts w:ascii="PT Astra Serif" w:hAnsi="PT Astra Serif" w:eastAsia="Calibri"/>
          <w:sz w:val="24"/>
          <w:szCs w:val="24"/>
          <w:lang w:eastAsia="ru-RU"/>
        </w:rPr>
        <w:t xml:space="preserve">ей</w:t>
      </w:r>
      <w:r>
        <w:rPr>
          <w:rFonts w:ascii="PT Astra Serif" w:hAnsi="PT Astra Serif" w:eastAsia="Calibri"/>
          <w:sz w:val="24"/>
          <w:szCs w:val="24"/>
          <w:lang w:eastAsia="ru-RU"/>
        </w:rPr>
        <w:t xml:space="preserve"> создание технологии производства силовых транзисторов на нитриде галлия</w:t>
      </w:r>
      <w:r>
        <w:rPr>
          <w:rFonts w:ascii="PT Astra Serif" w:hAnsi="PT Astra Serif" w:eastAsia="Calibri"/>
          <w:sz w:val="24"/>
          <w:szCs w:val="24"/>
          <w:lang w:eastAsia="ru-RU"/>
        </w:rPr>
        <w:t xml:space="preserve">,</w:t>
      </w:r>
      <w:r>
        <w:rPr>
          <w:rFonts w:ascii="PT Astra Serif" w:hAnsi="PT Astra Serif" w:eastAsia="Calibri"/>
          <w:sz w:val="24"/>
          <w:szCs w:val="24"/>
          <w:lang w:eastAsia="ru-RU"/>
        </w:rPr>
        <w:t xml:space="preserve"> при участии ТУСУРа и Института физики Национальной академии наук Беларуси. </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rPr>
          <w:rFonts w:ascii="PT Astra Serif" w:hAnsi="PT Astra Serif" w:eastAsia="Times New Roman"/>
          <w:strike/>
          <w:sz w:val="24"/>
          <w:szCs w:val="24"/>
          <w:lang w:eastAsia="ru-RU"/>
        </w:rPr>
      </w:pPr>
      <w:r>
        <w:rPr>
          <w:rFonts w:ascii="PT Astra Serif" w:hAnsi="PT Astra Serif" w:eastAsia="Times New Roman"/>
          <w:sz w:val="24"/>
          <w:szCs w:val="24"/>
          <w:lang w:eastAsia="ru-RU"/>
        </w:rPr>
        <w:t xml:space="preserve">Произошли</w:t>
      </w:r>
      <w:r>
        <w:rPr>
          <w:rFonts w:ascii="PT Astra Serif" w:hAnsi="PT Astra Serif" w:eastAsia="Times New Roman"/>
          <w:sz w:val="24"/>
          <w:szCs w:val="24"/>
          <w:lang w:eastAsia="ru-RU"/>
        </w:rPr>
        <w:t xml:space="preserve"> знаковые события для международного присутствия томской науки и образования, экспорта образовательных услуг:</w:t>
      </w:r>
      <w:r>
        <w:rPr>
          <w:rFonts w:ascii="PT Astra Serif" w:hAnsi="PT Astra Serif" w:eastAsia="Times New Roman"/>
          <w:strike/>
          <w:sz w:val="24"/>
          <w:szCs w:val="24"/>
          <w:lang w:eastAsia="ru-RU"/>
        </w:rPr>
      </w:r>
      <w:r>
        <w:rPr>
          <w:rFonts w:ascii="PT Astra Serif" w:hAnsi="PT Astra Serif" w:eastAsia="Times New Roman"/>
          <w:strike/>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sz w:val="24"/>
          <w:szCs w:val="24"/>
        </w:rPr>
        <w:t xml:space="preserve">–</w:t>
      </w:r>
      <w:r>
        <w:rPr>
          <w:rFonts w:ascii="PT Astra Serif" w:hAnsi="PT Astra Serif" w:eastAsia="Times New Roman"/>
          <w:sz w:val="24"/>
          <w:szCs w:val="24"/>
          <w:lang w:eastAsia="ru-RU"/>
        </w:rPr>
        <w:t xml:space="preserve"> открыто представительство «Большого университета Томска</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на базе Технологического института им. Десятого ноября (Сурабая, Индонезия). Это первое представительство</w:t>
      </w:r>
      <w:r>
        <w:rPr>
          <w:rFonts w:ascii="PT Astra Serif" w:hAnsi="PT Astra Serif" w:eastAsia="Times New Roman"/>
          <w:sz w:val="24"/>
          <w:szCs w:val="24"/>
          <w:lang w:eastAsia="ru-RU"/>
        </w:rPr>
        <w:t xml:space="preserve"> российских вузов в Индонезии;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sz w:val="24"/>
          <w:szCs w:val="24"/>
        </w:rPr>
        <w:t xml:space="preserve">–</w:t>
      </w:r>
      <w:r>
        <w:rPr>
          <w:rFonts w:ascii="PT Astra Serif" w:hAnsi="PT Astra Serif" w:eastAsia="Times New Roman"/>
          <w:sz w:val="24"/>
          <w:szCs w:val="24"/>
          <w:lang w:eastAsia="ru-RU"/>
        </w:rPr>
        <w:t xml:space="preserve"> Томский государственный педагогический университет (ТГПУ) в рамках проекта Минпросвещения </w:t>
      </w:r>
      <w:r>
        <w:rPr>
          <w:rFonts w:ascii="PT Astra Serif" w:hAnsi="PT Astra Serif" w:eastAsia="Times New Roman"/>
          <w:sz w:val="24"/>
          <w:szCs w:val="24"/>
          <w:lang w:eastAsia="ru-RU"/>
        </w:rPr>
        <w:t xml:space="preserve">России</w:t>
      </w:r>
      <w:r>
        <w:rPr>
          <w:rFonts w:ascii="PT Astra Serif" w:hAnsi="PT Astra Serif" w:eastAsia="Times New Roman"/>
          <w:sz w:val="24"/>
          <w:szCs w:val="24"/>
          <w:lang w:eastAsia="ru-RU"/>
        </w:rPr>
        <w:t xml:space="preserve"> «Формирование и развитие комплексной сети центров открытого образования на русском языке и обучения русскому языку» в странах Африки, Азии и Латинской Америки открыл такой центр в г. Найроби Республики Кения. В Центре обучило</w:t>
      </w:r>
      <w:r>
        <w:rPr>
          <w:rFonts w:ascii="PT Astra Serif" w:hAnsi="PT Astra Serif" w:eastAsia="Times New Roman"/>
          <w:sz w:val="24"/>
          <w:szCs w:val="24"/>
          <w:lang w:eastAsia="ru-RU"/>
        </w:rPr>
        <w:t xml:space="preserve">сь уже более 300 граждан Кении;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sz w:val="24"/>
          <w:szCs w:val="24"/>
        </w:rPr>
        <w:t xml:space="preserve">–</w:t>
      </w:r>
      <w:r>
        <w:rPr>
          <w:rFonts w:ascii="PT Astra Serif" w:hAnsi="PT Astra Serif" w:eastAsia="Times New Roman"/>
          <w:sz w:val="24"/>
          <w:szCs w:val="24"/>
          <w:lang w:eastAsia="ru-RU"/>
        </w:rPr>
        <w:t xml:space="preserve"> ТУСУР подписал соглашение о сотрудничестве с «Русским деловым центром» в г. Яунде (Камерун) в рамках Саммита «Россия – Африка» в Санкт-Петербурге 27</w:t>
      </w:r>
      <w:r>
        <w:rPr>
          <w:rFonts w:ascii="PT Astra Serif" w:hAnsi="PT Astra Serif"/>
          <w:sz w:val="24"/>
          <w:szCs w:val="24"/>
        </w:rPr>
        <w:t xml:space="preserve">–</w:t>
      </w:r>
      <w:r>
        <w:rPr>
          <w:rFonts w:ascii="PT Astra Serif" w:hAnsi="PT Astra Serif" w:eastAsia="Times New Roman"/>
          <w:sz w:val="24"/>
          <w:szCs w:val="24"/>
          <w:lang w:eastAsia="ru-RU"/>
        </w:rPr>
        <w:t xml:space="preserve">28 июля 2023 года.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cs="Arial"/>
          <w:sz w:val="24"/>
          <w:szCs w:val="24"/>
          <w:shd w:val="clear" w:color="auto" w:fill="ffffff"/>
        </w:rPr>
      </w:pPr>
      <w:r>
        <w:rPr>
          <w:rFonts w:ascii="PT Astra Serif" w:hAnsi="PT Astra Serif" w:cs="Arial"/>
          <w:sz w:val="24"/>
          <w:szCs w:val="24"/>
          <w:shd w:val="clear" w:color="auto" w:fill="ffffff"/>
        </w:rPr>
        <w:t xml:space="preserve">Африка </w:t>
      </w:r>
      <w:r>
        <w:rPr>
          <w:rFonts w:ascii="PT Astra Serif" w:hAnsi="PT Astra Serif"/>
          <w:sz w:val="24"/>
          <w:szCs w:val="24"/>
        </w:rPr>
        <w:t xml:space="preserve">–</w:t>
      </w:r>
      <w:r>
        <w:rPr>
          <w:rFonts w:ascii="PT Astra Serif" w:hAnsi="PT Astra Serif" w:cs="Arial"/>
          <w:sz w:val="24"/>
          <w:szCs w:val="24"/>
          <w:shd w:val="clear" w:color="auto" w:fill="ffffff"/>
        </w:rPr>
        <w:t xml:space="preserve"> относительно новое направление для томских научно-образовательных учреждений, демонстрирующее стремительную динамику. Наиболее перспективные направления сотрудничества со странами африканского континента – изучение русского языка</w:t>
      </w:r>
      <w:r>
        <w:rPr>
          <w:rFonts w:ascii="PT Astra Serif" w:hAnsi="PT Astra Serif" w:cs="Arial"/>
          <w:sz w:val="24"/>
          <w:szCs w:val="24"/>
          <w:shd w:val="clear" w:color="auto" w:fill="ffffff"/>
        </w:rPr>
        <w:t xml:space="preserve">, ядерная промышленность, медицина, нефтегазовое дело, корпоративные программы обучения по данным направлениям. 14% от общего количества студентов из стран дальнего зарубежья составляет контингент студентов из 34 стран Африки в университетах Томска. В 2023</w:t>
      </w:r>
      <w:r>
        <w:rPr>
          <w:rFonts w:ascii="PT Astra Serif" w:hAnsi="PT Astra Serif"/>
          <w:sz w:val="24"/>
          <w:szCs w:val="24"/>
        </w:rPr>
        <w:t xml:space="preserve">–</w:t>
      </w:r>
      <w:r>
        <w:rPr>
          <w:rFonts w:ascii="PT Astra Serif" w:hAnsi="PT Astra Serif" w:cs="Arial"/>
          <w:sz w:val="24"/>
          <w:szCs w:val="24"/>
          <w:shd w:val="clear" w:color="auto" w:fill="ffffff"/>
        </w:rPr>
        <w:t xml:space="preserve">2024 учебном году количество африканских студентов выросло на 20%. </w:t>
      </w:r>
      <w:r>
        <w:rPr>
          <w:rFonts w:ascii="PT Astra Serif" w:hAnsi="PT Astra Serif" w:cs="Arial"/>
          <w:sz w:val="24"/>
          <w:szCs w:val="24"/>
          <w:shd w:val="clear" w:color="auto" w:fill="ffffff"/>
        </w:rPr>
      </w:r>
      <w:r>
        <w:rPr>
          <w:rFonts w:ascii="PT Astra Serif" w:hAnsi="PT Astra Serif" w:cs="Arial"/>
          <w:sz w:val="24"/>
          <w:szCs w:val="24"/>
          <w:shd w:val="clear" w:color="auto" w:fill="ffffff"/>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2023 году активно развивалось межрегиональное сотрудничество. Подписаны соглашения с Правительством Иркутской области, Правительством Санкт-Петербурга, Администрацией Губернатора и Правительств</w:t>
      </w:r>
      <w:r>
        <w:rPr>
          <w:rFonts w:ascii="PT Astra Serif" w:hAnsi="PT Astra Serif" w:eastAsia="Times New Roman"/>
          <w:sz w:val="24"/>
          <w:szCs w:val="24"/>
          <w:lang w:eastAsia="ru-RU"/>
        </w:rPr>
        <w:t xml:space="preserve">ом</w:t>
      </w:r>
      <w:r>
        <w:rPr>
          <w:rFonts w:ascii="PT Astra Serif" w:hAnsi="PT Astra Serif" w:eastAsia="Times New Roman"/>
          <w:sz w:val="24"/>
          <w:szCs w:val="24"/>
          <w:lang w:eastAsia="ru-RU"/>
        </w:rPr>
        <w:t xml:space="preserve"> Запорожской области, а также План совместных мероприятий с ХМАО. Одним из стимулов для активизации межрегионального взаимодействия стала Арктическая повестка: Томская область приняла участие </w:t>
      </w:r>
      <w:r>
        <w:rPr>
          <w:rFonts w:ascii="PT Astra Serif" w:hAnsi="PT Astra Serif" w:eastAsia="Times New Roman"/>
          <w:sz w:val="24"/>
          <w:szCs w:val="24"/>
          <w:lang w:eastAsia="ru-RU"/>
        </w:rPr>
        <w:t xml:space="preserve">в ряде мероприятий Международной организации северных территорий «Северный форум», включающей российские регионы Арктической зоны РФ. На базе НИ ТГУ в Томске был организован первый Международный форум ассоциаций и консорциумов северных территорий (ФАКСТ).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t xml:space="preserve">1. Повышение эффективности взаимодействия с традиционными партнерами Томской области (Беларусь, Узбекистан, Казахстан, Кыргызстан, Китай).</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t xml:space="preserve">2. Расширение присутствия и повышение узнаваемости Томской области на новых рынках Ближнего Востока, Юго-Восточной Азии, Африки.</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t xml:space="preserve">3. Диверсификация каналов экспортных продаж, в том числе посредством развития электронной коммерции.</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t xml:space="preserve">4. Обеспечение благоприятной институциональной среды для развития внешнеторговой деятельности: совершенствование нормативной базы, повышение качества оказываемых услуг, смягчение инфраструктурных барьеров</w:t>
      </w:r>
      <w:r>
        <w:rPr>
          <w:rFonts w:ascii="PT Astra Serif" w:hAnsi="PT Astra Serif"/>
          <w:sz w:val="24"/>
          <w:szCs w:val="24"/>
        </w:rPr>
        <w:t xml:space="preserve"> во внешнеторговой деятельности.</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t xml:space="preserve">5. Популяризация экспортной деятельности среди экономически активного населения и молод</w:t>
      </w:r>
      <w:r>
        <w:rPr>
          <w:rFonts w:ascii="PT Astra Serif" w:hAnsi="PT Astra Serif"/>
          <w:sz w:val="24"/>
          <w:szCs w:val="24"/>
        </w:rPr>
        <w:t xml:space="preserve">е</w:t>
      </w:r>
      <w:r>
        <w:rPr>
          <w:rFonts w:ascii="PT Astra Serif" w:hAnsi="PT Astra Serif"/>
          <w:sz w:val="24"/>
          <w:szCs w:val="24"/>
        </w:rPr>
        <w:t xml:space="preserve">жи Томской области, повышение охвата мерами поддержки экспорта большего числа предприятий и обеспечение адресности предоставляемых мер. </w:t>
      </w:r>
      <w:r>
        <w:rPr>
          <w:rFonts w:ascii="PT Astra Serif" w:hAnsi="PT Astra Serif"/>
          <w:sz w:val="24"/>
          <w:szCs w:val="24"/>
        </w:rPr>
      </w:r>
      <w:r>
        <w:rPr>
          <w:rFonts w:ascii="PT Astra Serif" w:hAnsi="PT Astra Serif"/>
          <w:sz w:val="24"/>
          <w:szCs w:val="24"/>
        </w:rPr>
      </w:r>
    </w:p>
    <w:p>
      <w:pPr>
        <w:spacing w:after="0" w:line="240" w:lineRule="auto"/>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br w:type="page" w:clear="all"/>
      </w:r>
      <w:r>
        <w:rPr>
          <w:rFonts w:ascii="PT Astra Serif" w:hAnsi="PT Astra Serif"/>
          <w:sz w:val="24"/>
          <w:szCs w:val="24"/>
        </w:rPr>
      </w:r>
      <w:r>
        <w:rPr>
          <w:rFonts w:ascii="PT Astra Serif" w:hAnsi="PT Astra Serif"/>
          <w:sz w:val="24"/>
          <w:szCs w:val="24"/>
        </w:rPr>
      </w:r>
    </w:p>
    <w:p>
      <w:pPr>
        <w:pStyle w:val="1132"/>
        <w:rPr>
          <w:caps/>
        </w:rPr>
        <w:outlineLvl w:val="0"/>
      </w:pPr>
      <w:r/>
      <w:hyperlink r:id="rId43" w:tooltip="consultantplus://offline/ref=556F33B6F03A1F9FB0AD35A5ED64A320B53B1CEF8C01C9A7D81EBCE6AD897785C15F825301A8322F4ACFFCO4P5M" w:history="1">
        <w:bookmarkStart w:id="9" w:name="_Toc134630399"/>
        <w:r>
          <w:rPr>
            <w:rStyle w:val="1127"/>
            <w:color w:val="auto"/>
            <w:u w:val="none"/>
          </w:rPr>
          <w:t xml:space="preserve">РАЗДЕЛ II</w:t>
        </w:r>
      </w:hyperlink>
      <w:r>
        <w:t xml:space="preserve"> </w:t>
      </w:r>
      <w:r>
        <w:rPr>
          <w:caps/>
        </w:rPr>
        <w:t xml:space="preserve">Рациональное использование природного капитала, устойчивое развитие агропромышленного комплекса</w:t>
      </w:r>
      <w:bookmarkEnd w:id="9"/>
      <w:r>
        <w:rPr>
          <w:caps/>
        </w:rPr>
      </w:r>
      <w:r>
        <w:rPr>
          <w:caps/>
        </w:rPr>
      </w:r>
    </w:p>
    <w:p>
      <w:pPr>
        <w:pStyle w:val="1158"/>
        <w:tabs>
          <w:tab w:val="clear" w:pos="4153" w:leader="none"/>
          <w:tab w:val="left" w:pos="4962" w:leader="none"/>
        </w:tabs>
        <w:rPr>
          <w:rFonts w:ascii="PT Astra Serif" w:hAnsi="PT Astra Serif"/>
        </w:rPr>
      </w:pPr>
      <w:r>
        <w:rPr>
          <w:rFonts w:ascii="PT Astra Serif" w:hAnsi="PT Astra Serif"/>
        </w:rPr>
      </w:r>
      <w:r>
        <w:rPr>
          <w:rFonts w:ascii="PT Astra Serif" w:hAnsi="PT Astra Serif"/>
        </w:rPr>
      </w:r>
      <w:r>
        <w:rPr>
          <w:rFonts w:ascii="PT Astra Serif" w:hAnsi="PT Astra Serif"/>
        </w:rPr>
      </w:r>
    </w:p>
    <w:p>
      <w:pPr>
        <w:pStyle w:val="1146"/>
        <w:outlineLvl w:val="1"/>
      </w:pPr>
      <w:r/>
      <w:bookmarkStart w:id="10" w:name="_Toc134630400"/>
      <w:r>
        <w:t xml:space="preserve">2.1. Обеспечение рационального использования природных ресурсов и повышение качества окружающей среды</w:t>
      </w:r>
      <w:bookmarkEnd w:id="10"/>
      <w:r/>
      <w:r/>
    </w:p>
    <w:p>
      <w:pPr>
        <w:pStyle w:val="1158"/>
        <w:tabs>
          <w:tab w:val="clear" w:pos="4153" w:leader="none"/>
          <w:tab w:val="left" w:pos="4962" w:leader="none"/>
        </w:tabs>
        <w:rPr>
          <w:rFonts w:ascii="PT Astra Serif" w:hAnsi="PT Astra Serif"/>
        </w:rPr>
      </w:pPr>
      <w:r>
        <w:rPr>
          <w:rFonts w:ascii="PT Astra Serif" w:hAnsi="PT Astra Serif"/>
        </w:rPr>
      </w:r>
      <w:r>
        <w:rPr>
          <w:rFonts w:ascii="PT Astra Serif" w:hAnsi="PT Astra Serif"/>
        </w:rPr>
      </w:r>
      <w:r>
        <w:rPr>
          <w:rFonts w:ascii="PT Astra Serif" w:hAnsi="PT Astra Serif"/>
        </w:rPr>
      </w:r>
    </w:p>
    <w:p>
      <w:pPr>
        <w:pStyle w:val="1154"/>
        <w:shd w:val="clear" w:color="auto" w:fill="eaf1dd" w:themeFill="accent3" w:themeFillTint="33"/>
        <w:tabs>
          <w:tab w:val="left" w:pos="4962" w:leader="none"/>
        </w:tabs>
        <w:rPr>
          <w:rFonts w:ascii="PT Astra Serif" w:hAnsi="PT Astra Serif"/>
          <w:b/>
        </w:rPr>
      </w:pPr>
      <w:r>
        <w:rPr>
          <w:rFonts w:ascii="PT Astra Serif" w:hAnsi="PT Astra Serif"/>
          <w:b/>
        </w:rPr>
        <w:t xml:space="preserve">Лесной потенциал</w:t>
      </w:r>
      <w:r>
        <w:rPr>
          <w:rStyle w:val="1138"/>
          <w:rFonts w:ascii="PT Astra Serif" w:hAnsi="PT Astra Serif"/>
          <w:b/>
        </w:rPr>
        <w:footnoteReference w:id="4"/>
      </w:r>
      <w:r>
        <w:rPr>
          <w:rFonts w:ascii="PT Astra Serif" w:hAnsi="PT Astra Serif"/>
          <w:b/>
        </w:rPr>
      </w:r>
      <w:r>
        <w:rPr>
          <w:rFonts w:ascii="PT Astra Serif" w:hAnsi="PT Astra Serif"/>
          <w:b/>
        </w:rPr>
      </w:r>
    </w:p>
    <w:p>
      <w:pPr>
        <w:pStyle w:val="1154"/>
        <w:ind w:firstLine="709"/>
        <w:jc w:val="both"/>
        <w:rPr>
          <w:rFonts w:ascii="PT Astra Serif" w:hAnsi="PT Astra Serif"/>
        </w:rPr>
      </w:pPr>
      <w:r>
        <w:rPr>
          <w:rFonts w:ascii="PT Astra Serif" w:hAnsi="PT Astra Serif"/>
        </w:rPr>
        <w:t xml:space="preserve">Томская область относится к многолесным регионам и по общим запасам леса занимает 8-е место среди регионов Российской Федерации и 3-е место – в СФО.</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Общая площадь земель лесного фонда Томской области составляет 28,</w:t>
      </w:r>
      <w:r>
        <w:rPr>
          <w:rFonts w:ascii="PT Astra Serif" w:hAnsi="PT Astra Serif"/>
        </w:rPr>
        <w:t xml:space="preserve">7</w:t>
      </w:r>
      <w:r>
        <w:rPr>
          <w:rFonts w:ascii="PT Astra Serif" w:hAnsi="PT Astra Serif"/>
        </w:rPr>
        <w:t xml:space="preserve"> млн га или 91,5% террит</w:t>
      </w:r>
      <w:r>
        <w:rPr>
          <w:rFonts w:ascii="PT Astra Serif" w:hAnsi="PT Astra Serif"/>
        </w:rPr>
        <w:t xml:space="preserve">ории области, лесистость – 61,1</w:t>
      </w:r>
      <w:r>
        <w:rPr>
          <w:rFonts w:ascii="PT Astra Serif" w:hAnsi="PT Astra Serif"/>
        </w:rPr>
        <w:t xml:space="preserve">%. Запас древесины оценивается в 2,8 </w:t>
      </w:r>
      <w:r>
        <w:rPr>
          <w:rFonts w:ascii="PT Astra Serif" w:hAnsi="PT Astra Serif"/>
        </w:rPr>
        <w:t xml:space="preserve">млрд</w:t>
      </w:r>
      <w:r>
        <w:rPr>
          <w:rFonts w:ascii="PT Astra Serif" w:hAnsi="PT Astra Serif"/>
        </w:rPr>
        <w:t xml:space="preserve"> </w:t>
      </w:r>
      <w:r>
        <w:rPr>
          <w:rFonts w:ascii="PT Astra Serif" w:hAnsi="PT Astra Serif"/>
        </w:rPr>
        <w:t xml:space="preserve">куб. м, в том числе по хвойной – 1,6 </w:t>
      </w:r>
      <w:r>
        <w:rPr>
          <w:rFonts w:ascii="PT Astra Serif" w:hAnsi="PT Astra Serif"/>
        </w:rPr>
        <w:t xml:space="preserve">млрд</w:t>
      </w:r>
      <w:r>
        <w:rPr>
          <w:rFonts w:ascii="PT Astra Serif" w:hAnsi="PT Astra Serif"/>
        </w:rPr>
        <w:t xml:space="preserve"> </w:t>
      </w:r>
      <w:r>
        <w:rPr>
          <w:rFonts w:ascii="PT Astra Serif" w:hAnsi="PT Astra Serif"/>
        </w:rPr>
        <w:t xml:space="preserve">куб. м. Распределение площади лесов по преобладающим породам</w:t>
      </w:r>
      <w:r>
        <w:rPr>
          <w:rFonts w:ascii="PT Astra Serif" w:hAnsi="PT Astra Serif"/>
        </w:rPr>
        <w:t xml:space="preserve">: береза – 35,6%, сосна – 28,8%, кедр – 19,3%, осина – 9,8</w:t>
      </w:r>
      <w:r>
        <w:rPr>
          <w:rFonts w:ascii="PT Astra Serif" w:hAnsi="PT Astra Serif"/>
        </w:rPr>
        <w:t xml:space="preserve">%</w:t>
      </w:r>
      <w:r>
        <w:rPr>
          <w:rFonts w:ascii="PT Astra Serif" w:hAnsi="PT Astra Serif"/>
        </w:rPr>
        <w:t xml:space="preserve">, ель, пихта, лиственница – 5,7%, другие мягколиственные – 0,8</w:t>
      </w:r>
      <w:r>
        <w:rPr>
          <w:rFonts w:ascii="PT Astra Serif" w:hAnsi="PT Astra Serif"/>
        </w:rPr>
        <w:t xml:space="preserve">%.</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рамках подготовки к пожароопасному сезону 2023 года проведены все необходимые организационно-технические, подготовительные мероприятия:</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w:t>
      </w:r>
      <w:r>
        <w:rPr>
          <w:rFonts w:ascii="PT Astra Serif" w:hAnsi="PT Astra Serif"/>
        </w:rPr>
        <w:t xml:space="preserve"> обеспечено функционирование 18 лесопожарных формирований Томской области (10 лесопожарных станций ОГАУ «Томсклесхоз» и 8 авиаотделений ОГСБУ «Томская авиабаза»); </w:t>
      </w:r>
      <w:r>
        <w:rPr>
          <w:rFonts w:ascii="PT Astra Serif" w:hAnsi="PT Astra Serif"/>
        </w:rPr>
      </w:r>
      <w:r>
        <w:rPr>
          <w:rFonts w:ascii="PT Astra Serif" w:hAnsi="PT Astra Serif"/>
        </w:rPr>
      </w:r>
    </w:p>
    <w:p>
      <w:pPr>
        <w:pStyle w:val="1154"/>
        <w:ind w:firstLine="709"/>
        <w:jc w:val="both"/>
        <w:rPr>
          <w:rFonts w:ascii="PT Astra Serif" w:hAnsi="PT Astra Serif"/>
          <w:strike/>
        </w:rPr>
      </w:pPr>
      <w:r>
        <w:rPr>
          <w:rFonts w:ascii="PT Astra Serif" w:hAnsi="PT Astra Serif"/>
        </w:rPr>
        <w:t xml:space="preserve">–</w:t>
      </w:r>
      <w:r>
        <w:rPr>
          <w:rFonts w:ascii="PT Astra Serif" w:hAnsi="PT Astra Serif"/>
        </w:rPr>
        <w:t xml:space="preserve"> обеспечена работа Региональной диспетчерской службы лесного хозяйства Томской области в круглосуточном режиме, а также работа телефона горячей линии;</w:t>
      </w:r>
      <w:r>
        <w:rPr>
          <w:rFonts w:ascii="PT Astra Serif" w:hAnsi="PT Astra Serif"/>
          <w:strike/>
        </w:rPr>
      </w:r>
      <w:r>
        <w:rPr>
          <w:rFonts w:ascii="PT Astra Serif" w:hAnsi="PT Astra Serif"/>
          <w:strike/>
        </w:rPr>
      </w:r>
    </w:p>
    <w:p>
      <w:pPr>
        <w:pStyle w:val="1154"/>
        <w:ind w:firstLine="709"/>
        <w:jc w:val="both"/>
        <w:rPr>
          <w:rFonts w:ascii="PT Astra Serif" w:hAnsi="PT Astra Serif"/>
        </w:rPr>
      </w:pPr>
      <w:r>
        <w:rPr>
          <w:rFonts w:ascii="PT Astra Serif" w:hAnsi="PT Astra Serif"/>
        </w:rPr>
        <w:t xml:space="preserve">–</w:t>
      </w:r>
      <w:r>
        <w:rPr>
          <w:rFonts w:ascii="PT Astra Serif" w:hAnsi="PT Astra Serif"/>
        </w:rPr>
        <w:t xml:space="preserve"> </w:t>
      </w:r>
      <w:r>
        <w:rPr>
          <w:rFonts w:ascii="PT Astra Serif" w:hAnsi="PT Astra Serif"/>
          <w:strike/>
        </w:rPr>
        <w:t xml:space="preserve"> </w:t>
      </w:r>
      <w:r>
        <w:rPr>
          <w:rFonts w:ascii="PT Astra Serif" w:hAnsi="PT Astra Serif"/>
        </w:rPr>
        <w:t xml:space="preserve">приобретен автобус для перевозки людей и </w:t>
      </w:r>
      <w:r>
        <w:rPr>
          <w:rFonts w:ascii="PT Astra Serif" w:hAnsi="PT Astra Serif"/>
        </w:rPr>
        <w:t xml:space="preserve">46 ранцевых лесных огнетушителей</w:t>
      </w:r>
      <w:r>
        <w:rPr>
          <w:rFonts w:ascii="PT Astra Serif" w:hAnsi="PT Astra Serif"/>
        </w:rPr>
        <w:t xml:space="preserve">;</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w:t>
      </w:r>
      <w:r>
        <w:rPr>
          <w:rFonts w:ascii="PT Astra Serif" w:hAnsi="PT Astra Serif"/>
        </w:rPr>
        <w:t xml:space="preserve"> разработаны и утверждены маршруты авиационного и наземного патрулирования земель лесного фонда, сокращена зона контроля на 3 369,874 тыс. га за счет увеличения зоны авиационного обнаружения и тушения;</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w:t>
      </w:r>
      <w:r>
        <w:rPr>
          <w:rFonts w:ascii="PT Astra Serif" w:hAnsi="PT Astra Serif"/>
        </w:rPr>
        <w:t xml:space="preserve"> обеспечена работа 26 камер видеонаблюдения с целью оперативного обнаружения лесных пожаров на территории 6 районов Томской области;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w:t>
      </w:r>
      <w:r>
        <w:rPr>
          <w:rFonts w:ascii="PT Astra Serif" w:hAnsi="PT Astra Serif"/>
        </w:rPr>
        <w:t xml:space="preserve"> проведено противопожарное обустройство лесов: устройство противопожарных минерализованных полос 471,7 км, уход за противопожарными минерализованными полосами </w:t>
      </w:r>
      <w:r>
        <w:rPr>
          <w:rFonts w:ascii="PT Astra Serif" w:hAnsi="PT Astra Serif"/>
        </w:rPr>
        <w:t xml:space="preserve">1721,4 км.</w:t>
      </w:r>
      <w:r>
        <w:rPr>
          <w:rFonts w:ascii="PT Astra Serif" w:hAnsi="PT Astra Serif"/>
        </w:rPr>
      </w:r>
      <w:r>
        <w:rPr>
          <w:rFonts w:ascii="PT Astra Serif" w:hAnsi="PT Astra Serif"/>
        </w:rPr>
      </w:r>
    </w:p>
    <w:p>
      <w:pPr>
        <w:pStyle w:val="1154"/>
        <w:ind w:firstLine="709"/>
        <w:jc w:val="both"/>
        <w:rPr>
          <w:rFonts w:ascii="PT Astra Serif" w:hAnsi="PT Astra Serif"/>
          <w:strike/>
        </w:rPr>
      </w:pPr>
      <w:r>
        <w:rPr>
          <w:rFonts w:ascii="PT Astra Serif" w:hAnsi="PT Astra Serif"/>
        </w:rPr>
        <w:t xml:space="preserve">Пожаро</w:t>
      </w:r>
      <w:r>
        <w:rPr>
          <w:rFonts w:ascii="PT Astra Serif" w:hAnsi="PT Astra Serif"/>
        </w:rPr>
        <w:t xml:space="preserve">опасный сезон 2023 года на территории Томской области характеризовался высокими пиками температурных режимов, сухими грозами, минимальным количеством осадков, не характерных для региона, и, как следствие, введением особого противопожарного режима в лесах. </w:t>
      </w:r>
      <w:r>
        <w:rPr>
          <w:rFonts w:ascii="PT Astra Serif" w:hAnsi="PT Astra Serif"/>
          <w:strike/>
        </w:rPr>
      </w:r>
      <w:r>
        <w:rPr>
          <w:rFonts w:ascii="PT Astra Serif" w:hAnsi="PT Astra Serif"/>
          <w:strike/>
        </w:rPr>
      </w:r>
    </w:p>
    <w:p>
      <w:pPr>
        <w:pStyle w:val="1154"/>
        <w:ind w:firstLine="709"/>
        <w:jc w:val="both"/>
        <w:rPr>
          <w:rFonts w:ascii="PT Astra Serif" w:hAnsi="PT Astra Serif"/>
        </w:rPr>
      </w:pPr>
      <w:r>
        <w:rPr>
          <w:rFonts w:ascii="PT Astra Serif" w:hAnsi="PT Astra Serif"/>
        </w:rPr>
        <w:t xml:space="preserve">Всего в 2023 году на землях лесного фонда ликвидировано 236 л</w:t>
      </w:r>
      <w:r>
        <w:rPr>
          <w:rFonts w:ascii="PT Astra Serif" w:hAnsi="PT Astra Serif"/>
        </w:rPr>
        <w:t xml:space="preserve">есных пожаров на общей площади 82323,45 га. Средняя площадь одного пожара составила 348,83 га. В связи с ухудшением лесопожарной обстановки в рамках межрегионального маневрирования дополнительно привлекались силы федерального резерва ФБУ «Авиалесоохрана». </w:t>
      </w:r>
      <w:r>
        <w:rPr>
          <w:rFonts w:ascii="PT Astra Serif" w:hAnsi="PT Astra Serif"/>
        </w:rPr>
      </w:r>
      <w:r>
        <w:rPr>
          <w:rFonts w:ascii="PT Astra Serif" w:hAnsi="PT Astra Serif"/>
        </w:rPr>
      </w:r>
    </w:p>
    <w:p>
      <w:pPr>
        <w:pStyle w:val="1154"/>
        <w:ind w:firstLine="709"/>
        <w:jc w:val="both"/>
        <w:rPr>
          <w:rFonts w:ascii="PT Astra Serif" w:hAnsi="PT Astra Serif"/>
          <w:strike/>
        </w:rPr>
      </w:pPr>
      <w:r>
        <w:rPr>
          <w:rFonts w:ascii="PT Astra Serif" w:hAnsi="PT Astra Serif"/>
        </w:rPr>
        <w:t xml:space="preserve">Благодаря принятым мерам удалось не допустить перехода огня с земель лесного фонда на земли населенных пунктов и объекты экономики. Проведено 7265 мероприятий по организации проверок лесного законодательства.</w:t>
      </w:r>
      <w:r>
        <w:rPr>
          <w:rFonts w:ascii="PT Astra Serif" w:hAnsi="PT Astra Serif"/>
          <w:strike/>
        </w:rPr>
        <w:t xml:space="preserve"> </w:t>
      </w:r>
      <w:r>
        <w:rPr>
          <w:rFonts w:ascii="PT Astra Serif" w:hAnsi="PT Astra Serif"/>
          <w:strike/>
        </w:rPr>
      </w:r>
      <w:r>
        <w:rPr>
          <w:rFonts w:ascii="PT Astra Serif" w:hAnsi="PT Astra Serif"/>
          <w:strike/>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2023 году выполнены мероприятия по лесовосстановлению на площади 47,3 тыс. га, при плане 39 тыс. га, отношение площади лесовосстановления и лесоразведения к площади вырубленных и погибших лесных насаждений составило 103,7% (при плане 82,03%).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4"/>
        <w:ind w:firstLine="709"/>
        <w:jc w:val="both"/>
        <w:rPr>
          <w:rFonts w:ascii="PT Astra Serif" w:hAnsi="PT Astra Serif"/>
        </w:rPr>
      </w:pPr>
      <w:r>
        <w:rPr>
          <w:rFonts w:ascii="PT Astra Serif" w:hAnsi="PT Astra Serif"/>
        </w:rPr>
        <w:t xml:space="preserve">Проведены организационно-технические мероприятия по подбору (отводу) участков лесных насаждений, предназначенных для заготовки древесины, на площади </w:t>
      </w:r>
      <w:r>
        <w:rPr>
          <w:rFonts w:ascii="PT Astra Serif" w:hAnsi="PT Astra Serif"/>
        </w:rPr>
        <w:t xml:space="preserve">5029,4 га</w:t>
      </w:r>
      <w:r>
        <w:rPr>
          <w:rFonts w:ascii="PT Astra Serif" w:hAnsi="PT Astra Serif"/>
        </w:rPr>
        <w:t xml:space="preserve">, проведено 7 аукционо</w:t>
      </w:r>
      <w:r>
        <w:rPr>
          <w:rFonts w:ascii="PT Astra Serif" w:hAnsi="PT Astra Serif"/>
        </w:rPr>
        <w:t xml:space="preserve">в, заключено 334 договора купли–</w:t>
      </w:r>
      <w:r>
        <w:rPr>
          <w:rFonts w:ascii="PT Astra Serif" w:hAnsi="PT Astra Serif"/>
        </w:rPr>
        <w:t xml:space="preserve">продажи на площади 4262 га в объеме 705,1 тыс. куб. м.</w:t>
      </w:r>
      <w:r>
        <w:rPr>
          <w:rFonts w:ascii="PT Astra Serif" w:hAnsi="PT Astra Serif"/>
        </w:rPr>
      </w:r>
      <w:r>
        <w:rPr>
          <w:rFonts w:ascii="PT Astra Serif" w:hAnsi="PT Astra Serif"/>
        </w:rPr>
      </w:r>
    </w:p>
    <w:p>
      <w:pPr>
        <w:ind w:firstLine="709"/>
        <w:jc w:val="both"/>
        <w:spacing w:after="0" w:line="240" w:lineRule="auto"/>
        <w:rPr>
          <w:rFonts w:ascii="PT Astra Serif" w:hAnsi="PT Astra Serif" w:eastAsia="Times New Roman"/>
          <w:strike/>
          <w:sz w:val="24"/>
          <w:szCs w:val="24"/>
          <w:lang w:eastAsia="ru-RU"/>
        </w:rPr>
      </w:pPr>
      <w:r>
        <w:rPr>
          <w:rFonts w:ascii="PT Astra Serif" w:hAnsi="PT Astra Serif" w:eastAsia="Times New Roman"/>
          <w:sz w:val="24"/>
          <w:szCs w:val="24"/>
          <w:lang w:eastAsia="ru-RU"/>
        </w:rPr>
        <w:t xml:space="preserve">С целью увеличения площади посевов в лесных питомниках в 2023 году заготов</w:t>
      </w:r>
      <w:r>
        <w:rPr>
          <w:rFonts w:ascii="PT Astra Serif" w:hAnsi="PT Astra Serif" w:eastAsia="Times New Roman"/>
          <w:sz w:val="24"/>
          <w:szCs w:val="24"/>
          <w:lang w:eastAsia="ru-RU"/>
        </w:rPr>
        <w:t xml:space="preserve">лено 6 165 кг семян лесных растений, посев площади 2 га. Проводятся мероприятия по развитию производства лесопосадочного материала. На базе агрохолдинга ООО «Трубачево» организовано выращивание собственного посадочного материала с закрытой корневой системо</w:t>
      </w:r>
      <w:r>
        <w:rPr>
          <w:rFonts w:ascii="PT Astra Serif" w:hAnsi="PT Astra Serif" w:eastAsia="Times New Roman"/>
          <w:sz w:val="24"/>
          <w:szCs w:val="24"/>
          <w:lang w:eastAsia="ru-RU"/>
        </w:rPr>
        <w:t xml:space="preserve">й. В 2023 году выращено 3,2 млн</w:t>
      </w:r>
      <w:r>
        <w:rPr>
          <w:rFonts w:ascii="PT Astra Serif" w:hAnsi="PT Astra Serif" w:eastAsia="Times New Roman"/>
          <w:sz w:val="24"/>
          <w:szCs w:val="24"/>
          <w:lang w:eastAsia="ru-RU"/>
        </w:rPr>
        <w:t xml:space="preserve"> штук, что полностью обеспечивает посадочным материалом регион и позволяет обеспечивать другие субъекты Российской Федерации.</w:t>
      </w:r>
      <w:r>
        <w:rPr>
          <w:rFonts w:ascii="PT Astra Serif" w:hAnsi="PT Astra Serif" w:eastAsia="Times New Roman"/>
          <w:strike/>
          <w:sz w:val="24"/>
          <w:szCs w:val="24"/>
          <w:lang w:eastAsia="ru-RU"/>
        </w:rPr>
      </w:r>
      <w:r>
        <w:rPr>
          <w:rFonts w:ascii="PT Astra Serif" w:hAnsi="PT Astra Serif" w:eastAsia="Times New Roman"/>
          <w:strike/>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2023 году на площадке Совета Федерации инициировано обращение в Минприроды России и Рослесхоз в части включения в план проведения лесоустройства на 2024</w:t>
      </w:r>
      <w:r>
        <w:rPr>
          <w:rFonts w:ascii="PT Astra Serif" w:hAnsi="PT Astra Serif"/>
          <w:sz w:val="24"/>
          <w:szCs w:val="24"/>
        </w:rPr>
        <w:t xml:space="preserve">–</w:t>
      </w:r>
      <w:r>
        <w:rPr>
          <w:rFonts w:ascii="PT Astra Serif" w:hAnsi="PT Astra Serif" w:eastAsia="Times New Roman"/>
          <w:sz w:val="24"/>
          <w:szCs w:val="24"/>
          <w:lang w:eastAsia="ru-RU"/>
        </w:rPr>
        <w:t xml:space="preserve">2025 годы в отношении лесов в границах Верхнекетского и Улу-Юльского лесничеств Томской области. Финансирование работ по лесоустройству составит порядка 1,6 </w:t>
      </w:r>
      <w:r>
        <w:rPr>
          <w:rFonts w:ascii="PT Astra Serif" w:hAnsi="PT Astra Serif" w:eastAsia="Times New Roman"/>
          <w:sz w:val="24"/>
          <w:szCs w:val="24"/>
          <w:lang w:eastAsia="ru-RU"/>
        </w:rPr>
        <w:t xml:space="preserve">млрд</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руб</w:t>
      </w:r>
      <w:r>
        <w:rPr>
          <w:rFonts w:ascii="PT Astra Serif" w:hAnsi="PT Astra Serif" w:eastAsia="Times New Roman"/>
          <w:sz w:val="24"/>
          <w:szCs w:val="24"/>
          <w:lang w:eastAsia="ru-RU"/>
        </w:rPr>
        <w:t xml:space="preserve">лей</w:t>
      </w:r>
      <w:r>
        <w:rPr>
          <w:rFonts w:ascii="PT Astra Serif" w:hAnsi="PT Astra Serif" w:eastAsia="Times New Roman"/>
          <w:sz w:val="24"/>
          <w:szCs w:val="24"/>
          <w:lang w:eastAsia="ru-RU"/>
        </w:rPr>
        <w:t xml:space="preserve">. В соответствии с разработанной дорожной картой «О проведении лесоустройства на территории Томской области (Верхнекетского и Улу-Юльского лесничеств)» до </w:t>
      </w:r>
      <w:r>
        <w:rPr>
          <w:rFonts w:ascii="PT Astra Serif" w:hAnsi="PT Astra Serif" w:eastAsia="Times New Roman"/>
          <w:sz w:val="24"/>
          <w:szCs w:val="24"/>
          <w:lang w:eastAsia="ru-RU"/>
        </w:rPr>
        <w:t xml:space="preserve">конца</w:t>
      </w:r>
      <w:r>
        <w:rPr>
          <w:rFonts w:ascii="PT Astra Serif" w:hAnsi="PT Astra Serif" w:eastAsia="Times New Roman"/>
          <w:sz w:val="24"/>
          <w:szCs w:val="24"/>
          <w:lang w:eastAsia="ru-RU"/>
        </w:rPr>
        <w:t xml:space="preserve"> 2024 года ведется разработка лесного плана Томской области и лесохозяйственных регламентов лесничеств в цел</w:t>
      </w:r>
      <w:r>
        <w:rPr>
          <w:rFonts w:ascii="PT Astra Serif" w:hAnsi="PT Astra Serif" w:eastAsia="Times New Roman"/>
          <w:sz w:val="24"/>
          <w:szCs w:val="24"/>
          <w:lang w:eastAsia="ru-RU"/>
        </w:rPr>
        <w:t xml:space="preserve">ях подготовки обоснования в Рос</w:t>
      </w:r>
      <w:r>
        <w:rPr>
          <w:rFonts w:ascii="PT Astra Serif" w:hAnsi="PT Astra Serif" w:eastAsia="Times New Roman"/>
          <w:sz w:val="24"/>
          <w:szCs w:val="24"/>
          <w:lang w:eastAsia="ru-RU"/>
        </w:rPr>
        <w:t xml:space="preserve">лесхоз для проведения и финансирования работ по лесоустройству.</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1. Проведение мероприятий по лесовосстановлению на общей площади 42,7 тыс. га.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 xml:space="preserve">. Оснащение государственных учреждений (формирований) необходимой специализированной лесопожарной техникой и оборудованием в рамках реализации регионального проекта «Сохранение лесов».</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3</w:t>
      </w:r>
      <w:r>
        <w:rPr>
          <w:rFonts w:ascii="PT Astra Serif" w:hAnsi="PT Astra Serif"/>
          <w:sz w:val="24"/>
          <w:szCs w:val="24"/>
        </w:rPr>
        <w:t xml:space="preserve">. Обеспеч</w:t>
      </w:r>
      <w:r>
        <w:rPr>
          <w:rFonts w:ascii="PT Astra Serif" w:hAnsi="PT Astra Serif"/>
          <w:sz w:val="24"/>
          <w:szCs w:val="24"/>
        </w:rPr>
        <w:t xml:space="preserve">ение включения</w:t>
      </w:r>
      <w:r>
        <w:rPr>
          <w:rFonts w:ascii="PT Astra Serif" w:hAnsi="PT Astra Serif"/>
          <w:sz w:val="24"/>
          <w:szCs w:val="24"/>
        </w:rPr>
        <w:t xml:space="preserve"> в федеральный </w:t>
      </w:r>
      <w:r>
        <w:rPr>
          <w:rFonts w:ascii="PT Astra Serif" w:hAnsi="PT Astra Serif" w:eastAsia="Times New Roman"/>
          <w:sz w:val="24"/>
          <w:szCs w:val="24"/>
          <w:lang w:eastAsia="ru-RU"/>
        </w:rPr>
        <w:t xml:space="preserve">план проведения лесоустройства на 202</w:t>
      </w:r>
      <w:r>
        <w:rPr>
          <w:rFonts w:ascii="PT Astra Serif" w:hAnsi="PT Astra Serif" w:eastAsia="Times New Roman"/>
          <w:sz w:val="24"/>
          <w:szCs w:val="24"/>
          <w:lang w:eastAsia="ru-RU"/>
        </w:rPr>
        <w:t xml:space="preserve">5</w:t>
      </w:r>
      <w:r>
        <w:rPr>
          <w:rFonts w:ascii="PT Astra Serif" w:hAnsi="PT Astra Serif" w:eastAsia="Times New Roman"/>
          <w:sz w:val="24"/>
          <w:szCs w:val="24"/>
          <w:lang w:eastAsia="ru-RU"/>
        </w:rPr>
        <w:t xml:space="preserve"> </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eastAsia="Times New Roman"/>
          <w:sz w:val="24"/>
          <w:szCs w:val="24"/>
          <w:lang w:eastAsia="ru-RU"/>
        </w:rPr>
        <w:t xml:space="preserve">202</w:t>
      </w:r>
      <w:r>
        <w:rPr>
          <w:rFonts w:ascii="PT Astra Serif" w:hAnsi="PT Astra Serif" w:eastAsia="Times New Roman"/>
          <w:sz w:val="24"/>
          <w:szCs w:val="24"/>
          <w:lang w:eastAsia="ru-RU"/>
        </w:rPr>
        <w:t xml:space="preserve">6</w:t>
      </w:r>
      <w:r>
        <w:rPr>
          <w:rFonts w:ascii="PT Astra Serif" w:hAnsi="PT Astra Serif" w:eastAsia="Times New Roman"/>
          <w:sz w:val="24"/>
          <w:szCs w:val="24"/>
          <w:lang w:eastAsia="ru-RU"/>
        </w:rPr>
        <w:t xml:space="preserve"> годы Верхнекетского и Улу-Юльского лесничеств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spacing w:after="0" w:line="240" w:lineRule="auto"/>
        <w:shd w:val="clear" w:color="auto" w:fill="eaf1dd" w:themeFill="accent3" w:themeFillTint="33"/>
        <w:rPr>
          <w:rFonts w:ascii="PT Astra Serif" w:hAnsi="PT Astra Serif" w:eastAsia="Times New Roman"/>
          <w:b/>
          <w:sz w:val="24"/>
          <w:szCs w:val="24"/>
          <w:shd w:val="clear" w:color="auto" w:fill="eaf1dd" w:themeFill="accent3" w:themeFillTint="33"/>
        </w:rPr>
      </w:pPr>
      <w:r>
        <w:rPr>
          <w:rFonts w:ascii="PT Astra Serif" w:hAnsi="PT Astra Serif" w:eastAsia="Times New Roman"/>
          <w:b/>
          <w:sz w:val="24"/>
          <w:szCs w:val="24"/>
          <w:shd w:val="clear" w:color="auto" w:fill="eaf1dd" w:themeFill="accent3" w:themeFillTint="33"/>
        </w:rPr>
        <w:t xml:space="preserve">Рыбохозяйственный комплекс</w:t>
      </w:r>
      <w:r>
        <w:rPr>
          <w:rFonts w:ascii="PT Astra Serif" w:hAnsi="PT Astra Serif" w:eastAsia="Times New Roman"/>
          <w:b/>
          <w:sz w:val="24"/>
          <w:szCs w:val="24"/>
          <w:shd w:val="clear" w:color="auto" w:fill="eaf1dd" w:themeFill="accent3" w:themeFillTint="33"/>
        </w:rPr>
      </w:r>
      <w:r>
        <w:rPr>
          <w:rFonts w:ascii="PT Astra Serif" w:hAnsi="PT Astra Serif" w:eastAsia="Times New Roman"/>
          <w:b/>
          <w:sz w:val="24"/>
          <w:szCs w:val="24"/>
          <w:shd w:val="clear" w:color="auto" w:fill="eaf1dd" w:themeFill="accent3" w:themeFillTint="33"/>
        </w:rPr>
      </w:r>
    </w:p>
    <w:p>
      <w:pPr>
        <w:pStyle w:val="1154"/>
        <w:ind w:firstLine="709"/>
        <w:jc w:val="both"/>
        <w:rPr>
          <w:rFonts w:ascii="PT Astra Serif" w:hAnsi="PT Astra Serif"/>
        </w:rPr>
      </w:pPr>
      <w:r>
        <w:rPr>
          <w:rFonts w:ascii="PT Astra Serif" w:hAnsi="PT Astra Serif"/>
        </w:rPr>
        <w:t xml:space="preserve">Рыбохозяйственный комплекс Томской области является отраслью, обеспечивающей трудовую занятость населения в сельской местности и вносящей значительный вклад в продовольственную безопасность региона.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За последние несколько лет в Томской области наблюдается маловодность (низкий уровень воды в реках), что препятствует полноценному естественному нересту и нагулу водных биоресурс</w:t>
      </w:r>
      <w:r>
        <w:rPr>
          <w:rFonts w:ascii="PT Astra Serif" w:hAnsi="PT Astra Serif"/>
        </w:rPr>
        <w:t xml:space="preserve">ов. В связи с этим объем вылова биоресурсов в 2023 году по сравнению с 2022 годом снизился на 18,7% и составил 3,5 тыс. тонн. Это привело к снижению в 2023 году объема переработки рыбной продукции к уровню 2022 года на 1,8%, который составил 5,0 тыс. тонн.</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Несмотря на то, что в 2023 году на развитие рыбохозяйственной отрасли региона финансовая поддержка из областного бюджета не оказывалась, приобретенное в 2021</w:t>
      </w:r>
      <w:r>
        <w:rPr>
          <w:rFonts w:ascii="PT Astra Serif" w:hAnsi="PT Astra Serif"/>
        </w:rPr>
        <w:t xml:space="preserve"> </w:t>
      </w:r>
      <w:r>
        <w:rPr>
          <w:rFonts w:ascii="PT Astra Serif" w:hAnsi="PT Astra Serif"/>
        </w:rPr>
        <w:t xml:space="preserve">–</w:t>
      </w:r>
      <w:r>
        <w:rPr>
          <w:rFonts w:ascii="PT Astra Serif" w:hAnsi="PT Astra Serif"/>
        </w:rPr>
        <w:t xml:space="preserve"> </w:t>
      </w:r>
      <w:r>
        <w:rPr>
          <w:rFonts w:ascii="PT Astra Serif" w:hAnsi="PT Astra Serif"/>
        </w:rPr>
        <w:t xml:space="preserve">2022 годах за счет государственной поддержки современное высокопроизводительное оборудование для прои</w:t>
      </w:r>
      <w:r>
        <w:rPr>
          <w:rFonts w:ascii="PT Astra Serif" w:hAnsi="PT Astra Serif"/>
        </w:rPr>
        <w:t xml:space="preserve">зводства рыбных полуфабрикатов, консервов, снековой продукции, шкуросъемные и фаршевые машины позволяет рыбоперерабатывающим предприятиям региона ежегодно расширять ассортимент продукции за счет более глубокой степени переработки рыбы, в том числе речной.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2023 году на рынок было представл</w:t>
      </w:r>
      <w:r>
        <w:rPr>
          <w:rFonts w:ascii="PT Astra Serif" w:hAnsi="PT Astra Serif"/>
        </w:rPr>
        <w:t xml:space="preserve">ено более 60 видов новой продукции, в том числе рыбные консервы (25 видов в различных заливках), линейка рыбных продуктов для диетического питания, объектов социального общепита и детского питания, снековая продукция, готовая продукция из мраморного сома.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Создана сеть из 44 фирменных рыбных магазинов с общим ассортиментом более 475 наименований, томская продукция представлена в 20 федеральных и региональных торговых сетях. Около 25% готовой рыбной продукции томских рыбопере</w:t>
      </w:r>
      <w:r>
        <w:rPr>
          <w:rFonts w:ascii="PT Astra Serif" w:hAnsi="PT Astra Serif"/>
        </w:rPr>
        <w:t xml:space="preserve">рабатывающих предприятий поставляется в Новосибирскую, Кемеровскую, Омскую, Свердловскую, Тюменскую области, Республику Хакасия, Алтайский и Красноярский края. Свежемороженая рыба также поставляется в Волгоградскую и Ростовскую области, Краснодарский край.</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Доля местного сырья в структуре рыбопереработки составляет 45% за счет вылова речной рыбы и деятельности консервного завода. Объем инвестиций в рыбной отрасли в 2023 году составил 66,5 млн рублей.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2023 году были реализованы следующие проекты: </w:t>
      </w:r>
      <w:r>
        <w:rPr>
          <w:rFonts w:ascii="PT Astra Serif" w:hAnsi="PT Astra Serif"/>
        </w:rPr>
      </w:r>
      <w:r>
        <w:rPr>
          <w:rFonts w:ascii="PT Astra Serif" w:hAnsi="PT Astra Serif"/>
        </w:rPr>
      </w:r>
    </w:p>
    <w:p>
      <w:pPr>
        <w:pStyle w:val="1154"/>
        <w:ind w:firstLine="709"/>
        <w:jc w:val="both"/>
        <w:rPr>
          <w:rFonts w:ascii="PT Astra Serif" w:hAnsi="PT Astra Serif"/>
          <w:strike/>
        </w:rPr>
      </w:pPr>
      <w:r>
        <w:rPr>
          <w:rFonts w:ascii="PT Astra Serif" w:hAnsi="PT Astra Serif"/>
        </w:rPr>
        <w:t xml:space="preserve">1</w:t>
      </w:r>
      <w:r>
        <w:rPr>
          <w:rFonts w:ascii="PT Astra Serif" w:hAnsi="PT Astra Serif"/>
        </w:rPr>
        <w:t xml:space="preserve">.</w:t>
      </w:r>
      <w:r>
        <w:rPr>
          <w:rFonts w:ascii="PT Astra Serif" w:hAnsi="PT Astra Serif"/>
        </w:rPr>
        <w:t xml:space="preserve"> Введен в эксплуатацию новый рыбоприемный пункт в п. Октябрьское Александровского района (ИП Половков Д.В).</w:t>
      </w:r>
      <w:r>
        <w:rPr>
          <w:rFonts w:ascii="PT Astra Serif" w:hAnsi="PT Astra Serif"/>
          <w:strike/>
        </w:rPr>
      </w:r>
      <w:r>
        <w:rPr>
          <w:rFonts w:ascii="PT Astra Serif" w:hAnsi="PT Astra Serif"/>
          <w:strike/>
        </w:rPr>
      </w:r>
    </w:p>
    <w:p>
      <w:pPr>
        <w:pStyle w:val="1154"/>
        <w:ind w:firstLine="709"/>
        <w:jc w:val="both"/>
        <w:rPr>
          <w:rFonts w:ascii="PT Astra Serif" w:hAnsi="PT Astra Serif"/>
          <w:strike/>
        </w:rPr>
      </w:pPr>
      <w:r>
        <w:rPr>
          <w:rFonts w:ascii="PT Astra Serif" w:hAnsi="PT Astra Serif"/>
        </w:rPr>
        <w:t xml:space="preserve">2.</w:t>
      </w:r>
      <w:r>
        <w:rPr>
          <w:rFonts w:ascii="PT Astra Serif" w:hAnsi="PT Astra Serif"/>
        </w:rPr>
        <w:t xml:space="preserve"> Основными перерабатывающими предприятиями обновлен парк оборудования для глубокой переработки рыбного сырья (приобретено 2 автомобиля-рефрижератора Газель). </w:t>
      </w:r>
      <w:r>
        <w:rPr>
          <w:rFonts w:ascii="PT Astra Serif" w:hAnsi="PT Astra Serif"/>
          <w:strike/>
        </w:rPr>
      </w:r>
      <w:r>
        <w:rPr>
          <w:rFonts w:ascii="PT Astra Serif" w:hAnsi="PT Astra Serif"/>
          <w:strike/>
        </w:rPr>
      </w:r>
    </w:p>
    <w:p>
      <w:pPr>
        <w:pStyle w:val="1154"/>
        <w:ind w:firstLine="709"/>
        <w:jc w:val="both"/>
        <w:rPr>
          <w:rFonts w:ascii="PT Astra Serif" w:hAnsi="PT Astra Serif"/>
        </w:rPr>
      </w:pPr>
      <w:r>
        <w:rPr>
          <w:rFonts w:ascii="PT Astra Serif" w:hAnsi="PT Astra Serif"/>
        </w:rPr>
        <w:t xml:space="preserve">3.</w:t>
      </w:r>
      <w:r>
        <w:rPr>
          <w:rFonts w:ascii="PT Astra Serif" w:hAnsi="PT Astra Serif"/>
        </w:rPr>
        <w:t xml:space="preserve"> Создана садковая линия на р. Таган Кожевниковского района для содержания ремонтно-маточного стада сиговых видов рыб и воспроизводства молоди.</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4.</w:t>
      </w:r>
      <w:r>
        <w:rPr>
          <w:rFonts w:ascii="PT Astra Serif" w:hAnsi="PT Astra Serif"/>
        </w:rPr>
        <w:t xml:space="preserve"> Продолжается реализация проекта «Создание в г. Томске рыбного логистического центра», рассчитанного на единовременное хранение более 1000 тонн рыбного сырья и готовой продукции. В 2023 году завершены работы по фундаменту, возведены фермовые конструкции.</w:t>
      </w:r>
      <w:r>
        <w:rPr>
          <w:rFonts w:ascii="PT Astra Serif" w:hAnsi="PT Astra Serif"/>
        </w:rPr>
      </w:r>
      <w:r>
        <w:rPr>
          <w:rFonts w:ascii="PT Astra Serif" w:hAnsi="PT Astra Serif"/>
        </w:rPr>
      </w:r>
    </w:p>
    <w:p>
      <w:pPr>
        <w:pStyle w:val="1154"/>
        <w:ind w:firstLine="709"/>
        <w:jc w:val="both"/>
        <w:rPr>
          <w:rFonts w:ascii="PT Astra Serif" w:hAnsi="PT Astra Serif"/>
          <w:strike/>
        </w:rPr>
      </w:pPr>
      <w:r>
        <w:rPr>
          <w:rFonts w:ascii="PT Astra Serif" w:hAnsi="PT Astra Serif"/>
        </w:rPr>
        <w:t xml:space="preserve">5.</w:t>
      </w:r>
      <w:r>
        <w:rPr>
          <w:rFonts w:ascii="PT Astra Serif" w:hAnsi="PT Astra Serif"/>
        </w:rPr>
        <w:t xml:space="preserve"> Продолжается реализация проекта «Создание в Александровском районе рыбоводного цеха по инкубации/подращиванию молоди пеляди, а также развитие пастбищного рыбоводства на 2 озерах».</w:t>
      </w:r>
      <w:r>
        <w:rPr>
          <w:rFonts w:ascii="PT Astra Serif" w:hAnsi="PT Astra Serif"/>
          <w:strike/>
        </w:rPr>
      </w:r>
      <w:r>
        <w:rPr>
          <w:rFonts w:ascii="PT Astra Serif" w:hAnsi="PT Astra Serif"/>
          <w:strike/>
        </w:rPr>
      </w:r>
    </w:p>
    <w:p>
      <w:pPr>
        <w:pStyle w:val="1154"/>
        <w:ind w:firstLine="709"/>
        <w:jc w:val="both"/>
        <w:rPr>
          <w:rFonts w:ascii="PT Astra Serif" w:hAnsi="PT Astra Serif"/>
          <w:strike/>
        </w:rPr>
      </w:pPr>
      <w:r>
        <w:rPr>
          <w:rFonts w:ascii="PT Astra Serif" w:hAnsi="PT Astra Serif"/>
        </w:rPr>
        <w:t xml:space="preserve">В целях восстановления популяции ценных осетровых и сиговых видов рыб в 2023 году в ходе компенсационных мероприятий в реки Томской области выпущено 1,1 млн экз.</w:t>
      </w:r>
      <w:r>
        <w:rPr>
          <w:rFonts w:ascii="PT Astra Serif" w:hAnsi="PT Astra Serif"/>
          <w:strike/>
        </w:rPr>
        <w:t xml:space="preserve"> </w:t>
      </w:r>
      <w:r>
        <w:rPr>
          <w:rFonts w:ascii="PT Astra Serif" w:hAnsi="PT Astra Serif"/>
          <w:strike/>
        </w:rPr>
      </w:r>
      <w:r>
        <w:rPr>
          <w:rFonts w:ascii="PT Astra Serif" w:hAnsi="PT Astra Serif"/>
          <w:strike/>
        </w:rPr>
      </w:r>
    </w:p>
    <w:p>
      <w:pPr>
        <w:pStyle w:val="1154"/>
        <w:ind w:firstLine="709"/>
        <w:jc w:val="both"/>
        <w:rPr>
          <w:rFonts w:ascii="PT Astra Serif" w:hAnsi="PT Astra Serif"/>
          <w:strike/>
        </w:rPr>
      </w:pPr>
      <w:r>
        <w:rPr>
          <w:rFonts w:ascii="PT Astra Serif" w:hAnsi="PT Astra Serif"/>
        </w:rPr>
        <w:t xml:space="preserve">В ходе рыбоохранных мероприятий в 2023 году из водоемов Томской области (р.Обь, р.Томь) изъято 432 брошенных оруди</w:t>
      </w:r>
      <w:r>
        <w:rPr>
          <w:rFonts w:ascii="PT Astra Serif" w:hAnsi="PT Astra Serif"/>
        </w:rPr>
        <w:t xml:space="preserve">я</w:t>
      </w:r>
      <w:r>
        <w:rPr>
          <w:rFonts w:ascii="PT Astra Serif" w:hAnsi="PT Astra Serif"/>
        </w:rPr>
        <w:t xml:space="preserve"> лова, выпущены в живом виде 2 209 экземпляров рыб, предотвращен ущерб водным биоресурсам на сумму 975,14 тыс. рублей.</w:t>
      </w:r>
      <w:r>
        <w:rPr>
          <w:rFonts w:ascii="PT Astra Serif" w:hAnsi="PT Astra Serif"/>
          <w:strike/>
        </w:rPr>
      </w:r>
      <w:r>
        <w:rPr>
          <w:rFonts w:ascii="PT Astra Serif" w:hAnsi="PT Astra Serif"/>
          <w:strike/>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54"/>
        <w:ind w:firstLine="709"/>
        <w:jc w:val="both"/>
        <w:rPr>
          <w:rFonts w:ascii="PT Astra Serif" w:hAnsi="PT Astra Serif"/>
          <w:strike/>
        </w:rPr>
      </w:pPr>
      <w:r>
        <w:rPr>
          <w:rFonts w:ascii="PT Astra Serif" w:hAnsi="PT Astra Serif"/>
        </w:rPr>
        <w:t xml:space="preserve">1. Завершение реализации проекта по созданию в г. Томске рыбного логистического центра, а также создание рыбоводного цеха по инкубации/подращиванию молоди пеляди, развитие пастбищного рыбоводства на 2 озерах в Александровском районе. </w:t>
      </w:r>
      <w:r>
        <w:rPr>
          <w:rFonts w:ascii="PT Astra Serif" w:hAnsi="PT Astra Serif"/>
          <w:strike/>
        </w:rPr>
      </w:r>
      <w:r>
        <w:rPr>
          <w:rFonts w:ascii="PT Astra Serif" w:hAnsi="PT Astra Serif"/>
          <w:strike/>
        </w:rPr>
      </w:r>
    </w:p>
    <w:p>
      <w:pPr>
        <w:pStyle w:val="1154"/>
        <w:ind w:firstLine="709"/>
        <w:jc w:val="both"/>
        <w:rPr>
          <w:rFonts w:ascii="PT Astra Serif" w:hAnsi="PT Astra Serif"/>
          <w:strike/>
        </w:rPr>
      </w:pPr>
      <w:r>
        <w:rPr>
          <w:rFonts w:ascii="PT Astra Serif" w:hAnsi="PT Astra Serif"/>
        </w:rPr>
        <w:t xml:space="preserve">2. Продолжение модернизации перерабатывающих предприятий, укрепление материально-технической базы рыбодобывающих предприятий.</w:t>
      </w:r>
      <w:r>
        <w:rPr>
          <w:rFonts w:ascii="PT Astra Serif" w:hAnsi="PT Astra Serif"/>
          <w:strike/>
        </w:rPr>
      </w:r>
      <w:r>
        <w:rPr>
          <w:rFonts w:ascii="PT Astra Serif" w:hAnsi="PT Astra Serif"/>
          <w:strike/>
        </w:rPr>
      </w:r>
    </w:p>
    <w:p>
      <w:pPr>
        <w:pStyle w:val="1154"/>
        <w:ind w:firstLine="709"/>
        <w:jc w:val="both"/>
        <w:rPr>
          <w:rFonts w:ascii="PT Astra Serif" w:hAnsi="PT Astra Serif"/>
        </w:rPr>
      </w:pPr>
      <w:r>
        <w:rPr>
          <w:rFonts w:ascii="PT Astra Serif" w:hAnsi="PT Astra Serif"/>
        </w:rPr>
        <w:t xml:space="preserve">3. Ежегодное проведение </w:t>
      </w:r>
      <w:r>
        <w:rPr>
          <w:rFonts w:ascii="PT Astra Serif" w:hAnsi="PT Astra Serif"/>
        </w:rPr>
        <w:t xml:space="preserve">рыбоохранных мероприятий и выполнение в полном объеме компенсационных мероприятий в целях восстановления популяции осетровых/сиговых видов рыб в Обском бассейне, формирование собственного ремонтно-маточного стада ценных сиговых видов рыб (муксун и нельма).</w:t>
      </w:r>
      <w:r>
        <w:rPr>
          <w:rFonts w:ascii="PT Astra Serif" w:hAnsi="PT Astra Serif"/>
        </w:rPr>
      </w:r>
      <w:r>
        <w:rPr>
          <w:rFonts w:ascii="PT Astra Serif" w:hAnsi="PT Astra Serif"/>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shd w:val="clear" w:color="auto" w:fill="eaf1dd" w:themeFill="accent3" w:themeFillTint="33"/>
        <w:rPr>
          <w:rFonts w:ascii="PT Astra Serif" w:hAnsi="PT Astra Serif" w:eastAsia="Times New Roman"/>
          <w:b/>
          <w:sz w:val="24"/>
          <w:szCs w:val="24"/>
          <w:shd w:val="clear" w:color="auto" w:fill="eaf1dd" w:themeFill="accent3" w:themeFillTint="33"/>
        </w:rPr>
      </w:pPr>
      <w:r>
        <w:rPr>
          <w:rFonts w:ascii="PT Astra Serif" w:hAnsi="PT Astra Serif" w:eastAsia="Times New Roman"/>
          <w:b/>
          <w:sz w:val="24"/>
          <w:szCs w:val="24"/>
          <w:shd w:val="clear" w:color="auto" w:fill="eaf1dd" w:themeFill="accent3" w:themeFillTint="33"/>
        </w:rPr>
        <w:t xml:space="preserve">Охотничьи ресурсы</w:t>
      </w:r>
      <w:r>
        <w:rPr>
          <w:rFonts w:ascii="PT Astra Serif" w:hAnsi="PT Astra Serif" w:eastAsia="Times New Roman"/>
          <w:b/>
          <w:sz w:val="24"/>
          <w:szCs w:val="24"/>
          <w:shd w:val="clear" w:color="auto" w:fill="eaf1dd" w:themeFill="accent3" w:themeFillTint="33"/>
        </w:rPr>
      </w:r>
      <w:r>
        <w:rPr>
          <w:rFonts w:ascii="PT Astra Serif" w:hAnsi="PT Astra Serif" w:eastAsia="Times New Roman"/>
          <w:b/>
          <w:sz w:val="24"/>
          <w:szCs w:val="24"/>
          <w:shd w:val="clear" w:color="auto" w:fill="eaf1dd" w:themeFill="accent3" w:themeFillTint="33"/>
        </w:rPr>
      </w:r>
    </w:p>
    <w:p>
      <w:pPr>
        <w:pStyle w:val="1154"/>
        <w:ind w:firstLine="709"/>
        <w:jc w:val="both"/>
        <w:rPr>
          <w:rFonts w:ascii="PT Astra Serif" w:hAnsi="PT Astra Serif"/>
          <w:strike/>
        </w:rPr>
      </w:pPr>
      <w:r>
        <w:rPr>
          <w:rFonts w:ascii="PT Astra Serif" w:hAnsi="PT Astra Serif"/>
        </w:rPr>
        <w:t xml:space="preserve">Деятельность в сфере охотничьих ресурсов в 2023 году была</w:t>
      </w:r>
      <w:r>
        <w:rPr>
          <w:rFonts w:ascii="PT Astra Serif" w:hAnsi="PT Astra Serif"/>
        </w:rPr>
        <w:t xml:space="preserve"> направлена в первую очередь на усиление охраны охотничьих ресурсов и среды их обитания. В 2023 году проведено 2 744 оперативно-рейдовых мероприятия, проверено 6 506 физических лиц, проверено 3 685 автомототранспортных средств, проверено 1 780 охотизбушек.</w:t>
      </w:r>
      <w:r>
        <w:rPr>
          <w:rFonts w:ascii="PT Astra Serif" w:hAnsi="PT Astra Serif"/>
          <w:strike/>
        </w:rPr>
      </w:r>
      <w:r>
        <w:rPr>
          <w:rFonts w:ascii="PT Astra Serif" w:hAnsi="PT Astra Serif"/>
          <w:strike/>
        </w:rPr>
      </w:r>
    </w:p>
    <w:p>
      <w:pPr>
        <w:pStyle w:val="1154"/>
        <w:ind w:firstLine="709"/>
        <w:jc w:val="both"/>
        <w:rPr>
          <w:rFonts w:ascii="PT Astra Serif" w:hAnsi="PT Astra Serif"/>
          <w:strike/>
        </w:rPr>
      </w:pPr>
      <w:r>
        <w:rPr>
          <w:rFonts w:ascii="PT Astra Serif" w:hAnsi="PT Astra Serif"/>
        </w:rPr>
        <w:t xml:space="preserve">В ходе проведения контрольно-надзорных мероприятий выявлено 222 нарушения природоохранного законодательства, из них направлено 11 материалов на возбуждение уголовных дел. На нарушителей природоохранного зак</w:t>
      </w:r>
      <w:r>
        <w:rPr>
          <w:rFonts w:ascii="PT Astra Serif" w:hAnsi="PT Astra Serif"/>
        </w:rPr>
        <w:t xml:space="preserve">онодательства наложено 204 тыс. </w:t>
      </w:r>
      <w:r>
        <w:rPr>
          <w:rFonts w:ascii="PT Astra Serif" w:hAnsi="PT Astra Serif"/>
        </w:rPr>
        <w:t xml:space="preserve">рублей административных штрафов. Выявлен ущерб за уничтожение диких животных на сумму 3000 тыс. рублей. Изъято 29 единиц охотничьего огнестрельного оружия, 9 единиц орудий охоты.</w:t>
      </w:r>
      <w:r>
        <w:rPr>
          <w:rFonts w:ascii="PT Astra Serif" w:hAnsi="PT Astra Serif"/>
          <w:strike/>
        </w:rPr>
      </w:r>
      <w:r>
        <w:rPr>
          <w:rFonts w:ascii="PT Astra Serif" w:hAnsi="PT Astra Serif"/>
          <w:strike/>
        </w:rPr>
      </w:r>
    </w:p>
    <w:p>
      <w:pPr>
        <w:pStyle w:val="1154"/>
        <w:ind w:firstLine="709"/>
        <w:jc w:val="both"/>
        <w:rPr>
          <w:rFonts w:ascii="PT Astra Serif" w:hAnsi="PT Astra Serif"/>
          <w:strike/>
        </w:rPr>
      </w:pPr>
      <w:r>
        <w:rPr>
          <w:rFonts w:ascii="PT Astra Serif" w:hAnsi="PT Astra Serif"/>
        </w:rPr>
        <w:t xml:space="preserve">Высоким спросом пользуются охота на лимитируемые виды охотничьих ресурсов, на нелимитируемые виды пушных животных, а также на пернатую дичь. В период сезонов охоты 2023 года выдано 44 138 разрешений на добычу охотничьих ресурсов.</w:t>
      </w:r>
      <w:r>
        <w:rPr>
          <w:rFonts w:ascii="PT Astra Serif" w:hAnsi="PT Astra Serif"/>
          <w:strike/>
        </w:rPr>
      </w:r>
      <w:r>
        <w:rPr>
          <w:rFonts w:ascii="PT Astra Serif" w:hAnsi="PT Astra Serif"/>
          <w:strike/>
        </w:rPr>
      </w:r>
    </w:p>
    <w:p>
      <w:pPr>
        <w:pStyle w:val="1154"/>
        <w:ind w:firstLine="709"/>
        <w:jc w:val="both"/>
        <w:rPr>
          <w:rFonts w:ascii="PT Astra Serif" w:hAnsi="PT Astra Serif"/>
        </w:rPr>
      </w:pPr>
      <w:r>
        <w:rPr>
          <w:rFonts w:ascii="PT Astra Serif" w:hAnsi="PT Astra Serif"/>
        </w:rPr>
        <w:t xml:space="preserve">Осуществляется регулирование численности охотничьих животных в целях охраны здоровья населения,</w:t>
      </w:r>
      <w:r>
        <w:rPr>
          <w:rFonts w:ascii="PT Astra Serif" w:hAnsi="PT Astra Serif"/>
        </w:rPr>
        <w:t xml:space="preserve"> устранения угрозы для жизни человека, предохранения от заболеваний сельскохозяйственных и других домашних животных, предотвращения нанесения ущерба народному хозяйству, животному миру и среде его обитания. В 2023 году добыто 32 лисицы и 18 бурых медведей.</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2023 году проведены учетные работы по определению численности охотничьих ресурсов и объектов животного мира (орнитофауны, мелких млекопитающих, земноводных).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Государственная пошлина за выдачу разрешения на добычу охотничьих ресурсов составила 9 273,440 тыс. рублей, сбор за пользование объектами животного мира – 12 089,4 тыс. рублей.</w:t>
      </w:r>
      <w:r>
        <w:rPr>
          <w:rFonts w:ascii="PT Astra Serif" w:hAnsi="PT Astra Serif"/>
        </w:rPr>
      </w:r>
      <w:r>
        <w:rPr>
          <w:rFonts w:ascii="PT Astra Serif" w:hAnsi="PT Astra Serif"/>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54"/>
        <w:ind w:firstLine="709"/>
        <w:jc w:val="both"/>
        <w:rPr>
          <w:rFonts w:ascii="PT Astra Serif" w:hAnsi="PT Astra Serif"/>
        </w:rPr>
      </w:pPr>
      <w:r>
        <w:rPr>
          <w:rFonts w:ascii="PT Astra Serif" w:hAnsi="PT Astra Serif"/>
        </w:rPr>
        <w:t xml:space="preserve">1. Своевременное и качественное проведение зимнего маршрутного учета численности охотничьих ресурсов.</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2. Усиление службы федерального государственного охотничьего контроля (надзора).</w:t>
      </w:r>
      <w:r>
        <w:rPr>
          <w:rFonts w:ascii="PT Astra Serif" w:hAnsi="PT Astra Serif"/>
        </w:rPr>
      </w:r>
      <w:r>
        <w:rPr>
          <w:rFonts w:ascii="PT Astra Serif" w:hAnsi="PT Astra Serif"/>
        </w:rPr>
      </w:r>
    </w:p>
    <w:p>
      <w:pPr>
        <w:pStyle w:val="1154"/>
        <w:jc w:val="both"/>
        <w:rPr>
          <w:rFonts w:ascii="PT Astra Serif" w:hAnsi="PT Astra Serif"/>
          <w:b/>
        </w:rPr>
      </w:pPr>
      <w:r>
        <w:rPr>
          <w:rFonts w:ascii="PT Astra Serif" w:hAnsi="PT Astra Serif"/>
          <w:b/>
        </w:rPr>
      </w:r>
      <w:r>
        <w:rPr>
          <w:rFonts w:ascii="PT Astra Serif" w:hAnsi="PT Astra Serif"/>
          <w:b/>
        </w:rPr>
      </w:r>
      <w:r>
        <w:rPr>
          <w:rFonts w:ascii="PT Astra Serif" w:hAnsi="PT Astra Serif"/>
          <w:b/>
        </w:rPr>
      </w:r>
    </w:p>
    <w:p>
      <w:pPr>
        <w:pStyle w:val="1154"/>
        <w:jc w:val="both"/>
        <w:shd w:val="clear" w:color="auto" w:fill="eaf1dd" w:themeFill="accent3" w:themeFillTint="33"/>
        <w:rPr>
          <w:rFonts w:ascii="PT Astra Serif" w:hAnsi="PT Astra Serif"/>
          <w:b/>
          <w:shd w:val="clear" w:color="auto" w:fill="eaf1dd" w:themeFill="accent3" w:themeFillTint="33"/>
        </w:rPr>
      </w:pPr>
      <w:r>
        <w:rPr>
          <w:rFonts w:ascii="PT Astra Serif" w:hAnsi="PT Astra Serif"/>
          <w:b/>
          <w:shd w:val="clear" w:color="auto" w:fill="eaf1dd" w:themeFill="accent3" w:themeFillTint="33"/>
        </w:rPr>
        <w:t xml:space="preserve">Экология</w:t>
      </w:r>
      <w:r>
        <w:rPr>
          <w:rStyle w:val="1138"/>
          <w:rFonts w:ascii="PT Astra Serif" w:hAnsi="PT Astra Serif"/>
          <w:b/>
        </w:rPr>
        <w:footnoteReference w:id="5"/>
      </w:r>
      <w:r>
        <w:rPr>
          <w:rFonts w:ascii="PT Astra Serif" w:hAnsi="PT Astra Serif"/>
          <w:b/>
          <w:shd w:val="clear" w:color="auto" w:fill="eaf1dd" w:themeFill="accent3" w:themeFillTint="33"/>
        </w:rPr>
      </w:r>
      <w:r>
        <w:rPr>
          <w:rFonts w:ascii="PT Astra Serif" w:hAnsi="PT Astra Serif"/>
          <w:b/>
          <w:shd w:val="clear" w:color="auto" w:fill="eaf1dd" w:themeFill="accent3" w:themeFillTint="33"/>
        </w:rPr>
      </w:r>
    </w:p>
    <w:p>
      <w:pPr>
        <w:pStyle w:val="1154"/>
        <w:ind w:firstLine="709"/>
        <w:jc w:val="both"/>
        <w:rPr>
          <w:rFonts w:ascii="PT Astra Serif" w:hAnsi="PT Astra Serif"/>
        </w:rPr>
      </w:pPr>
      <w:r>
        <w:rPr>
          <w:rFonts w:ascii="PT Astra Serif" w:hAnsi="PT Astra Serif"/>
        </w:rPr>
        <w:t xml:space="preserve">В Сибирском федеральном округе Томская область выгодно отличается от других субъектов Российской Федерации системным подходом к организации непрерывного экологического образования и просвещения населения.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Организованно и проведено 2</w:t>
      </w:r>
      <w:r>
        <w:rPr>
          <w:rFonts w:ascii="PT Astra Serif" w:hAnsi="PT Astra Serif"/>
        </w:rPr>
        <w:t xml:space="preserve"> </w:t>
      </w:r>
      <w:r>
        <w:rPr>
          <w:rFonts w:ascii="PT Astra Serif" w:hAnsi="PT Astra Serif"/>
        </w:rPr>
        <w:t xml:space="preserve">695 экологических мероприятий (конкурсы, фестивали, праздник</w:t>
      </w:r>
      <w:r>
        <w:rPr>
          <w:rFonts w:ascii="PT Astra Serif" w:hAnsi="PT Astra Serif"/>
        </w:rPr>
        <w:t xml:space="preserve">и</w:t>
      </w:r>
      <w:r>
        <w:rPr>
          <w:rFonts w:ascii="PT Astra Serif" w:hAnsi="PT Astra Serif"/>
        </w:rPr>
        <w:t xml:space="preserve">, уроки, семинары, природоохранные акции), в которых приняло участие около 280 тыс. человек.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2023 году были переизданы 4 справочника из серии «Мир природы Томской области»: «Насекомые», «Птицы», «Грибы», «Рыбы и другие обитатели водоемов» </w:t>
      </w:r>
      <w:r>
        <w:rPr>
          <w:rFonts w:ascii="PT Astra Serif" w:hAnsi="PT Astra Serif"/>
        </w:rPr>
        <w:t xml:space="preserve">–</w:t>
      </w:r>
      <w:r>
        <w:rPr>
          <w:rFonts w:ascii="PT Astra Serif" w:hAnsi="PT Astra Serif"/>
        </w:rPr>
        <w:t xml:space="preserve"> общее число тиража составило 4 000 экземпляров.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Приведены в соответстви</w:t>
      </w:r>
      <w:r>
        <w:rPr>
          <w:rFonts w:ascii="PT Astra Serif" w:hAnsi="PT Astra Serif"/>
        </w:rPr>
        <w:t xml:space="preserve">е</w:t>
      </w:r>
      <w:r>
        <w:rPr>
          <w:rFonts w:ascii="PT Astra Serif" w:hAnsi="PT Astra Serif"/>
        </w:rPr>
        <w:t xml:space="preserve"> с федеральным законодательством постановления Администрации Томской области, касающиеся 34 особо охраняемых природных территорий (далее – ООПТ) областного значения. В данные нормативные правовые акты добавлены пункты</w:t>
      </w:r>
      <w:r>
        <w:rPr>
          <w:rFonts w:ascii="PT Astra Serif" w:hAnsi="PT Astra Serif"/>
        </w:rPr>
        <w:t xml:space="preserve">,</w:t>
      </w:r>
      <w:r>
        <w:rPr>
          <w:rFonts w:ascii="PT Astra Serif" w:hAnsi="PT Astra Serif"/>
        </w:rPr>
        <w:t xml:space="preserve"> устанавливающие основные виды разрешенного использования земельных участков, расположенных в границах ООПТ.</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Создана ООПТ областного значения «Болотно-лесной массив «Челбак», расположенная в Зырянском районе у с. Семеновка, утверждены положение и описание местоположения границ данной ООПТ.</w:t>
      </w:r>
      <w:r>
        <w:rPr>
          <w:rFonts w:ascii="PT Astra Serif" w:hAnsi="PT Astra Serif"/>
        </w:rPr>
      </w:r>
      <w:r>
        <w:rPr>
          <w:rFonts w:ascii="PT Astra Serif" w:hAnsi="PT Astra Serif"/>
        </w:rPr>
      </w:r>
    </w:p>
    <w:p>
      <w:pPr>
        <w:pStyle w:val="1154"/>
        <w:ind w:firstLine="709"/>
        <w:jc w:val="both"/>
        <w:rPr>
          <w:rFonts w:ascii="PT Astra Serif" w:hAnsi="PT Astra Serif"/>
          <w:strike/>
        </w:rPr>
      </w:pPr>
      <w:r>
        <w:rPr>
          <w:rFonts w:ascii="PT Astra Serif" w:hAnsi="PT Astra Serif"/>
        </w:rPr>
        <w:t xml:space="preserve">В Единый государственный реестр недвижимости внесены сведения об особо охраняемых природных территориях областного значения «Михайловская роща» и «Болотно-лесной массив «Челбак». </w:t>
      </w:r>
      <w:r>
        <w:rPr>
          <w:rFonts w:ascii="PT Astra Serif" w:hAnsi="PT Astra Serif"/>
          <w:strike/>
        </w:rPr>
      </w:r>
      <w:r>
        <w:rPr>
          <w:rFonts w:ascii="PT Astra Serif" w:hAnsi="PT Astra Serif"/>
          <w:strike/>
        </w:rPr>
      </w:r>
    </w:p>
    <w:p>
      <w:pPr>
        <w:pStyle w:val="1154"/>
        <w:ind w:firstLine="709"/>
        <w:jc w:val="both"/>
        <w:rPr>
          <w:rFonts w:ascii="PT Astra Serif" w:hAnsi="PT Astra Serif"/>
        </w:rPr>
      </w:pPr>
      <w:r>
        <w:rPr>
          <w:rFonts w:ascii="PT Astra Serif" w:hAnsi="PT Astra Serif"/>
        </w:rPr>
        <w:t xml:space="preserve">В рамках обеспечения функционирования ООПТ: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w:t>
      </w:r>
      <w:r>
        <w:rPr>
          <w:rFonts w:ascii="PT Astra Serif" w:hAnsi="PT Astra Serif"/>
        </w:rPr>
        <w:t xml:space="preserve"> проведено 65 мероприятий по обустройству ООПТ, уборке мусора, расчистке подъездных путей, ремонту и замене специальных информационных и указательных знаков, установлено 19 информационных знаков и указателей на 6 ООПТ областного значения;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w:t>
      </w:r>
      <w:r>
        <w:rPr>
          <w:rFonts w:ascii="PT Astra Serif" w:hAnsi="PT Astra Serif"/>
        </w:rPr>
        <w:t xml:space="preserve"> осуществлен 261 рейдовый выезд по контролю за соблюдением режима особой охраны на 39 ООПТ областного значения; </w:t>
      </w:r>
      <w:r>
        <w:rPr>
          <w:rFonts w:ascii="PT Astra Serif" w:hAnsi="PT Astra Serif"/>
        </w:rPr>
      </w:r>
      <w:r>
        <w:rPr>
          <w:rFonts w:ascii="PT Astra Serif" w:hAnsi="PT Astra Serif"/>
        </w:rPr>
      </w:r>
    </w:p>
    <w:p>
      <w:pPr>
        <w:pStyle w:val="1154"/>
        <w:ind w:firstLine="709"/>
        <w:jc w:val="both"/>
        <w:rPr>
          <w:rFonts w:ascii="PT Astra Serif" w:hAnsi="PT Astra Serif"/>
          <w:strike/>
        </w:rPr>
      </w:pPr>
      <w:r>
        <w:rPr>
          <w:rFonts w:ascii="PT Astra Serif" w:hAnsi="PT Astra Serif" w:cstheme="minorBidi"/>
        </w:rPr>
        <w:t xml:space="preserve">–</w:t>
      </w:r>
      <w:r>
        <w:rPr>
          <w:rFonts w:ascii="PT Astra Serif" w:hAnsi="PT Astra Serif"/>
        </w:rPr>
        <w:t xml:space="preserve"> проведено</w:t>
      </w:r>
      <w:r>
        <w:rPr>
          <w:rFonts w:ascii="PT Astra Serif" w:hAnsi="PT Astra Serif"/>
        </w:rPr>
        <w:t xml:space="preserve"> 28 биотехнических мероприятий.</w:t>
      </w:r>
      <w:r>
        <w:rPr>
          <w:rFonts w:ascii="PT Astra Serif" w:hAnsi="PT Astra Serif"/>
          <w:strike/>
        </w:rPr>
      </w:r>
      <w:r>
        <w:rPr>
          <w:rFonts w:ascii="PT Astra Serif" w:hAnsi="PT Astra Serif"/>
          <w:strike/>
        </w:rPr>
      </w:r>
    </w:p>
    <w:p>
      <w:pPr>
        <w:pStyle w:val="1154"/>
        <w:ind w:firstLine="709"/>
        <w:jc w:val="both"/>
        <w:rPr>
          <w:rFonts w:ascii="PT Astra Serif" w:hAnsi="PT Astra Serif"/>
        </w:rPr>
      </w:pPr>
      <w:r>
        <w:rPr>
          <w:rFonts w:ascii="PT Astra Serif" w:hAnsi="PT Astra Serif"/>
        </w:rPr>
        <w:t xml:space="preserve">Территория Томской области поделена на семь зон деятельности региональных операторов, в каждой из которой функционирует организация, обеспечивающая обращение с твердыми коммунальными отходами. В 2023 году было образовано 2</w:t>
      </w:r>
      <w:r>
        <w:rPr>
          <w:rFonts w:ascii="PT Astra Serif" w:hAnsi="PT Astra Serif"/>
        </w:rPr>
        <w:t xml:space="preserve">84 тыс. тонн твердых коммунальных отходов, из них 20,4 тыс. тонн было направлено на обработку и 1,6 тыс. тонн на последующую утилизацию. По данным показателям Томская области среди субъектов, входящих в состав Сибирского федерального округа, находится на 5</w:t>
      </w:r>
      <w:r>
        <w:rPr>
          <w:rFonts w:ascii="PT Astra Serif" w:hAnsi="PT Astra Serif"/>
        </w:rPr>
        <w:t xml:space="preserve">-м</w:t>
      </w:r>
      <w:r>
        <w:rPr>
          <w:rFonts w:ascii="PT Astra Serif" w:hAnsi="PT Astra Serif"/>
        </w:rPr>
        <w:t xml:space="preserve"> месте.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2023 году в рамках г</w:t>
      </w:r>
      <w:r>
        <w:rPr>
          <w:rFonts w:ascii="PT Astra Serif" w:hAnsi="PT Astra Serif"/>
        </w:rPr>
        <w:t xml:space="preserve">осударственной программы «Охрана окружающей среды, воспроизводство и рациональное использование природных ресурсов» проведены работы по ликвидации 122 мест несанкционированного складирования отходов на территории муниципальных образований Томской области.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Также начато проектирование полигонов в г. Асино, с. Парабель, г. Кедровом и площадки временного накопления отходов в с. Александровское. Завершение работ состоится в 2024 году.</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рамках национального проекта «Экология» проводились следующие мероприятия. </w:t>
      </w:r>
      <w:r>
        <w:rPr>
          <w:rFonts w:ascii="PT Astra Serif" w:hAnsi="PT Astra Serif"/>
        </w:rPr>
      </w:r>
      <w:r>
        <w:rPr>
          <w:rFonts w:ascii="PT Astra Serif" w:hAnsi="PT Astra Serif"/>
        </w:rPr>
      </w:r>
    </w:p>
    <w:p>
      <w:pPr>
        <w:pStyle w:val="1154"/>
        <w:ind w:firstLine="709"/>
        <w:jc w:val="both"/>
        <w:rPr>
          <w:rFonts w:ascii="PT Astra Serif" w:hAnsi="PT Astra Serif"/>
          <w:strike/>
        </w:rPr>
      </w:pPr>
      <w:r>
        <w:rPr>
          <w:rFonts w:ascii="PT Astra Serif" w:hAnsi="PT Astra Serif"/>
        </w:rPr>
        <w:t xml:space="preserve">В апреле 2023 года заключено концессионное соглашение по строительству автоматизированного мусоросортировочного комплекса. Данный объект будет обеспечивать обработкой и утилизацией отходов порядка 80% населения региона. На</w:t>
      </w:r>
      <w:r>
        <w:rPr>
          <w:rFonts w:ascii="PT Astra Serif" w:hAnsi="PT Astra Serif"/>
        </w:rPr>
        <w:t xml:space="preserve"> указанный комплекс на первоначальном этапе планируется направление твердых коммунальных отходов, образующихся на территории ЗАТО Северск, г. Томска и Томского района, с последующим расширением на соседние муниципальные образования. Комплекс позволит сорти</w:t>
      </w:r>
      <w:r>
        <w:rPr>
          <w:rFonts w:ascii="PT Astra Serif" w:hAnsi="PT Astra Serif"/>
        </w:rPr>
        <w:t xml:space="preserve">ровать 100% отходов, образующихся на территории вышеуказанных муниципальных образований, и половину из них направить на утилизацию, то есть вовлечь во вторичное использование. Количество отходов, которые направляются на захоронение, будет снижено в 2 раза.</w:t>
      </w:r>
      <w:r>
        <w:rPr>
          <w:rFonts w:ascii="PT Astra Serif" w:hAnsi="PT Astra Serif"/>
          <w:strike/>
        </w:rPr>
      </w:r>
      <w:r>
        <w:rPr>
          <w:rFonts w:ascii="PT Astra Serif" w:hAnsi="PT Astra Serif"/>
          <w:strike/>
        </w:rPr>
      </w:r>
    </w:p>
    <w:p>
      <w:pPr>
        <w:pStyle w:val="1154"/>
        <w:ind w:firstLine="709"/>
        <w:jc w:val="both"/>
        <w:rPr>
          <w:rFonts w:ascii="PT Astra Serif" w:hAnsi="PT Astra Serif"/>
        </w:rPr>
      </w:pPr>
      <w:r>
        <w:rPr>
          <w:rFonts w:ascii="PT Astra Serif" w:hAnsi="PT Astra Serif"/>
        </w:rPr>
        <w:t xml:space="preserve">В 2023 году была возобновлена работа по рекул</w:t>
      </w:r>
      <w:r>
        <w:rPr>
          <w:rFonts w:ascii="PT Astra Serif" w:hAnsi="PT Astra Serif"/>
        </w:rPr>
        <w:t xml:space="preserve">ьтивации полигона ТБО, расположенного в окр. с. Новомихайловка, площадь восстановленных земель, возвращенных в оборот, составит 54 га. На конец 2023 года техническая готовность объекта составила 51%. Основные работы по объекту будут завершены в 2024 году. </w:t>
      </w:r>
      <w:r>
        <w:rPr>
          <w:rFonts w:ascii="PT Astra Serif" w:hAnsi="PT Astra Serif"/>
        </w:rPr>
      </w:r>
      <w:r>
        <w:rPr>
          <w:rFonts w:ascii="PT Astra Serif" w:hAnsi="PT Astra Serif"/>
        </w:rPr>
      </w:r>
    </w:p>
    <w:p>
      <w:pPr>
        <w:pStyle w:val="1154"/>
        <w:ind w:firstLine="709"/>
        <w:jc w:val="both"/>
        <w:rPr>
          <w:rFonts w:ascii="PT Astra Serif" w:hAnsi="PT Astra Serif"/>
          <w:strike/>
        </w:rPr>
      </w:pPr>
      <w:r>
        <w:rPr>
          <w:rFonts w:ascii="PT Astra Serif" w:hAnsi="PT Astra Serif"/>
        </w:rPr>
        <w:t xml:space="preserve">В рамках реализации федерального проекта «Сохранение уникальных водных объектов» в 2023 году завершены начатые в 2022 году работы по расчистке озера Док в г. Северске. До конца 2024 года планируется завершение работ по расчист</w:t>
      </w:r>
      <w:r>
        <w:rPr>
          <w:rFonts w:ascii="PT Astra Serif" w:hAnsi="PT Astra Serif"/>
        </w:rPr>
        <w:t xml:space="preserve">ке озера Беленькое в г. Томске.</w:t>
      </w:r>
      <w:r>
        <w:rPr>
          <w:rFonts w:ascii="PT Astra Serif" w:hAnsi="PT Astra Serif"/>
          <w:strike/>
        </w:rPr>
      </w:r>
      <w:r>
        <w:rPr>
          <w:rFonts w:ascii="PT Astra Serif" w:hAnsi="PT Astra Serif"/>
          <w:strike/>
        </w:rPr>
      </w:r>
    </w:p>
    <w:p>
      <w:pPr>
        <w:pStyle w:val="1154"/>
        <w:ind w:firstLine="709"/>
        <w:jc w:val="both"/>
        <w:rPr>
          <w:rFonts w:ascii="PT Astra Serif" w:hAnsi="PT Astra Serif"/>
          <w:strike/>
        </w:rPr>
      </w:pPr>
      <w:r>
        <w:rPr>
          <w:rFonts w:ascii="PT Astra Serif" w:hAnsi="PT Astra Serif"/>
        </w:rPr>
        <w:t xml:space="preserve">Начата подготовка к реализации нового единого федерального проекта по экологическому оздоровлению водных объектов на 2025</w:t>
      </w:r>
      <w:r>
        <w:rPr>
          <w:rFonts w:ascii="PT Astra Serif" w:hAnsi="PT Astra Serif"/>
        </w:rPr>
        <w:t xml:space="preserve"> </w:t>
      </w:r>
      <w:r>
        <w:rPr>
          <w:rFonts w:ascii="PT Astra Serif" w:hAnsi="PT Astra Serif"/>
        </w:rPr>
        <w:t xml:space="preserve">–</w:t>
      </w:r>
      <w:r>
        <w:rPr>
          <w:rFonts w:ascii="PT Astra Serif" w:hAnsi="PT Astra Serif"/>
        </w:rPr>
        <w:t xml:space="preserve"> </w:t>
      </w:r>
      <w:r>
        <w:rPr>
          <w:rFonts w:ascii="PT Astra Serif" w:hAnsi="PT Astra Serif"/>
        </w:rPr>
        <w:t xml:space="preserve">2030 годы. </w:t>
      </w:r>
      <w:r>
        <w:rPr>
          <w:rFonts w:ascii="PT Astra Serif" w:hAnsi="PT Astra Serif"/>
        </w:rPr>
        <w:t xml:space="preserve">В перечень по Томской области вошло мероприятие по расчистке водных объектов Университетско-Ботанической родниковой зоны в г. Томске.</w:t>
      </w:r>
      <w:r>
        <w:rPr>
          <w:rFonts w:ascii="PT Astra Serif" w:hAnsi="PT Astra Serif"/>
          <w:strike/>
        </w:rPr>
      </w:r>
      <w:r>
        <w:rPr>
          <w:rFonts w:ascii="PT Astra Serif" w:hAnsi="PT Astra Serif"/>
          <w:strike/>
        </w:rPr>
      </w:r>
    </w:p>
    <w:p>
      <w:pPr>
        <w:pStyle w:val="1154"/>
        <w:ind w:firstLine="709"/>
        <w:jc w:val="both"/>
        <w:rPr>
          <w:rFonts w:ascii="PT Astra Serif" w:hAnsi="PT Astra Serif"/>
        </w:rPr>
      </w:pPr>
      <w:r>
        <w:rPr>
          <w:rFonts w:ascii="PT Astra Serif" w:hAnsi="PT Astra Serif"/>
        </w:rPr>
        <w:t xml:space="preserve">В рамках Всероссийской акции по очистке от мусора берегов водных объектов «Вода Рос</w:t>
      </w:r>
      <w:r>
        <w:rPr>
          <w:rFonts w:ascii="PT Astra Serif" w:hAnsi="PT Astra Serif"/>
        </w:rPr>
        <w:t xml:space="preserve">сии»</w:t>
      </w:r>
      <w:r>
        <w:rPr>
          <w:rFonts w:ascii="PT Astra Serif" w:hAnsi="PT Astra Serif"/>
        </w:rPr>
        <w:t xml:space="preserve"> при участии администраций районов, поселений и городов Томской области, волонтерских движений, предприятий, экологических организаций расчищено более 70 км берега от мусора. В акции приняли участие более 1700 жителей Томской области.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целях защ</w:t>
      </w:r>
      <w:r>
        <w:rPr>
          <w:rFonts w:ascii="PT Astra Serif" w:hAnsi="PT Astra Serif"/>
        </w:rPr>
        <w:t xml:space="preserve">иты населения и территории пос. </w:t>
      </w:r>
      <w:r>
        <w:rPr>
          <w:rFonts w:ascii="PT Astra Serif" w:hAnsi="PT Astra Serif"/>
        </w:rPr>
        <w:t xml:space="preserve">Аникино муниципального образования «Город Томск» от негативного воздействия вод в 2023 году завершены начатые в 2022 году работы по регулированию участков русла реки Басандайка протяженностью 3,6 км. </w:t>
      </w:r>
      <w:r>
        <w:rPr>
          <w:rFonts w:ascii="PT Astra Serif" w:hAnsi="PT Astra Serif"/>
        </w:rPr>
      </w:r>
      <w:r>
        <w:rPr>
          <w:rFonts w:ascii="PT Astra Serif" w:hAnsi="PT Astra Serif"/>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54"/>
        <w:ind w:firstLine="709"/>
        <w:jc w:val="both"/>
        <w:rPr>
          <w:rFonts w:ascii="PT Astra Serif" w:hAnsi="PT Astra Serif"/>
        </w:rPr>
      </w:pPr>
      <w:r>
        <w:rPr>
          <w:rFonts w:ascii="PT Astra Serif" w:hAnsi="PT Astra Serif"/>
          <w:lang w:eastAsia="ar-SA"/>
        </w:rPr>
        <w:t xml:space="preserve">1. </w:t>
      </w:r>
      <w:r>
        <w:rPr>
          <w:rFonts w:ascii="PT Astra Serif" w:hAnsi="PT Astra Serif"/>
        </w:rPr>
        <w:t xml:space="preserve">Обеспечение начала работы автоматизированного мусоросортировочного комплекса в 2025 году.  </w:t>
      </w:r>
      <w:r>
        <w:rPr>
          <w:rFonts w:ascii="PT Astra Serif" w:hAnsi="PT Astra Serif"/>
        </w:rPr>
      </w:r>
      <w:r>
        <w:rPr>
          <w:rFonts w:ascii="PT Astra Serif" w:hAnsi="PT Astra Serif"/>
        </w:rPr>
      </w:r>
    </w:p>
    <w:p>
      <w:pPr>
        <w:pStyle w:val="1154"/>
        <w:ind w:firstLine="709"/>
        <w:jc w:val="both"/>
        <w:rPr>
          <w:rFonts w:ascii="PT Astra Serif" w:hAnsi="PT Astra Serif"/>
          <w:lang w:eastAsia="ar-SA"/>
        </w:rPr>
      </w:pPr>
      <w:r>
        <w:rPr>
          <w:rFonts w:ascii="PT Astra Serif" w:hAnsi="PT Astra Serif"/>
          <w:lang w:eastAsia="ar-SA"/>
        </w:rPr>
        <w:t xml:space="preserve">2. Охрана </w:t>
      </w:r>
      <w:r>
        <w:rPr>
          <w:rFonts w:ascii="PT Astra Serif" w:hAnsi="PT Astra Serif"/>
        </w:rPr>
        <w:t xml:space="preserve">водных объектов путем установления береговых линий, границ водоохранных зон и границ прибрежных защитных полос водных объектов</w:t>
      </w:r>
      <w:r>
        <w:rPr>
          <w:rFonts w:ascii="PT Astra Serif" w:hAnsi="PT Astra Serif"/>
          <w:lang w:eastAsia="ar-SA"/>
        </w:rPr>
        <w:t xml:space="preserve">. </w:t>
      </w:r>
      <w:r>
        <w:rPr>
          <w:rFonts w:ascii="PT Astra Serif" w:hAnsi="PT Astra Serif"/>
          <w:lang w:eastAsia="ar-SA"/>
        </w:rPr>
      </w:r>
      <w:r>
        <w:rPr>
          <w:rFonts w:ascii="PT Astra Serif" w:hAnsi="PT Astra Serif"/>
          <w:lang w:eastAsia="ar-SA"/>
        </w:rPr>
      </w:r>
    </w:p>
    <w:p>
      <w:pPr>
        <w:pStyle w:val="1154"/>
        <w:ind w:firstLine="709"/>
        <w:jc w:val="both"/>
        <w:rPr>
          <w:rFonts w:ascii="PT Astra Serif" w:hAnsi="PT Astra Serif"/>
          <w:lang w:eastAsia="ar-SA"/>
        </w:rPr>
      </w:pPr>
      <w:r>
        <w:rPr>
          <w:rFonts w:ascii="PT Astra Serif" w:hAnsi="PT Astra Serif"/>
          <w:lang w:eastAsia="ar-SA"/>
        </w:rPr>
        <w:t xml:space="preserve">3. Продолжение работ по ликвидации мест несанкционированного складирования отходов.</w:t>
      </w:r>
      <w:r>
        <w:rPr>
          <w:rFonts w:ascii="PT Astra Serif" w:hAnsi="PT Astra Serif"/>
          <w:lang w:eastAsia="ar-SA"/>
        </w:rPr>
      </w:r>
      <w:r>
        <w:rPr>
          <w:rFonts w:ascii="PT Astra Serif" w:hAnsi="PT Astra Serif"/>
          <w:lang w:eastAsia="ar-SA"/>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46"/>
        <w:outlineLvl w:val="1"/>
      </w:pPr>
      <w:r/>
      <w:bookmarkStart w:id="11" w:name="_Toc134630401"/>
      <w:r>
        <w:t xml:space="preserve">2.2. </w:t>
      </w:r>
      <w:bookmarkEnd w:id="11"/>
      <w:r>
        <w:t xml:space="preserve">Повышение конкурентоспособности агропромышленного комплекса</w:t>
      </w:r>
      <w:r/>
    </w:p>
    <w:p>
      <w:pPr>
        <w:pStyle w:val="1146"/>
        <w:outlineLvl w:val="1"/>
      </w:pPr>
      <w:r/>
      <w:r/>
    </w:p>
    <w:p>
      <w:pPr>
        <w:pStyle w:val="1154"/>
        <w:ind w:firstLine="709"/>
        <w:jc w:val="both"/>
        <w:rPr>
          <w:rFonts w:ascii="PT Astra Serif" w:hAnsi="PT Astra Serif"/>
        </w:rPr>
      </w:pPr>
      <w:r>
        <w:rPr>
          <w:rFonts w:ascii="PT Astra Serif" w:hAnsi="PT Astra Serif"/>
        </w:rPr>
        <w:t xml:space="preserve">Объе</w:t>
      </w:r>
      <w:r>
        <w:rPr>
          <w:rFonts w:ascii="PT Astra Serif" w:hAnsi="PT Astra Serif"/>
        </w:rPr>
        <w:t xml:space="preserve">м производства сельскохозяйственной продукции в хозяйствах всех категорий в 2023 году в действующих ценах составил 42,8 </w:t>
      </w:r>
      <w:r>
        <w:rPr>
          <w:rFonts w:ascii="PT Astra Serif" w:hAnsi="PT Astra Serif"/>
        </w:rPr>
        <w:t xml:space="preserve">млрд </w:t>
      </w:r>
      <w:r>
        <w:rPr>
          <w:rFonts w:ascii="PT Astra Serif" w:hAnsi="PT Astra Serif"/>
        </w:rPr>
        <w:t xml:space="preserve">рублей.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2023 год был напряженный для сельского хозяйства региона (ИФО к уровню 2022 года составил 94,1%). Этому способствовали </w:t>
      </w:r>
      <w:r>
        <w:rPr>
          <w:rFonts w:ascii="PT Astra Serif" w:hAnsi="PT Astra Serif"/>
        </w:rPr>
        <w:t xml:space="preserve">неблагоприятные погодные условия в течение всего полевого сезона 2023 года. Валовой сбор зерновых и зернобобовых культур (в 2023 году составил 333,7 тыс. тонн (73,7% к уровню 2022 года), картофеля собрано 108,1 тыс. тонн (91,1% к уровню 2022 года), овощей </w:t>
      </w:r>
      <w:r>
        <w:rPr>
          <w:rFonts w:ascii="PT Astra Serif" w:hAnsi="PT Astra Serif" w:cstheme="minorBidi"/>
        </w:rPr>
        <w:t xml:space="preserve">– </w:t>
      </w:r>
      <w:r>
        <w:rPr>
          <w:rFonts w:ascii="PT Astra Serif" w:hAnsi="PT Astra Serif"/>
        </w:rPr>
        <w:t xml:space="preserve">50,5 тыс. тонн (99% к уровню 2022 года).</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животноводстве по итогам 2023 года производство скота и птицы к уровню 2022 года сократилось </w:t>
      </w:r>
      <w:r>
        <w:rPr>
          <w:rFonts w:ascii="PT Astra Serif" w:hAnsi="PT Astra Serif"/>
        </w:rPr>
        <w:t xml:space="preserve">на 1,3% из-за снижения поголовья КРС на 0,7%, свиней – на 1%, птицы – на 6,8%. Сократилось производство яиц на 2,3% в связи с обновлением поголовья кур-несушек на птицефабрике «Томская». При этом производство молока к уровню 2022 года увеличилось на 0,6%.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Вместе с тем</w:t>
      </w:r>
      <w:r>
        <w:rPr>
          <w:rFonts w:ascii="PT Astra Serif" w:hAnsi="PT Astra Serif"/>
        </w:rPr>
        <w:t xml:space="preserve"> </w:t>
      </w:r>
      <w:r>
        <w:rPr>
          <w:rFonts w:ascii="PT Astra Serif" w:hAnsi="PT Astra Serif"/>
        </w:rPr>
        <w:t xml:space="preserve">за счет поддержки</w:t>
      </w:r>
      <w:r>
        <w:rPr>
          <w:rFonts w:ascii="PT Astra Serif" w:hAnsi="PT Astra Serif"/>
        </w:rPr>
        <w:t xml:space="preserve"> сельскохозяйственного производства, объем которой в 2023 году из всех уровней бюджетов составил 2,5 </w:t>
      </w:r>
      <w:r>
        <w:rPr>
          <w:rFonts w:ascii="PT Astra Serif" w:hAnsi="PT Astra Serif"/>
        </w:rPr>
        <w:t xml:space="preserve">млрд</w:t>
      </w:r>
      <w:r>
        <w:rPr>
          <w:rFonts w:ascii="PT Astra Serif" w:hAnsi="PT Astra Serif"/>
        </w:rPr>
        <w:t xml:space="preserve"> </w:t>
      </w:r>
      <w:r>
        <w:rPr>
          <w:rFonts w:ascii="PT Astra Serif" w:hAnsi="PT Astra Serif"/>
        </w:rPr>
        <w:t xml:space="preserve">рублей (в том числе 1,8</w:t>
      </w:r>
      <w:r>
        <w:rPr>
          <w:rFonts w:ascii="PT Astra Serif" w:hAnsi="PT Astra Serif"/>
        </w:rPr>
        <w:t xml:space="preserve"> </w:t>
      </w:r>
      <w:r>
        <w:rPr>
          <w:rFonts w:ascii="PT Astra Serif" w:hAnsi="PT Astra Serif"/>
        </w:rPr>
        <w:t xml:space="preserve">млрд</w:t>
      </w:r>
      <w:r>
        <w:rPr>
          <w:rFonts w:ascii="PT Astra Serif" w:hAnsi="PT Astra Serif"/>
        </w:rPr>
        <w:t xml:space="preserve"> </w:t>
      </w:r>
      <w:r>
        <w:rPr>
          <w:rFonts w:ascii="PT Astra Serif" w:hAnsi="PT Astra Serif"/>
        </w:rPr>
        <w:t xml:space="preserve">рублей</w:t>
      </w:r>
      <w:r>
        <w:rPr>
          <w:rFonts w:ascii="PT Astra Serif" w:hAnsi="PT Astra Serif"/>
        </w:rPr>
        <w:t xml:space="preserve"> </w:t>
      </w:r>
      <w:r>
        <w:rPr>
          <w:rFonts w:ascii="PT Astra Serif" w:hAnsi="PT Astra Serif"/>
        </w:rPr>
        <w:t xml:space="preserve">- </w:t>
      </w:r>
      <w:r>
        <w:rPr>
          <w:rFonts w:ascii="PT Astra Serif" w:hAnsi="PT Astra Serif"/>
        </w:rPr>
        <w:t xml:space="preserve">средств</w:t>
      </w:r>
      <w:r>
        <w:rPr>
          <w:rFonts w:ascii="PT Astra Serif" w:hAnsi="PT Astra Serif"/>
        </w:rPr>
        <w:t xml:space="preserve">а</w:t>
      </w:r>
      <w:r>
        <w:rPr>
          <w:rFonts w:ascii="PT Astra Serif" w:hAnsi="PT Astra Serif"/>
        </w:rPr>
        <w:t xml:space="preserve"> областного и федерального бюджетов), включая поддержку инвестиционных проектов, удается сохранять лидирующие позиции по производству сельскохозяйственной продукции среди субъектов СФО. </w:t>
      </w:r>
      <w:r>
        <w:rPr>
          <w:rFonts w:ascii="PT Astra Serif" w:hAnsi="PT Astra Serif"/>
        </w:rPr>
      </w:r>
      <w:r>
        <w:rPr>
          <w:rFonts w:ascii="PT Astra Serif" w:hAnsi="PT Astra Serif"/>
        </w:rPr>
      </w:r>
    </w:p>
    <w:p>
      <w:pPr>
        <w:pStyle w:val="1154"/>
        <w:ind w:firstLine="709"/>
        <w:jc w:val="both"/>
        <w:rPr>
          <w:rFonts w:ascii="PT Astra Serif" w:hAnsi="PT Astra Serif"/>
          <w:strike/>
        </w:rPr>
      </w:pPr>
      <w:r>
        <w:rPr>
          <w:rFonts w:ascii="PT Astra Serif" w:hAnsi="PT Astra Serif"/>
          <w:strike/>
        </w:rPr>
      </w:r>
      <w:r>
        <w:rPr>
          <w:rFonts w:ascii="PT Astra Serif" w:hAnsi="PT Astra Serif"/>
          <w:strike/>
        </w:rPr>
      </w:r>
      <w:r>
        <w:rPr>
          <w:rFonts w:ascii="PT Astra Serif" w:hAnsi="PT Astra Serif"/>
          <w:strike/>
        </w:rPr>
      </w:r>
    </w:p>
    <w:p>
      <w:pPr>
        <w:jc w:val="center"/>
        <w:spacing w:after="0" w:line="240" w:lineRule="auto"/>
        <w:rPr>
          <w:rFonts w:ascii="PT Astra Serif" w:hAnsi="PT Astra Serif" w:eastAsia="Calibri"/>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Calibri"/>
          <w:b/>
          <w:sz w:val="24"/>
          <w:szCs w:val="24"/>
        </w:rPr>
        <w:t xml:space="preserve">Томская область занимает 1-е место в СФО по продуктивности коров</w:t>
      </w:r>
      <w:r>
        <w:rPr>
          <w:rFonts w:ascii="PT Astra Serif" w:hAnsi="PT Astra Serif" w:eastAsia="Calibri"/>
          <w:b/>
          <w:sz w:val="24"/>
          <w:szCs w:val="24"/>
        </w:rPr>
      </w:r>
      <w:r>
        <w:rPr>
          <w:rFonts w:ascii="PT Astra Serif" w:hAnsi="PT Astra Serif" w:eastAsia="Calibri"/>
          <w:b/>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jc w:val="center"/>
        <w:spacing w:after="0" w:line="240" w:lineRule="auto"/>
        <w:rPr>
          <w:rFonts w:ascii="PT Astra Serif" w:hAnsi="PT Astra Serif" w:eastAsia="Calibri"/>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Calibri"/>
          <w:b/>
          <w:sz w:val="24"/>
          <w:szCs w:val="24"/>
        </w:rPr>
        <w:t xml:space="preserve">Томская область занимает 2-е место в СФО</w:t>
      </w:r>
      <w:r>
        <w:rPr>
          <w:rFonts w:ascii="PT Astra Serif" w:hAnsi="PT Astra Serif" w:eastAsia="Calibri"/>
          <w:b/>
          <w:sz w:val="24"/>
          <w:szCs w:val="24"/>
        </w:rPr>
      </w:r>
      <w:r>
        <w:rPr>
          <w:rFonts w:ascii="PT Astra Serif" w:hAnsi="PT Astra Serif" w:eastAsia="Calibri"/>
          <w:b/>
          <w:sz w:val="24"/>
          <w:szCs w:val="24"/>
        </w:rPr>
      </w:r>
    </w:p>
    <w:p>
      <w:pPr>
        <w:jc w:val="center"/>
        <w:spacing w:after="0" w:line="240" w:lineRule="auto"/>
        <w:rPr>
          <w:rFonts w:ascii="PT Astra Serif" w:hAnsi="PT Astra Serif" w:eastAsia="Calibri"/>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Calibri"/>
          <w:b/>
          <w:sz w:val="24"/>
          <w:szCs w:val="24"/>
        </w:rPr>
        <w:t xml:space="preserve">по урожайности овощей в сельхозорганизациях (470,3 ц/га), </w:t>
      </w:r>
      <w:r>
        <w:rPr>
          <w:rFonts w:ascii="PT Astra Serif" w:hAnsi="PT Astra Serif" w:eastAsia="Calibri"/>
          <w:b/>
          <w:sz w:val="24"/>
          <w:szCs w:val="24"/>
        </w:rPr>
      </w:r>
      <w:r>
        <w:rPr>
          <w:rFonts w:ascii="PT Astra Serif" w:hAnsi="PT Astra Serif" w:eastAsia="Calibri"/>
          <w:b/>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jc w:val="center"/>
        <w:spacing w:after="0" w:line="240" w:lineRule="auto"/>
        <w:rPr>
          <w:rFonts w:ascii="PT Astra Serif" w:hAnsi="PT Astra Serif" w:eastAsia="Calibri"/>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Calibri"/>
          <w:b/>
          <w:sz w:val="24"/>
          <w:szCs w:val="24"/>
        </w:rPr>
        <w:t xml:space="preserve">Томская область занимает 3-е место в СФО </w:t>
      </w:r>
      <w:r>
        <w:rPr>
          <w:rFonts w:ascii="PT Astra Serif" w:hAnsi="PT Astra Serif" w:eastAsia="Calibri"/>
          <w:b/>
          <w:sz w:val="24"/>
          <w:szCs w:val="24"/>
        </w:rPr>
      </w:r>
      <w:r>
        <w:rPr>
          <w:rFonts w:ascii="PT Astra Serif" w:hAnsi="PT Astra Serif" w:eastAsia="Calibri"/>
          <w:b/>
          <w:sz w:val="24"/>
          <w:szCs w:val="24"/>
        </w:rPr>
      </w:r>
    </w:p>
    <w:p>
      <w:pPr>
        <w:jc w:val="center"/>
        <w:spacing w:after="0" w:line="240" w:lineRule="auto"/>
        <w:rPr>
          <w:rFonts w:ascii="PT Astra Serif" w:hAnsi="PT Astra Serif" w:eastAsia="Calibri"/>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Calibri"/>
          <w:b/>
          <w:sz w:val="24"/>
          <w:szCs w:val="24"/>
        </w:rPr>
        <w:t xml:space="preserve">по урожайности зерновых и зернобобовых культур</w:t>
      </w:r>
      <w:r>
        <w:rPr>
          <w:rFonts w:ascii="PT Astra Serif" w:hAnsi="PT Astra Serif" w:eastAsia="Calibri"/>
          <w:b/>
          <w:sz w:val="24"/>
          <w:szCs w:val="24"/>
        </w:rPr>
      </w:r>
      <w:r>
        <w:rPr>
          <w:rFonts w:ascii="PT Astra Serif" w:hAnsi="PT Astra Serif" w:eastAsia="Calibri"/>
          <w:b/>
          <w:sz w:val="24"/>
          <w:szCs w:val="24"/>
        </w:rPr>
      </w:r>
    </w:p>
    <w:p>
      <w:pPr>
        <w:pStyle w:val="1154"/>
        <w:ind w:firstLine="709"/>
        <w:jc w:val="both"/>
        <w:rPr>
          <w:rFonts w:ascii="PT Astra Serif" w:hAnsi="PT Astra Serif"/>
        </w:rPr>
      </w:pPr>
      <w:r>
        <w:rPr>
          <w:rFonts w:ascii="PT Astra Serif" w:hAnsi="PT Astra Serif"/>
        </w:rPr>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По итогам реализации мероприятий по поддержке сельхозтоваропроизводителей в 2023 году достигнуты следующие результаты: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cstheme="minorBidi"/>
        </w:rPr>
        <w:t xml:space="preserve">–</w:t>
      </w:r>
      <w:r>
        <w:rPr>
          <w:rFonts w:ascii="PT Astra Serif" w:hAnsi="PT Astra Serif"/>
        </w:rPr>
        <w:t xml:space="preserve"> 111,1 тыс. га посевных площадей заняты под зерновые, зернобобовые, масличные (за исключением рапса и сои) и кормовые сельскохозяйственные культуры;</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cstheme="minorBidi"/>
        </w:rPr>
        <w:t xml:space="preserve">–</w:t>
      </w:r>
      <w:r>
        <w:rPr>
          <w:rFonts w:ascii="PT Astra Serif" w:hAnsi="PT Astra Serif"/>
        </w:rPr>
        <w:t xml:space="preserve"> 16,5 тыс. тонн собрано овощей открытого грунта в сельскохозяйственных организациях (далее – СХО), крестьянских (фермерских) хозяйствах (далее – КФХ), включая индивидуальных предпринимателей (далее – ИП);</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cstheme="minorBidi"/>
        </w:rPr>
        <w:t xml:space="preserve">–</w:t>
      </w:r>
      <w:r>
        <w:rPr>
          <w:rFonts w:ascii="PT Astra Serif" w:hAnsi="PT Astra Serif"/>
        </w:rPr>
        <w:t xml:space="preserve"> 27,6 тыс. тонн собрано картофеля в СХО, КФХ, включая ИП;</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cstheme="minorBidi"/>
        </w:rPr>
        <w:t xml:space="preserve">–</w:t>
      </w:r>
      <w:r>
        <w:rPr>
          <w:rFonts w:ascii="PT Astra Serif" w:hAnsi="PT Astra Serif"/>
        </w:rPr>
        <w:t xml:space="preserve"> 81,</w:t>
      </w:r>
      <w:r>
        <w:rPr>
          <w:rFonts w:ascii="PT Astra Serif" w:hAnsi="PT Astra Serif"/>
        </w:rPr>
        <w:t xml:space="preserve">7% засеваемой элитными семенами</w:t>
      </w:r>
      <w:r>
        <w:rPr>
          <w:rFonts w:ascii="PT Astra Serif" w:hAnsi="PT Astra Serif"/>
        </w:rPr>
        <w:t xml:space="preserve"> в общей площади посевов, занятой семенами сортов растений;</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cstheme="minorBidi"/>
        </w:rPr>
        <w:t xml:space="preserve">–</w:t>
      </w:r>
      <w:r>
        <w:rPr>
          <w:rFonts w:ascii="PT Astra Serif" w:hAnsi="PT Astra Serif"/>
        </w:rPr>
        <w:t xml:space="preserve"> 1,6 тыс. тонн составил объем высева элитного и (или) оригинального картофеля и овощных культур;</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cstheme="minorBidi"/>
        </w:rPr>
        <w:t xml:space="preserve">–</w:t>
      </w:r>
      <w:r>
        <w:rPr>
          <w:rFonts w:ascii="PT Astra Serif" w:hAnsi="PT Astra Serif"/>
        </w:rPr>
        <w:t xml:space="preserve">  106,4 тыс. тонн молока получено в СХО и КФХ;</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cstheme="minorBidi"/>
        </w:rPr>
        <w:t xml:space="preserve">–</w:t>
      </w:r>
      <w:r>
        <w:rPr>
          <w:rFonts w:ascii="PT Astra Serif" w:hAnsi="PT Astra Serif"/>
        </w:rPr>
        <w:t xml:space="preserve"> 5,6 тыс. голов составило племенное маточное поголовье сельскохозяйственных животных (в перерасчете на условные головы);</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cstheme="minorBidi"/>
        </w:rPr>
        <w:t xml:space="preserve">–</w:t>
      </w:r>
      <w:r>
        <w:rPr>
          <w:rFonts w:ascii="PT Astra Serif" w:hAnsi="PT Astra Serif"/>
        </w:rPr>
        <w:t xml:space="preserve"> 243 головы племенного молодняка крупного рогатого скота реализовано в СХО, КФХ, включая ИП;</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cstheme="minorBidi"/>
        </w:rPr>
        <w:t xml:space="preserve">–</w:t>
      </w:r>
      <w:r>
        <w:rPr>
          <w:rFonts w:ascii="PT Astra Serif" w:hAnsi="PT Astra Serif"/>
        </w:rPr>
        <w:t xml:space="preserve"> 0,6 тыс. га занятых посевных площадей льном-долгунцом и технической коноплей в СХО, КФХ, включая ИП;</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cstheme="minorBidi"/>
        </w:rPr>
        <w:t xml:space="preserve">–</w:t>
      </w:r>
      <w:r>
        <w:rPr>
          <w:rFonts w:ascii="PT Astra Serif" w:hAnsi="PT Astra Serif"/>
        </w:rPr>
        <w:t xml:space="preserve"> 145 голов крупного рогатого скота молочного направления продуктивности и 98 крупного рогатого скота мясного направления продуктивности реализовано.</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Оказана поддержка 20 муниципальным образованиям Томской области на осуществление отдельных государственных полномочий в поддержку сельскохозяйственного производства по следующим направлениям:</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cstheme="minorBidi"/>
        </w:rPr>
        <w:t xml:space="preserve">– </w:t>
      </w:r>
      <w:r>
        <w:rPr>
          <w:rFonts w:ascii="PT Astra Serif" w:hAnsi="PT Astra Serif"/>
        </w:rPr>
        <w:t xml:space="preserve">поддержка малых форм хозяйствования (на содержание коров, техническое оснащение, искусственное осеменение) для 1011 ЛПХ и 131 КФХ и ИП;</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cstheme="minorBidi"/>
        </w:rPr>
        <w:t xml:space="preserve">–</w:t>
      </w:r>
      <w:r>
        <w:rPr>
          <w:rFonts w:ascii="PT Astra Serif" w:hAnsi="PT Astra Serif"/>
        </w:rPr>
        <w:t xml:space="preserve"> 8 садоводческим товариществам (на проведение работ по инженерному обеспечению, ремонту (восстановлению) объектов электро-, водоснабжения, по ремонту автомобильных дорог, обеспечивающих подъезды к массивам участков садоводческих товариществ).</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регионе реализуются крупные инвестиционные проекты на общую сумму более 7</w:t>
      </w:r>
      <w:r>
        <w:rPr>
          <w:rFonts w:ascii="PT Astra Serif" w:hAnsi="PT Astra Serif"/>
        </w:rPr>
        <w:t xml:space="preserve"> </w:t>
      </w:r>
      <w:r>
        <w:rPr>
          <w:rFonts w:ascii="PT Astra Serif" w:hAnsi="PT Astra Serif"/>
        </w:rPr>
        <w:t xml:space="preserve">млрд</w:t>
      </w:r>
      <w:r>
        <w:rPr>
          <w:rFonts w:ascii="PT Astra Serif" w:hAnsi="PT Astra Serif"/>
        </w:rPr>
        <w:t xml:space="preserve"> </w:t>
      </w:r>
      <w:r>
        <w:rPr>
          <w:rFonts w:ascii="PT Astra Serif" w:hAnsi="PT Astra Serif"/>
        </w:rPr>
        <w:t xml:space="preserve">рублей, в том чис</w:t>
      </w:r>
      <w:r>
        <w:rPr>
          <w:rFonts w:ascii="PT Astra Serif" w:hAnsi="PT Astra Serif"/>
        </w:rPr>
        <w:t xml:space="preserve">ле по строительству селекционно-</w:t>
      </w:r>
      <w:r>
        <w:rPr>
          <w:rFonts w:ascii="PT Astra Serif" w:hAnsi="PT Astra Serif"/>
        </w:rPr>
        <w:t xml:space="preserve">семеноводческого центра, 2</w:t>
      </w:r>
      <w:r>
        <w:rPr>
          <w:rFonts w:ascii="PT Astra Serif" w:hAnsi="PT Astra Serif"/>
        </w:rPr>
        <w:t xml:space="preserve"> </w:t>
      </w:r>
      <w:r>
        <w:rPr>
          <w:rFonts w:ascii="PT Astra Serif" w:hAnsi="PT Astra Serif"/>
        </w:rPr>
        <w:t xml:space="preserve">проекта по глубокой переработке органических отходов производства, закладка сада жимолости, строительство нового молочно-товарного комплекса на 1999 коров в с. Большедорохово Аси</w:t>
      </w:r>
      <w:r>
        <w:rPr>
          <w:rFonts w:ascii="PT Astra Serif" w:hAnsi="PT Astra Serif"/>
        </w:rPr>
        <w:t xml:space="preserve">новского района</w:t>
      </w:r>
      <w:r>
        <w:rPr>
          <w:rFonts w:ascii="PT Astra Serif" w:hAnsi="PT Astra Serif"/>
        </w:rPr>
        <w:t xml:space="preserve"> и другие.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Реализовано 6 проектов по культуртехническим мероприятиям. Ввод земель в оборот составил более 4 тыс. га.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Проведена подготовка проектов межевания земельных участков и поставлено на кадастровый учет 7,</w:t>
      </w:r>
      <w:r>
        <w:rPr>
          <w:rFonts w:ascii="PT Astra Serif" w:hAnsi="PT Astra Serif"/>
        </w:rPr>
        <w:t xml:space="preserve">7</w:t>
      </w:r>
      <w:r>
        <w:rPr>
          <w:rFonts w:ascii="PT Astra Serif" w:hAnsi="PT Astra Serif"/>
        </w:rPr>
        <w:t xml:space="preserve"> тыс. га.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Аграриями региона ежегодно приобретается сельскохозяйственная техника на сумму более 1 </w:t>
      </w:r>
      <w:r>
        <w:rPr>
          <w:rFonts w:ascii="PT Astra Serif" w:hAnsi="PT Astra Serif"/>
        </w:rPr>
        <w:t xml:space="preserve">млрд </w:t>
      </w:r>
      <w:r>
        <w:rPr>
          <w:rFonts w:ascii="PT Astra Serif" w:hAnsi="PT Astra Serif"/>
        </w:rPr>
        <w:t xml:space="preserve">рублей. В 2023 году приобретено 270 единиц сель</w:t>
      </w:r>
      <w:r>
        <w:rPr>
          <w:rFonts w:ascii="PT Astra Serif" w:hAnsi="PT Astra Serif"/>
        </w:rPr>
        <w:t xml:space="preserve">скохозяйственной техники, в том числе</w:t>
      </w:r>
      <w:r>
        <w:rPr>
          <w:rFonts w:ascii="PT Astra Serif" w:hAnsi="PT Astra Serif"/>
        </w:rPr>
        <w:t xml:space="preserve"> 48 тракторов, 6 зерноуборочных комбайнов, более 200 единиц сельскохозяйственного оборудования. </w:t>
      </w:r>
      <w:r>
        <w:rPr>
          <w:rFonts w:ascii="PT Astra Serif" w:hAnsi="PT Astra Serif"/>
        </w:rPr>
      </w:r>
      <w:r>
        <w:rPr>
          <w:rFonts w:ascii="PT Astra Serif" w:hAnsi="PT Astra Serif"/>
        </w:rPr>
      </w:r>
    </w:p>
    <w:p>
      <w:pPr>
        <w:pStyle w:val="1154"/>
        <w:ind w:firstLine="709"/>
        <w:jc w:val="both"/>
      </w:pPr>
      <w:r>
        <w:rPr>
          <w:rFonts w:ascii="PT Astra Serif" w:hAnsi="PT Astra Serif"/>
        </w:rPr>
        <w:t xml:space="preserve">Выплачены субсидии 4</w:t>
      </w:r>
      <w:r>
        <w:rPr>
          <w:rFonts w:ascii="PT Astra Serif" w:hAnsi="PT Astra Serif"/>
        </w:rPr>
        <w:t xml:space="preserve">2</w:t>
      </w:r>
      <w:r>
        <w:rPr>
          <w:rFonts w:ascii="PT Astra Serif" w:hAnsi="PT Astra Serif"/>
        </w:rPr>
        <w:t xml:space="preserve"> сельхозтоваропроизводителям </w:t>
      </w:r>
      <w:r>
        <w:t xml:space="preserve">на общую сумму 369,8 млн</w:t>
      </w:r>
      <w:r>
        <w:t xml:space="preserve"> рублей, в том числе:</w:t>
      </w:r>
      <w:r/>
    </w:p>
    <w:p>
      <w:pPr>
        <w:pStyle w:val="1154"/>
        <w:ind w:firstLine="709"/>
        <w:jc w:val="both"/>
        <w:rPr>
          <w:rFonts w:ascii="PT Astra Serif" w:hAnsi="PT Astra Serif"/>
        </w:rPr>
      </w:pPr>
      <w:r>
        <w:rPr>
          <w:rFonts w:ascii="PT Astra Serif" w:hAnsi="PT Astra Serif" w:cstheme="minorBidi"/>
        </w:rPr>
        <w:t xml:space="preserve">–</w:t>
      </w:r>
      <w:r>
        <w:t xml:space="preserve"> </w:t>
      </w:r>
      <w:r>
        <w:rPr>
          <w:rFonts w:ascii="PT Astra Serif" w:hAnsi="PT Astra Serif"/>
        </w:rPr>
        <w:t xml:space="preserve">на обеспечение технической и технологической модернизации сельскохозяйственного производства в размере 279,8 млн рублей</w:t>
      </w:r>
      <w:r>
        <w:rPr>
          <w:rFonts w:ascii="PT Astra Serif" w:hAnsi="PT Astra Serif"/>
        </w:rPr>
        <w:t xml:space="preserve">;</w:t>
      </w:r>
      <w:r>
        <w:rPr>
          <w:rFonts w:ascii="PT Astra Serif" w:hAnsi="PT Astra Serif"/>
        </w:rPr>
      </w:r>
      <w:r>
        <w:rPr>
          <w:rFonts w:ascii="PT Astra Serif" w:hAnsi="PT Astra Serif"/>
        </w:rPr>
      </w:r>
    </w:p>
    <w:p>
      <w:pPr>
        <w:pStyle w:val="1154"/>
        <w:ind w:firstLine="709"/>
        <w:jc w:val="both"/>
      </w:pPr>
      <w:r>
        <w:rPr>
          <w:rFonts w:ascii="PT Astra Serif" w:hAnsi="PT Astra Serif" w:cstheme="minorBidi"/>
        </w:rPr>
        <w:t xml:space="preserve">–</w:t>
      </w:r>
      <w:r>
        <w:rPr>
          <w:rFonts w:ascii="PT Astra Serif" w:hAnsi="PT Astra Serif"/>
        </w:rPr>
        <w:t xml:space="preserve"> </w:t>
      </w:r>
      <w:r>
        <w:t xml:space="preserve">на приобретение сельскохозяйственной техники и оборудования для производства и хранения картофеля и овощей открытого грунта </w:t>
      </w:r>
      <w:r>
        <w:rPr>
          <w:rFonts w:ascii="PT Astra Serif" w:hAnsi="PT Astra Serif" w:cstheme="minorBidi"/>
        </w:rPr>
        <w:t xml:space="preserve">– </w:t>
      </w:r>
      <w:r>
        <w:t xml:space="preserve">88,1 млн рублей;</w:t>
      </w:r>
      <w:r/>
    </w:p>
    <w:p>
      <w:pPr>
        <w:pStyle w:val="1154"/>
        <w:ind w:firstLine="709"/>
        <w:jc w:val="both"/>
        <w:rPr>
          <w:rFonts w:ascii="PT Astra Serif" w:hAnsi="PT Astra Serif"/>
        </w:rPr>
      </w:pPr>
      <w:r>
        <w:rPr>
          <w:rFonts w:ascii="PT Astra Serif" w:hAnsi="PT Astra Serif" w:cstheme="minorBidi"/>
        </w:rPr>
        <w:t xml:space="preserve">–</w:t>
      </w:r>
      <w:r>
        <w:t xml:space="preserve"> на приобретение метеорологического оборудования </w:t>
      </w:r>
      <w:r>
        <w:rPr>
          <w:rFonts w:ascii="PT Astra Serif" w:hAnsi="PT Astra Serif" w:cstheme="minorBidi"/>
        </w:rPr>
        <w:t xml:space="preserve">– </w:t>
      </w:r>
      <w:r>
        <w:t xml:space="preserve">1,9 млн рублей.</w:t>
      </w:r>
      <w:r>
        <w:rPr>
          <w:rFonts w:ascii="PT Astra Serif" w:hAnsi="PT Astra Serif"/>
        </w:rPr>
      </w:r>
      <w:r>
        <w:rPr>
          <w:rFonts w:ascii="PT Astra Serif" w:hAnsi="PT Astra Serif"/>
        </w:rPr>
      </w:r>
    </w:p>
    <w:p>
      <w:pPr>
        <w:pStyle w:val="1154"/>
        <w:ind w:firstLine="709"/>
        <w:jc w:val="both"/>
        <w:rPr>
          <w:rFonts w:ascii="PT Astra Serif" w:hAnsi="PT Astra Serif"/>
          <w:strike/>
        </w:rPr>
      </w:pPr>
      <w:r>
        <w:rPr>
          <w:rFonts w:ascii="PT Astra Serif" w:hAnsi="PT Astra Serif"/>
        </w:rPr>
        <w:t xml:space="preserve">В рамках регионального проекта «Акселерация субъектов малого и среднего предпринимательства»:</w:t>
      </w:r>
      <w:r>
        <w:rPr>
          <w:rFonts w:ascii="PT Astra Serif" w:hAnsi="PT Astra Serif"/>
          <w:strike/>
        </w:rPr>
      </w:r>
      <w:r>
        <w:rPr>
          <w:rFonts w:ascii="PT Astra Serif" w:hAnsi="PT Astra Serif"/>
          <w:strike/>
        </w:rPr>
      </w:r>
    </w:p>
    <w:p>
      <w:pPr>
        <w:pStyle w:val="1154"/>
        <w:ind w:firstLine="709"/>
        <w:jc w:val="both"/>
        <w:rPr>
          <w:rFonts w:ascii="PT Astra Serif" w:hAnsi="PT Astra Serif"/>
        </w:rPr>
      </w:pPr>
      <w:r>
        <w:rPr>
          <w:rFonts w:ascii="PT Astra Serif" w:hAnsi="PT Astra Serif" w:cstheme="minorBidi"/>
        </w:rPr>
        <w:t xml:space="preserve">–</w:t>
      </w:r>
      <w:r>
        <w:rPr>
          <w:rFonts w:ascii="PT Astra Serif" w:hAnsi="PT Astra Serif"/>
        </w:rPr>
        <w:t xml:space="preserve"> отобраны 4 проекта по созданию КФХ мясного направления, представленных фермерами из Кожевниковского (2 проекта), Асиновского и Бакчарского районов. Средства грантов направлены на создание материально</w:t>
      </w:r>
      <w:r>
        <w:rPr>
          <w:rFonts w:ascii="PT Astra Serif" w:hAnsi="PT Astra Serif"/>
        </w:rPr>
        <w:t xml:space="preserve">й базы вновь созданных хозяйств;</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cstheme="minorBidi"/>
        </w:rPr>
        <w:t xml:space="preserve">–</w:t>
      </w:r>
      <w:r>
        <w:rPr>
          <w:rFonts w:ascii="PT Astra Serif" w:hAnsi="PT Astra Serif"/>
        </w:rPr>
        <w:t xml:space="preserve"> предоставлена субсидия 4 сельскохозяйственным потребительским кооперативам (Бакчарского, Кожевниковского, Первомайского и Шегарск</w:t>
      </w:r>
      <w:r>
        <w:rPr>
          <w:rFonts w:ascii="PT Astra Serif" w:hAnsi="PT Astra Serif"/>
        </w:rPr>
        <w:t xml:space="preserve">ого районов) в размере 12,9 млн</w:t>
      </w:r>
      <w:r>
        <w:rPr>
          <w:rFonts w:ascii="PT Astra Serif" w:hAnsi="PT Astra Serif"/>
        </w:rPr>
        <w:t xml:space="preserve"> рублей на возмещение затрат на приобретение техники и оборудования для оказания услуг членам сельскохозяйственного потребительского кооператива.</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Центром компетенций в сфере сельскохозяйственной кооперации и поддержки фермеров Томской области оказано 408 консультационных услуг по вопросам создания и (или) развит</w:t>
      </w:r>
      <w:r>
        <w:rPr>
          <w:rFonts w:ascii="PT Astra Serif" w:hAnsi="PT Astra Serif"/>
        </w:rPr>
        <w:t xml:space="preserve">ия субъектов МСП в области сельского хозяйства, сельскохозяйственных кооперативов на сельских территориях Томской области. В течение 2023 года 27 КФХ оказаны услуги по сопровождению субъектов МСП в АПК в рамках направлений, реализуемых Минсельхозом России.</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Разработаны методические пособия по участию в конкурсных отб</w:t>
      </w:r>
      <w:r>
        <w:rPr>
          <w:rFonts w:ascii="PT Astra Serif" w:hAnsi="PT Astra Serif"/>
        </w:rPr>
        <w:t xml:space="preserve">орах получателей грантов, проведены мероприятия по вопросам создания и развития предпринимательской деятельности на сельских территориях, в том числе по вопросам создания и развития сельскохозяйственных кооперативов на сельских территориях Томской области.</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Организовано предоставление государственных услуг, связанных с государственной регистрацией 124 новых самоходных машин и других видов техники за владельцами – сельхозтоваропроизводителями, проведен</w:t>
      </w:r>
      <w:r>
        <w:rPr>
          <w:rFonts w:ascii="PT Astra Serif" w:hAnsi="PT Astra Serif"/>
        </w:rPr>
        <w:t xml:space="preserve"> техосмотр 1621 самоходной машины, в муниципальных образованиях Томской области проводятся встречи с должностными лицами и работниками организаций АПК, профориентационные и профилактические беседы по вопросам безопасной эксплуатации самоходных машин в АПК.</w:t>
      </w:r>
      <w:r>
        <w:rPr>
          <w:rFonts w:ascii="PT Astra Serif" w:hAnsi="PT Astra Serif"/>
        </w:rPr>
      </w:r>
      <w:r>
        <w:rPr>
          <w:rFonts w:ascii="PT Astra Serif" w:hAnsi="PT Astra Serif"/>
        </w:rPr>
      </w:r>
    </w:p>
    <w:p>
      <w:pPr>
        <w:pStyle w:val="1154"/>
        <w:ind w:firstLine="709"/>
        <w:jc w:val="both"/>
        <w:rPr>
          <w:rFonts w:ascii="PT Astra Serif" w:hAnsi="PT Astra Serif" w:cs="Arial"/>
        </w:rPr>
      </w:pPr>
      <w:r>
        <w:rPr>
          <w:rFonts w:ascii="PT Astra Serif" w:hAnsi="PT Astra Serif"/>
        </w:rPr>
        <w:t xml:space="preserve">В целях стабильного развития животноводческой подотрасли </w:t>
      </w:r>
      <w:r>
        <w:rPr>
          <w:rFonts w:ascii="PT Astra Serif" w:hAnsi="PT Astra Serif" w:cs="Arial"/>
        </w:rPr>
        <w:t xml:space="preserve">ежегодно обеспечивается реализация комплекса мероприятий, направленных на недопущение возникновения эпизоотий на территории Томской области, план по профилактике и диагностике заразных и массовых незаразных болезней животных выполнен на 100%.</w:t>
      </w:r>
      <w:r>
        <w:rPr>
          <w:rFonts w:ascii="PT Astra Serif" w:hAnsi="PT Astra Serif" w:cs="Arial"/>
        </w:rPr>
      </w:r>
      <w:r>
        <w:rPr>
          <w:rFonts w:ascii="PT Astra Serif" w:hAnsi="PT Astra Serif" w:cs="Arial"/>
        </w:rPr>
      </w:r>
    </w:p>
    <w:p>
      <w:pPr>
        <w:pStyle w:val="1154"/>
        <w:ind w:firstLine="709"/>
        <w:jc w:val="both"/>
        <w:rPr>
          <w:rFonts w:ascii="PT Astra Serif" w:hAnsi="PT Astra Serif"/>
        </w:rPr>
      </w:pPr>
      <w:r>
        <w:rPr>
          <w:rFonts w:ascii="PT Astra Serif" w:hAnsi="PT Astra Serif"/>
        </w:rPr>
        <w:t xml:space="preserve">Перспективным направ</w:t>
      </w:r>
      <w:r>
        <w:rPr>
          <w:rFonts w:ascii="PT Astra Serif" w:hAnsi="PT Astra Serif"/>
        </w:rPr>
        <w:t xml:space="preserve">лением развития сельскохозяйственных предприятий Томской области является повышение производительности труда, которое обеспечивается за счет совершенствования технико-технологического потенциала предприятий АПК, повышения плодородия земель сельскохозяйстве</w:t>
      </w:r>
      <w:r>
        <w:rPr>
          <w:rFonts w:ascii="PT Astra Serif" w:hAnsi="PT Astra Serif"/>
        </w:rPr>
        <w:t xml:space="preserve">нного назначения, роста продуктивности животных и урожайности сельскохозяйственных культур, а также создания региональной цифровой метеосети, привлечения на производство квалифицированных специалистов по работе с современным оборудованием и технологиями.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Среднемесячная заработная плата работников сельского хозяйства (без субъектов малого предпринимательства) в 2023 году составила 53 878,9 рубл</w:t>
      </w:r>
      <w:r>
        <w:rPr>
          <w:rFonts w:ascii="PT Astra Serif" w:hAnsi="PT Astra Serif"/>
        </w:rPr>
        <w:t xml:space="preserve">я</w:t>
      </w:r>
      <w:r>
        <w:rPr>
          <w:rFonts w:ascii="PT Astra Serif" w:hAnsi="PT Astra Serif"/>
        </w:rPr>
        <w:t xml:space="preserve"> или 117,0% к соответствующему периоду 2022 года (46 039,7 рубл</w:t>
      </w:r>
      <w:r>
        <w:rPr>
          <w:rFonts w:ascii="PT Astra Serif" w:hAnsi="PT Astra Serif"/>
        </w:rPr>
        <w:t xml:space="preserve">я</w:t>
      </w:r>
      <w:r>
        <w:rPr>
          <w:rFonts w:ascii="PT Astra Serif" w:hAnsi="PT Astra Serif"/>
        </w:rPr>
        <w:t xml:space="preserve">). Достижение показателя обусловлено ростом эффективности и производительности сельскохозяйственной отрасли.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Аграрии Томской области производят продукцию, конкурентоспособную не только по российски</w:t>
      </w:r>
      <w:r>
        <w:rPr>
          <w:rFonts w:ascii="PT Astra Serif" w:hAnsi="PT Astra Serif"/>
        </w:rPr>
        <w:t xml:space="preserve">м меркам. Всего 58 компаний региона  экспортируют продукцию АПК в 37 стран. В 2023 году на мировой рынок реализовано продукции на сумму 101 млн долларов США. Первое место в  объеме экспорта АПК  занимает масложировая продукция – 47,5% (48,0 млн долларов).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Ключевыми предприятиями-экспортерами региона по-прежнему остаются компании «Сибирская олива», «Сава», «Томское пиво», «Томские мельницы», «Сибагро», «Межениновская птицефабрика». </w:t>
      </w:r>
      <w:r>
        <w:rPr>
          <w:rFonts w:ascii="PT Astra Serif" w:hAnsi="PT Astra Serif"/>
        </w:rPr>
      </w:r>
      <w:r>
        <w:rPr>
          <w:rFonts w:ascii="PT Astra Serif" w:hAnsi="PT Astra Serif"/>
        </w:rPr>
      </w:r>
    </w:p>
    <w:p>
      <w:pPr>
        <w:pStyle w:val="1154"/>
        <w:ind w:firstLine="709"/>
        <w:jc w:val="both"/>
        <w:rPr>
          <w:rFonts w:ascii="PT Astra Serif" w:hAnsi="PT Astra Serif"/>
          <w:strike/>
        </w:rPr>
      </w:pPr>
      <w:r>
        <w:rPr>
          <w:rFonts w:ascii="PT Astra Serif" w:hAnsi="PT Astra Serif"/>
        </w:rPr>
        <w:t xml:space="preserve">Доля экспортируемых продовольственных товаров и сельскохозяйственного сырья в общем объеме экспорта Томской области составляет 21,0%.</w:t>
      </w:r>
      <w:r>
        <w:rPr>
          <w:rFonts w:ascii="PT Astra Serif" w:hAnsi="PT Astra Serif"/>
          <w:strike/>
        </w:rPr>
        <w:t xml:space="preserve"> </w:t>
      </w:r>
      <w:r>
        <w:rPr>
          <w:rFonts w:ascii="PT Astra Serif" w:hAnsi="PT Astra Serif"/>
          <w:strike/>
        </w:rPr>
      </w:r>
      <w:r>
        <w:rPr>
          <w:rFonts w:ascii="PT Astra Serif" w:hAnsi="PT Astra Serif"/>
          <w:strike/>
        </w:rPr>
      </w:r>
    </w:p>
    <w:p>
      <w:pPr>
        <w:pStyle w:val="1154"/>
        <w:ind w:firstLine="709"/>
        <w:jc w:val="both"/>
        <w:rPr>
          <w:rFonts w:ascii="PT Astra Serif" w:hAnsi="PT Astra Serif"/>
        </w:rPr>
      </w:pPr>
      <w:r>
        <w:rPr>
          <w:rFonts w:ascii="PT Astra Serif" w:hAnsi="PT Astra Serif"/>
        </w:rPr>
        <w:t xml:space="preserve">В 2023 году созданы цифровые сервисы для сельскохозяйственных производителей, разработана и запущена мобильная версия метеорологической платформы, продолжено развитие инфраструктуры – расширение количества метеорологических устройств.</w:t>
      </w:r>
      <w:r>
        <w:rPr>
          <w:rFonts w:ascii="PT Astra Serif" w:hAnsi="PT Astra Serif"/>
        </w:rPr>
        <w:t xml:space="preserve">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2023 году в 7 районах Томской области установлено метеорологическое оборудование, площадь под метеорологическим освещением составила 117319 га.</w:t>
      </w:r>
      <w:r>
        <w:rPr>
          <w:rFonts w:ascii="PT Astra Serif" w:hAnsi="PT Astra Serif"/>
        </w:rPr>
      </w:r>
      <w:r>
        <w:rPr>
          <w:rFonts w:ascii="PT Astra Serif" w:hAnsi="PT Astra Serif"/>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54"/>
        <w:ind w:firstLine="709"/>
        <w:jc w:val="both"/>
        <w:rPr>
          <w:rFonts w:ascii="PT Astra Serif" w:hAnsi="PT Astra Serif"/>
        </w:rPr>
      </w:pPr>
      <w:r>
        <w:rPr>
          <w:rFonts w:ascii="PT Astra Serif" w:hAnsi="PT Astra Serif"/>
        </w:rPr>
        <w:t xml:space="preserve">1. Сопровождение кр</w:t>
      </w:r>
      <w:r>
        <w:rPr>
          <w:rFonts w:ascii="PT Astra Serif" w:hAnsi="PT Astra Serif"/>
        </w:rPr>
        <w:t xml:space="preserve">упных инвестиционных проектов, в том числе строительство селекционно–семеноводческого центра, проектов по глубокой переработке органических отходов производства, закладка сада жимолости, строительство нового молочно-товарного комплекса на 1999 коров и пр.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2</w:t>
      </w:r>
      <w:r>
        <w:rPr>
          <w:rFonts w:ascii="PT Astra Serif" w:hAnsi="PT Astra Serif"/>
        </w:rPr>
        <w:t xml:space="preserve">. Создание цифровой агрометеопла</w:t>
      </w:r>
      <w:r>
        <w:rPr>
          <w:rFonts w:ascii="PT Astra Serif" w:hAnsi="PT Astra Serif"/>
        </w:rPr>
        <w:t xml:space="preserve">т</w:t>
      </w:r>
      <w:r>
        <w:rPr>
          <w:rFonts w:ascii="PT Astra Serif" w:hAnsi="PT Astra Serif"/>
        </w:rPr>
        <w:t xml:space="preserve">формы с целью многофункционального использования, в т</w:t>
      </w:r>
      <w:r>
        <w:rPr>
          <w:rFonts w:ascii="PT Astra Serif" w:hAnsi="PT Astra Serif"/>
        </w:rPr>
        <w:t xml:space="preserve">ом </w:t>
      </w:r>
      <w:r>
        <w:rPr>
          <w:rFonts w:ascii="PT Astra Serif" w:hAnsi="PT Astra Serif"/>
        </w:rPr>
        <w:t xml:space="preserve">ч</w:t>
      </w:r>
      <w:r>
        <w:rPr>
          <w:rFonts w:ascii="PT Astra Serif" w:hAnsi="PT Astra Serif"/>
        </w:rPr>
        <w:t xml:space="preserve">исле</w:t>
      </w:r>
      <w:r>
        <w:rPr>
          <w:rFonts w:ascii="PT Astra Serif" w:hAnsi="PT Astra Serif"/>
        </w:rPr>
        <w:t xml:space="preserve"> в области мониторинга и предупреждения чрезвычайных ситуаций в лесной отрасли, сельском хозяйстве, метеорологии.</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3</w:t>
      </w:r>
      <w:r>
        <w:rPr>
          <w:rFonts w:ascii="PT Astra Serif" w:hAnsi="PT Astra Serif"/>
        </w:rPr>
        <w:t xml:space="preserve">. Государственная поддержка по аккредитации ветеринарных лабораторий в национальной системе аккредитации.</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4. Сохранение темп</w:t>
      </w:r>
      <w:r>
        <w:rPr>
          <w:rFonts w:ascii="PT Astra Serif" w:hAnsi="PT Astra Serif"/>
        </w:rPr>
        <w:t xml:space="preserve">ов</w:t>
      </w:r>
      <w:r>
        <w:rPr>
          <w:rFonts w:ascii="PT Astra Serif" w:hAnsi="PT Astra Serif"/>
        </w:rPr>
        <w:t xml:space="preserve"> по материально-техническому обновлению парка</w:t>
      </w:r>
      <w:r>
        <w:rPr>
          <w:rFonts w:ascii="PT Astra Serif" w:hAnsi="PT Astra Serif"/>
        </w:rPr>
        <w:t xml:space="preserve"> </w:t>
      </w:r>
      <w:r>
        <w:t xml:space="preserve">сельскохозяйственной техники</w:t>
      </w:r>
      <w:r>
        <w:rPr>
          <w:rFonts w:ascii="PT Astra Serif" w:hAnsi="PT Astra Serif"/>
        </w:rPr>
        <w:t xml:space="preserve">.</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5. Увеличение площади сельскох</w:t>
      </w:r>
      <w:r>
        <w:rPr>
          <w:rFonts w:ascii="PT Astra Serif" w:hAnsi="PT Astra Serif"/>
        </w:rPr>
        <w:t xml:space="preserve">озяйственных земель в обработке</w:t>
      </w:r>
      <w:r>
        <w:rPr>
          <w:rFonts w:ascii="PT Astra Serif" w:hAnsi="PT Astra Serif"/>
        </w:rPr>
        <w:t xml:space="preserve"> с учетом потребности в расширении кормовой базы для существующих и новых инвестиционных проектов более чем на 20 тыс. га к 2025 году.</w:t>
      </w:r>
      <w:r>
        <w:rPr>
          <w:rFonts w:ascii="PT Astra Serif" w:hAnsi="PT Astra Serif"/>
        </w:rPr>
      </w:r>
      <w:r>
        <w:rPr>
          <w:rFonts w:ascii="PT Astra Serif" w:hAnsi="PT Astra Serif"/>
        </w:rPr>
      </w:r>
    </w:p>
    <w:p>
      <w:pPr>
        <w:pStyle w:val="1154"/>
        <w:ind w:firstLine="709"/>
        <w:jc w:val="both"/>
        <w:rPr>
          <w:rFonts w:ascii="PT Astra Serif" w:hAnsi="PT Astra Serif"/>
          <w:b/>
          <w:shd w:val="clear" w:color="auto" w:fill="f2f2f2" w:themeFill="background1" w:themeFillShade="F2"/>
        </w:rPr>
      </w:pPr>
      <w:r>
        <w:rPr>
          <w:rFonts w:ascii="PT Astra Serif" w:hAnsi="PT Astra Serif"/>
          <w:b/>
          <w:shd w:val="clear" w:color="auto" w:fill="f2f2f2" w:themeFill="background1" w:themeFillShade="F2"/>
        </w:rPr>
        <w:br w:type="page" w:clear="all"/>
      </w:r>
      <w:r>
        <w:rPr>
          <w:rFonts w:ascii="PT Astra Serif" w:hAnsi="PT Astra Serif"/>
          <w:b/>
          <w:shd w:val="clear" w:color="auto" w:fill="f2f2f2" w:themeFill="background1" w:themeFillShade="F2"/>
        </w:rPr>
      </w:r>
      <w:r>
        <w:rPr>
          <w:rFonts w:ascii="PT Astra Serif" w:hAnsi="PT Astra Serif"/>
          <w:b/>
          <w:shd w:val="clear" w:color="auto" w:fill="f2f2f2" w:themeFill="background1" w:themeFillShade="F2"/>
        </w:rPr>
      </w:r>
    </w:p>
    <w:p>
      <w:pPr>
        <w:pStyle w:val="1132"/>
        <w:rPr>
          <w:rFonts w:eastAsia="Times New Roman"/>
        </w:rPr>
        <w:outlineLvl w:val="0"/>
      </w:pPr>
      <w:r/>
      <w:hyperlink r:id="rId44" w:tooltip="consultantplus://offline/ref=556F33B6F03A1F9FB0AD35A5ED64A320B53B1CEF8C01C9A7D81EBCE6AD897785C15F825301A8322F4ACFFCO4P5M" w:history="1">
        <w:bookmarkStart w:id="12" w:name="_Toc134630402"/>
        <w:r>
          <w:t xml:space="preserve">РАЗДЕЛ III</w:t>
        </w:r>
      </w:hyperlink>
      <w:r>
        <w:t xml:space="preserve"> </w:t>
      </w:r>
      <w:r>
        <w:rPr>
          <w:rFonts w:eastAsia="Times New Roman"/>
        </w:rPr>
        <w:t xml:space="preserve">ПОВЫШЕНИЕ УРОВНЯ И КАЧЕСТВА ЖИЗНИ НАСЕЛЕНИЯ, НАКОПЛЕНИЕ ЧЕЛОВЕЧЕСКОГО КАПИТАЛА</w:t>
      </w:r>
      <w:bookmarkEnd w:id="12"/>
      <w:r>
        <w:rPr>
          <w:rFonts w:eastAsia="Times New Roman"/>
        </w:rPr>
      </w:r>
      <w:r>
        <w:rPr>
          <w:rFonts w:eastAsia="Times New Roman"/>
        </w:rPr>
      </w:r>
    </w:p>
    <w:p>
      <w:pPr>
        <w:ind w:firstLine="567"/>
        <w:jc w:val="center"/>
        <w:spacing w:after="0" w:line="240" w:lineRule="auto"/>
        <w:tabs>
          <w:tab w:val="left" w:pos="4962"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pStyle w:val="1146"/>
        <w:outlineLvl w:val="1"/>
      </w:pPr>
      <w:r/>
      <w:bookmarkStart w:id="13" w:name="_Toc134630403"/>
      <w:r>
        <w:t xml:space="preserve">3.1. Повышение доступности медицинской помощи и эффективности предоставления медицинских услуг</w:t>
      </w:r>
      <w:bookmarkEnd w:id="13"/>
      <w: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Основной приоритет государственной политики в социальной сфере направлен на создание условий для продолжительной, здоровой, активной жизни людей посредством оказания качественной и доступной медицинской помощи.</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Томской области реализуется 8 региональных проектов национального проекта «Здравоохра</w:t>
      </w:r>
      <w:r>
        <w:rPr>
          <w:rFonts w:ascii="PT Astra Serif" w:hAnsi="PT Astra Serif" w:eastAsia="Calibri"/>
          <w:sz w:val="24"/>
          <w:szCs w:val="24"/>
        </w:rPr>
        <w:t xml:space="preserve">нение», направленных на развитие детского здравоохранения, борьбу с онкологическими и сердечно-сосудистыми заболеваниями, устранение дефицита медицинских кадров, модернизацию первичного звена здравоохранения, развитие технологий цифрового здравоохранения, </w:t>
      </w:r>
      <w:r>
        <w:rPr>
          <w:rFonts w:ascii="PT Astra Serif" w:hAnsi="PT Astra Serif" w:eastAsia="Times New Roman"/>
          <w:sz w:val="24"/>
          <w:szCs w:val="24"/>
        </w:rPr>
        <w:t xml:space="preserve">развитие экспорта медицинских услуг</w:t>
      </w:r>
      <w:r>
        <w:rPr>
          <w:rFonts w:ascii="PT Astra Serif" w:hAnsi="PT Astra Serif" w:eastAsia="Calibri"/>
          <w:sz w:val="24"/>
          <w:szCs w:val="24"/>
        </w:rPr>
        <w:t xml:space="preserve">.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рамках регионального проекта по борьбе с онкологическими заболевани</w:t>
      </w:r>
      <w:r>
        <w:rPr>
          <w:rFonts w:ascii="PT Astra Serif" w:hAnsi="PT Astra Serif" w:eastAsia="Calibri"/>
          <w:sz w:val="24"/>
          <w:szCs w:val="24"/>
        </w:rPr>
        <w:t xml:space="preserve">ями в 2023 году введен в эксплуатацию хирургический корпус ОГАУЗ «Томский областной онкологический диспансер», который позволил обеспечить замкнутый цикл лечения пациентов и продолжить внедрение современных хирургических методик на основе органосохранных, </w:t>
      </w:r>
      <w:r>
        <w:rPr>
          <w:rFonts w:ascii="PT Astra Serif" w:hAnsi="PT Astra Serif" w:eastAsia="Calibri"/>
          <w:sz w:val="24"/>
          <w:szCs w:val="24"/>
        </w:rPr>
        <w:t xml:space="preserve">малоинвазивных операций. Осуществляется укрепление материально-технической базы онкодиспансера высокотехнологичным оборудованием (дозкалибратор, автоматические инжекторы-шприцы, роботизированная система гистологической и иммуногистохимической диагностики).</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2023 году продолжалось строительство новых объектов здравоохранения:</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cstheme="minorBidi"/>
          <w:sz w:val="24"/>
          <w:szCs w:val="24"/>
        </w:rPr>
        <w:t xml:space="preserve">–</w:t>
      </w:r>
      <w:r>
        <w:rPr>
          <w:rFonts w:ascii="PT Astra Serif" w:hAnsi="PT Astra Serif" w:eastAsia="Calibri"/>
          <w:sz w:val="24"/>
          <w:szCs w:val="24"/>
        </w:rPr>
        <w:t xml:space="preserve"> детской поликлиники в г. Асино (окончание работ планируется в </w:t>
      </w:r>
      <w:r>
        <w:rPr>
          <w:rFonts w:ascii="PT Astra Serif" w:hAnsi="PT Astra Serif" w:eastAsia="Calibri"/>
          <w:sz w:val="24"/>
          <w:szCs w:val="24"/>
        </w:rPr>
        <w:t xml:space="preserve">2</w:t>
      </w:r>
      <w:r>
        <w:rPr>
          <w:rFonts w:ascii="PT Astra Serif" w:hAnsi="PT Astra Serif" w:eastAsia="Calibri"/>
          <w:sz w:val="24"/>
          <w:szCs w:val="24"/>
        </w:rPr>
        <w:t xml:space="preserve">-м квартале 2024 года</w:t>
      </w:r>
      <w:r>
        <w:rPr>
          <w:rFonts w:ascii="PT Astra Serif" w:hAnsi="PT Astra Serif" w:eastAsia="Calibri"/>
          <w:sz w:val="24"/>
          <w:szCs w:val="24"/>
        </w:rPr>
        <w:t xml:space="preserve">)</w:t>
      </w:r>
      <w:r>
        <w:rPr>
          <w:rFonts w:ascii="PT Astra Serif" w:hAnsi="PT Astra Serif" w:eastAsia="Calibri"/>
          <w:sz w:val="24"/>
          <w:szCs w:val="24"/>
        </w:rPr>
        <w:t xml:space="preserve">;</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cstheme="minorBidi"/>
          <w:sz w:val="24"/>
          <w:szCs w:val="24"/>
        </w:rPr>
        <w:t xml:space="preserve">–</w:t>
      </w:r>
      <w:r>
        <w:rPr>
          <w:rFonts w:ascii="PT Astra Serif" w:hAnsi="PT Astra Serif" w:eastAsia="Calibri"/>
          <w:sz w:val="24"/>
          <w:szCs w:val="24"/>
        </w:rPr>
        <w:t xml:space="preserve"> поликлиники на 400 посещений в смену в мкр. Южные ворота (окончание работ запланировано на 2025 год).</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По программе модернизации в учреждениях здравоохранения завершены работы по капитальному ремонту поликлиники ОГАУЗ «Томская районная больница» в с.</w:t>
      </w:r>
      <w:r>
        <w:rPr>
          <w:rFonts w:ascii="PT Astra Serif" w:hAnsi="PT Astra Serif" w:eastAsia="Calibri"/>
          <w:sz w:val="24"/>
          <w:szCs w:val="24"/>
        </w:rPr>
        <w:t xml:space="preserve"> </w:t>
      </w:r>
      <w:r>
        <w:rPr>
          <w:rFonts w:ascii="PT Astra Serif" w:hAnsi="PT Astra Serif" w:eastAsia="Calibri"/>
          <w:sz w:val="24"/>
          <w:szCs w:val="24"/>
        </w:rPr>
        <w:t xml:space="preserve">Тимирязево, врачебных амбулаторий ОГАУЗ «Лоскутовская районная поликлиника» в поселках Зональная станция и Богашево, кровель зданий ОГАУЗ «Шегарская районная больница», здания поликлинического отделения ОГАУЗ «Детская городская больница №</w:t>
      </w:r>
      <w:r>
        <w:rPr>
          <w:rFonts w:ascii="PT Astra Serif" w:hAnsi="PT Astra Serif" w:eastAsia="Calibri"/>
          <w:sz w:val="24"/>
          <w:szCs w:val="24"/>
        </w:rPr>
        <w:t xml:space="preserve"> </w:t>
      </w:r>
      <w:r>
        <w:rPr>
          <w:rFonts w:ascii="PT Astra Serif" w:hAnsi="PT Astra Serif" w:eastAsia="Calibri"/>
          <w:sz w:val="24"/>
          <w:szCs w:val="24"/>
        </w:rPr>
        <w:t xml:space="preserve">2», стационара в с</w:t>
      </w:r>
      <w:r>
        <w:rPr>
          <w:rFonts w:ascii="PT Astra Serif" w:hAnsi="PT Astra Serif" w:eastAsia="Calibri"/>
          <w:sz w:val="24"/>
          <w:szCs w:val="24"/>
        </w:rPr>
        <w:t xml:space="preserve">. </w:t>
      </w:r>
      <w:r>
        <w:rPr>
          <w:rFonts w:ascii="PT Astra Serif" w:hAnsi="PT Astra Serif" w:eastAsia="Calibri"/>
          <w:sz w:val="24"/>
          <w:szCs w:val="24"/>
        </w:rPr>
        <w:t xml:space="preserve">Октябрьском ОГАУЗ «Светленская районная больница».</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2023 году начаты работы по капитальному ремонту поликлиники ОГАУЗ «Городская клиническая больница №</w:t>
      </w:r>
      <w:r>
        <w:rPr>
          <w:rFonts w:ascii="PT Astra Serif" w:hAnsi="PT Astra Serif" w:eastAsia="Calibri"/>
          <w:sz w:val="24"/>
          <w:szCs w:val="24"/>
        </w:rPr>
        <w:t xml:space="preserve"> </w:t>
      </w:r>
      <w:r>
        <w:rPr>
          <w:rFonts w:ascii="PT Astra Serif" w:hAnsi="PT Astra Serif" w:eastAsia="Calibri"/>
          <w:sz w:val="24"/>
          <w:szCs w:val="24"/>
        </w:rPr>
        <w:t xml:space="preserve">3 им. Б.И. Альперовича», здания ОГАУЗ «Поликлиника №</w:t>
      </w:r>
      <w:r>
        <w:rPr>
          <w:rFonts w:ascii="PT Astra Serif" w:hAnsi="PT Astra Serif" w:eastAsia="Calibri"/>
          <w:sz w:val="24"/>
          <w:szCs w:val="24"/>
        </w:rPr>
        <w:t xml:space="preserve"> </w:t>
      </w:r>
      <w:r>
        <w:rPr>
          <w:rFonts w:ascii="PT Astra Serif" w:hAnsi="PT Astra Serif" w:eastAsia="Calibri"/>
          <w:sz w:val="24"/>
          <w:szCs w:val="24"/>
        </w:rPr>
        <w:t xml:space="preserve">1». Завершить работы планируется в 2024 году.</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целях повышения доступност</w:t>
      </w:r>
      <w:r>
        <w:rPr>
          <w:rFonts w:ascii="PT Astra Serif" w:hAnsi="PT Astra Serif" w:eastAsia="Calibri"/>
          <w:sz w:val="24"/>
          <w:szCs w:val="24"/>
        </w:rPr>
        <w:t xml:space="preserve">и оказания медицинской помощи населению Томской области в 2023 году на базе ОГАУЗ «Томская областная клиническая больница» были открыты эндокринологическое отделение (круглосуточный стационар на 21 койку) и Областной эндокринологический амбулаторный центр.</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На базе ОГБУЗ «Медико-санитарная часть № 2» продолжает работу Региональный респираторный центр, оказывающий специализированную медицинскую помощь пациентам с тяжелой бронхиальной астмой.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целях лечения хронических вирусных гепатитов на базе ОГАУЗ «Городская клиническая больница № 3 им. Б.И. Альперовича» открыт гепатологический кабинет и </w:t>
      </w:r>
      <w:r>
        <w:rPr>
          <w:rFonts w:ascii="PT Astra Serif" w:hAnsi="PT Astra Serif" w:eastAsia="Calibri"/>
          <w:sz w:val="24"/>
          <w:szCs w:val="24"/>
        </w:rPr>
        <w:t xml:space="preserve">кабинет </w:t>
      </w:r>
      <w:r>
        <w:rPr>
          <w:rFonts w:ascii="PT Astra Serif" w:hAnsi="PT Astra Serif" w:eastAsia="Calibri"/>
          <w:sz w:val="24"/>
          <w:szCs w:val="24"/>
        </w:rPr>
        <w:t xml:space="preserve">врача-гериатра.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рамках регионального проекта по борьбе с сердечно-сосудистыми заболеваниями в 2023 году приобретено 1</w:t>
      </w:r>
      <w:r>
        <w:rPr>
          <w:rFonts w:ascii="PT Astra Serif" w:hAnsi="PT Astra Serif" w:eastAsia="Calibri"/>
          <w:sz w:val="24"/>
          <w:szCs w:val="24"/>
        </w:rPr>
        <w:t xml:space="preserve">7 единиц оборудования в региональный сосудистый центр (ОГАУЗ «Томская областная клиническая больница» и первичные сосудистые  отделения  (ОГАУЗ «Стрежевская городская больница», ОГАУЗ «Колпашевская районная больница», ОГАУЗ «Асиновская районная больница»).</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Calibri"/>
          <w:sz w:val="24"/>
          <w:szCs w:val="24"/>
        </w:rPr>
        <w:t xml:space="preserve">В рамках программы модернизации первичного звена здравоохранения приобретены:</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Calibri"/>
          <w:sz w:val="24"/>
          <w:szCs w:val="24"/>
        </w:rPr>
      </w:pPr>
      <w:r>
        <w:rPr>
          <w:rFonts w:ascii="PT Astra Serif" w:hAnsi="PT Astra Serif" w:cstheme="minorBidi"/>
          <w:sz w:val="24"/>
          <w:szCs w:val="24"/>
        </w:rPr>
        <w:t xml:space="preserve">–</w:t>
      </w:r>
      <w:r>
        <w:rPr>
          <w:rFonts w:ascii="PT Astra Serif" w:hAnsi="PT Astra Serif" w:eastAsia="Calibri"/>
          <w:sz w:val="24"/>
          <w:szCs w:val="24"/>
        </w:rPr>
        <w:t xml:space="preserve"> 27 автомобилей в</w:t>
      </w:r>
      <w:r>
        <w:rPr>
          <w:rFonts w:ascii="PT Astra Serif" w:hAnsi="PT Astra Serif" w:eastAsia="Calibri"/>
          <w:b/>
          <w:sz w:val="24"/>
          <w:szCs w:val="24"/>
        </w:rPr>
        <w:t xml:space="preserve"> </w:t>
      </w:r>
      <w:r>
        <w:rPr>
          <w:rFonts w:ascii="PT Astra Serif" w:hAnsi="PT Astra Serif" w:eastAsia="Calibri"/>
          <w:sz w:val="24"/>
          <w:szCs w:val="24"/>
        </w:rPr>
        <w:t xml:space="preserve">районные медицинские организации для выезда на дом участковой службы, доставки лекарств и лабораторных материалов;</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cstheme="minorBidi"/>
          <w:sz w:val="24"/>
          <w:szCs w:val="24"/>
        </w:rPr>
        <w:t xml:space="preserve">–</w:t>
      </w:r>
      <w:r>
        <w:rPr>
          <w:rFonts w:ascii="PT Astra Serif" w:hAnsi="PT Astra Serif" w:eastAsia="Calibri"/>
          <w:sz w:val="24"/>
          <w:szCs w:val="24"/>
        </w:rPr>
        <w:t xml:space="preserve"> 41 единица оборудования: ультразвуковые аппараты, маммограф и эндоскопическое оборудование в ОГБУ</w:t>
      </w:r>
      <w:r>
        <w:rPr>
          <w:rFonts w:ascii="PT Astra Serif" w:hAnsi="PT Astra Serif" w:eastAsia="Calibri"/>
          <w:sz w:val="24"/>
          <w:szCs w:val="24"/>
        </w:rPr>
        <w:t xml:space="preserve">З «Молчановская районная больница», «Парабельская районная больница», ОГАУЗ «Шегарская районная больница», «Светленская районная больница», «Томская районная больница», «Кожевниковская районная больница», «Детская больница № 1», «Межвузовская поликлиника»;</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cstheme="minorBidi"/>
          <w:sz w:val="24"/>
          <w:szCs w:val="24"/>
        </w:rPr>
        <w:t xml:space="preserve">–</w:t>
      </w:r>
      <w:r>
        <w:rPr>
          <w:rFonts w:ascii="PT Astra Serif" w:hAnsi="PT Astra Serif" w:eastAsia="Times New Roman"/>
          <w:sz w:val="24"/>
          <w:szCs w:val="24"/>
          <w:lang w:eastAsia="ru-RU"/>
        </w:rPr>
        <w:t xml:space="preserve"> 1 врачебн</w:t>
      </w:r>
      <w:r>
        <w:rPr>
          <w:rFonts w:ascii="PT Astra Serif" w:hAnsi="PT Astra Serif" w:eastAsia="Times New Roman"/>
          <w:sz w:val="24"/>
          <w:szCs w:val="24"/>
          <w:lang w:eastAsia="ru-RU"/>
        </w:rPr>
        <w:t xml:space="preserve">ая</w:t>
      </w:r>
      <w:r>
        <w:rPr>
          <w:rFonts w:ascii="PT Astra Serif" w:hAnsi="PT Astra Serif" w:eastAsia="Times New Roman"/>
          <w:sz w:val="24"/>
          <w:szCs w:val="24"/>
          <w:lang w:eastAsia="ru-RU"/>
        </w:rPr>
        <w:t xml:space="preserve"> амбулатори</w:t>
      </w:r>
      <w:r>
        <w:rPr>
          <w:rFonts w:ascii="PT Astra Serif" w:hAnsi="PT Astra Serif" w:eastAsia="Times New Roman"/>
          <w:sz w:val="24"/>
          <w:szCs w:val="24"/>
          <w:lang w:eastAsia="ru-RU"/>
        </w:rPr>
        <w:t xml:space="preserve">я</w:t>
      </w:r>
      <w:r>
        <w:rPr>
          <w:rFonts w:ascii="PT Astra Serif" w:hAnsi="PT Astra Serif" w:eastAsia="Times New Roman"/>
          <w:sz w:val="24"/>
          <w:szCs w:val="24"/>
          <w:lang w:eastAsia="ru-RU"/>
        </w:rPr>
        <w:t xml:space="preserve"> в с. Рыбалово.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рамках </w:t>
      </w:r>
      <w:r>
        <w:rPr>
          <w:rFonts w:ascii="PT Astra Serif" w:hAnsi="PT Astra Serif" w:eastAsia="Calibri"/>
          <w:sz w:val="24"/>
          <w:szCs w:val="24"/>
        </w:rPr>
        <w:t xml:space="preserve">территориальной программы государственных </w:t>
      </w:r>
      <w:r>
        <w:rPr>
          <w:rFonts w:ascii="PT Astra Serif" w:hAnsi="PT Astra Serif" w:eastAsia="Calibri"/>
          <w:sz w:val="24"/>
          <w:szCs w:val="24"/>
        </w:rPr>
        <w:t xml:space="preserve">гарантий </w:t>
      </w:r>
      <w:r>
        <w:rPr>
          <w:rFonts w:ascii="PT Astra Serif" w:hAnsi="PT Astra Serif" w:eastAsia="Calibri"/>
          <w:sz w:val="24"/>
          <w:szCs w:val="24"/>
        </w:rPr>
        <w:t xml:space="preserve">оказана медицинская помощь гражданам, проживающим на территории Томской области: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cstheme="minorBidi"/>
          <w:sz w:val="24"/>
          <w:szCs w:val="24"/>
        </w:rPr>
        <w:t xml:space="preserve">–</w:t>
      </w:r>
      <w:r>
        <w:rPr>
          <w:rFonts w:ascii="PT Astra Serif" w:hAnsi="PT Astra Serif" w:eastAsia="Calibri"/>
          <w:sz w:val="24"/>
          <w:szCs w:val="24"/>
        </w:rPr>
        <w:t xml:space="preserve"> в условиях круглосуточного стационара, в том числе высокотехнологичная медицинская помощь и паллиативная медицинская помощь;</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cstheme="minorBidi"/>
          <w:sz w:val="24"/>
          <w:szCs w:val="24"/>
        </w:rPr>
        <w:t xml:space="preserve">–</w:t>
      </w:r>
      <w:r>
        <w:rPr>
          <w:rFonts w:ascii="PT Astra Serif" w:hAnsi="PT Astra Serif" w:eastAsia="Calibri"/>
          <w:sz w:val="24"/>
          <w:szCs w:val="24"/>
        </w:rPr>
        <w:t xml:space="preserve"> в условиях дневного стационара;</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cstheme="minorBidi"/>
          <w:sz w:val="24"/>
          <w:szCs w:val="24"/>
        </w:rPr>
        <w:t xml:space="preserve">–</w:t>
      </w:r>
      <w:r>
        <w:rPr>
          <w:rFonts w:ascii="PT Astra Serif" w:hAnsi="PT Astra Serif" w:eastAsia="Calibri"/>
          <w:sz w:val="24"/>
          <w:szCs w:val="24"/>
        </w:rPr>
        <w:t xml:space="preserve"> в амбулаторно-поликлинических условиях, в том числе паллиативная медицинская помощь;</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cstheme="minorBidi"/>
          <w:sz w:val="24"/>
          <w:szCs w:val="24"/>
        </w:rPr>
        <w:t xml:space="preserve">–</w:t>
      </w:r>
      <w:r>
        <w:rPr>
          <w:rFonts w:ascii="PT Astra Serif" w:hAnsi="PT Astra Serif" w:eastAsia="Calibri"/>
          <w:sz w:val="24"/>
          <w:szCs w:val="24"/>
        </w:rPr>
        <w:t xml:space="preserve"> скорая медицинская помощь, в том числе санитарно-авиационная эвакуация;</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cstheme="minorBidi"/>
          <w:sz w:val="24"/>
          <w:szCs w:val="24"/>
        </w:rPr>
        <w:t xml:space="preserve">–</w:t>
      </w:r>
      <w:r>
        <w:rPr>
          <w:rFonts w:ascii="PT Astra Serif" w:hAnsi="PT Astra Serif" w:eastAsia="Calibri"/>
          <w:sz w:val="24"/>
          <w:szCs w:val="24"/>
        </w:rPr>
        <w:t xml:space="preserve"> отдельные диагностические (ла</w:t>
      </w:r>
      <w:r>
        <w:rPr>
          <w:rFonts w:ascii="PT Astra Serif" w:hAnsi="PT Astra Serif" w:eastAsia="Calibri"/>
          <w:sz w:val="24"/>
          <w:szCs w:val="24"/>
        </w:rPr>
        <w:t xml:space="preserve">бораторные) исследования (компьютерная томография, магнитно-резонансная томография, ультразвуковое исследование сердечно-сосудистой системы, эндоскопическое диагностическое исследование, молекулярно-генетическое исследование с целью диагностики онкологичес</w:t>
      </w:r>
      <w:r>
        <w:rPr>
          <w:rFonts w:ascii="PT Astra Serif" w:hAnsi="PT Astra Serif" w:eastAsia="Calibri"/>
          <w:sz w:val="24"/>
          <w:szCs w:val="24"/>
        </w:rPr>
        <w:t xml:space="preserve">ких заболеваний, патологоанатомические исследования биопсийного (операционного) материалла с целью диагностики онкологических заболеваний и подбора противоопухолевой лекарственной терапии, тестирование на выявление новой коронавирусной инфекции (COVID-19).</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2023 году 78  тысяч человек в рамках льготного лекарственного обеспечения получили лекарственные препараты и медицинские изделия</w:t>
      </w:r>
      <w:r>
        <w:rPr>
          <w:rFonts w:ascii="PT Astra Serif" w:hAnsi="PT Astra Serif" w:eastAsia="Calibri"/>
          <w:sz w:val="24"/>
          <w:szCs w:val="24"/>
        </w:rPr>
        <w:t xml:space="preserve">.</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Сенсорами для непрерывного измерения уровня глюкозы в крови обеспечены 504</w:t>
      </w:r>
      <w:r>
        <w:rPr>
          <w:rFonts w:ascii="PT Astra Serif" w:hAnsi="PT Astra Serif" w:eastAsia="Calibri"/>
          <w:sz w:val="24"/>
          <w:szCs w:val="24"/>
        </w:rPr>
        <w:t xml:space="preserve"> </w:t>
      </w:r>
      <w:r>
        <w:rPr>
          <w:rFonts w:ascii="PT Astra Serif" w:hAnsi="PT Astra Serif" w:eastAsia="Calibri"/>
          <w:sz w:val="24"/>
          <w:szCs w:val="24"/>
        </w:rPr>
        <w:t xml:space="preserve">ребенка с сахарным диабетом первого типа.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Лекарственными препаратами обеспечены 108 жителей Томской области с редкими (орфанными) заболеваниями.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По федеральной программе «14 высокозатратных нозологий» лекарства на лечение таких тяжелых заболеваний, как рассеянный склероз, миелолейкоз, гемофилия и др. получили 1 122 жителя Томской области.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Дети с тяжелыми жизнеугрожающими и хроническими заболеваниями, в том числе прогрессирующими редкими (орфанными) заболеваниями</w:t>
      </w:r>
      <w:r>
        <w:rPr>
          <w:rFonts w:ascii="PT Astra Serif" w:hAnsi="PT Astra Serif" w:eastAsia="Calibri"/>
          <w:sz w:val="24"/>
          <w:szCs w:val="24"/>
        </w:rPr>
        <w:t xml:space="preserve">,</w:t>
      </w:r>
      <w:r>
        <w:rPr>
          <w:rFonts w:ascii="PT Astra Serif" w:hAnsi="PT Astra Serif" w:eastAsia="Calibri"/>
          <w:sz w:val="24"/>
          <w:szCs w:val="24"/>
        </w:rPr>
        <w:t xml:space="preserve"> были обеспечены лекарствами за счет средств федерального Фонда поддержки детей «Круг добра» на общую сумму 574,5 млн рублей.</w:t>
      </w:r>
      <w:r>
        <w:rPr>
          <w:rFonts w:ascii="PT Astra Serif" w:hAnsi="PT Astra Serif" w:eastAsia="Calibri"/>
          <w:sz w:val="24"/>
          <w:szCs w:val="24"/>
        </w:rPr>
      </w:r>
      <w:r>
        <w:rPr>
          <w:rFonts w:ascii="PT Astra Serif" w:hAnsi="PT Astra Serif" w:eastAsia="Calibri"/>
          <w:sz w:val="24"/>
          <w:szCs w:val="24"/>
        </w:rPr>
      </w:r>
    </w:p>
    <w:p>
      <w:pPr>
        <w:ind w:firstLine="708"/>
        <w:jc w:val="both"/>
        <w:spacing w:after="0" w:line="240" w:lineRule="auto"/>
        <w:rPr>
          <w:rFonts w:ascii="PT Astra Serif" w:hAnsi="PT Astra Serif" w:eastAsia="Times New Roman"/>
          <w:sz w:val="24"/>
          <w:szCs w:val="24"/>
          <w:lang w:eastAsia="ru-RU"/>
        </w:rPr>
      </w:pPr>
      <w:r>
        <w:rPr>
          <w:rFonts w:ascii="PT Astra Serif" w:hAnsi="PT Astra Serif" w:eastAsia="Times New Roman"/>
          <w:bCs/>
          <w:sz w:val="24"/>
          <w:szCs w:val="24"/>
          <w:lang w:eastAsia="ru-RU"/>
        </w:rPr>
        <w:t xml:space="preserve">В 2023 году </w:t>
      </w:r>
      <w:r>
        <w:rPr>
          <w:rFonts w:ascii="PT Astra Serif" w:hAnsi="PT Astra Serif" w:eastAsia="Times New Roman"/>
          <w:sz w:val="24"/>
          <w:szCs w:val="24"/>
          <w:lang w:eastAsia="ru-RU"/>
        </w:rPr>
        <w:t xml:space="preserve">на территории Томской области </w:t>
      </w:r>
      <w:r>
        <w:rPr>
          <w:rFonts w:ascii="PT Astra Serif" w:hAnsi="PT Astra Serif" w:eastAsia="Times New Roman"/>
          <w:bCs/>
          <w:sz w:val="24"/>
          <w:szCs w:val="24"/>
          <w:lang w:eastAsia="ru-RU"/>
        </w:rPr>
        <w:t xml:space="preserve">стартовал </w:t>
      </w:r>
      <w:r>
        <w:rPr>
          <w:rFonts w:ascii="PT Astra Serif" w:hAnsi="PT Astra Serif" w:eastAsia="Times New Roman"/>
          <w:sz w:val="24"/>
          <w:szCs w:val="24"/>
          <w:lang w:eastAsia="ru-RU"/>
        </w:rPr>
        <w:t xml:space="preserve">проект «Лекарства через почту», </w:t>
      </w:r>
      <w:r>
        <w:rPr>
          <w:rFonts w:ascii="PT Astra Serif" w:hAnsi="PT Astra Serif" w:eastAsia="Times New Roman"/>
          <w:sz w:val="24"/>
          <w:szCs w:val="24"/>
          <w:lang w:eastAsia="ru-RU"/>
        </w:rPr>
        <w:t xml:space="preserve">в рамках которого обеспечена </w:t>
      </w:r>
      <w:r>
        <w:rPr>
          <w:rFonts w:ascii="PT Astra Serif" w:hAnsi="PT Astra Serif" w:eastAsia="Times New Roman"/>
          <w:sz w:val="24"/>
          <w:szCs w:val="24"/>
          <w:lang w:eastAsia="ru-RU"/>
        </w:rPr>
        <w:t xml:space="preserve">возможность приобретения безрецептурных лекарственных пре</w:t>
      </w:r>
      <w:r>
        <w:rPr>
          <w:rFonts w:ascii="PT Astra Serif" w:hAnsi="PT Astra Serif" w:eastAsia="Times New Roman"/>
          <w:sz w:val="24"/>
          <w:szCs w:val="24"/>
          <w:lang w:eastAsia="ru-RU"/>
        </w:rPr>
        <w:t xml:space="preserve">паратов жителями сельских населе</w:t>
      </w:r>
      <w:r>
        <w:rPr>
          <w:rFonts w:ascii="PT Astra Serif" w:hAnsi="PT Astra Serif" w:eastAsia="Times New Roman"/>
          <w:sz w:val="24"/>
          <w:szCs w:val="24"/>
          <w:lang w:eastAsia="ru-RU"/>
        </w:rPr>
        <w:t xml:space="preserve">нных пунктов Томской области Колпашевского, Каргасокского, Кожевниковского, Шегарского, Бакчарского, Верхнететского и Александровского районов через доставку заказов АО «Почта России».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Одним из главных факторов роста численности населения является повышение рождаемости, в связи с чем проводятся мероприятия по укреплению репродуктивного здоровья и сокращению числа абортов.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trike/>
          <w:sz w:val="24"/>
          <w:szCs w:val="24"/>
        </w:rPr>
      </w:pPr>
      <w:r>
        <w:rPr>
          <w:rFonts w:ascii="PT Astra Serif" w:hAnsi="PT Astra Serif" w:eastAsia="Calibri"/>
          <w:sz w:val="24"/>
          <w:szCs w:val="24"/>
        </w:rPr>
        <w:t xml:space="preserve">С целью совершенствования организации оказания медицинской помощи беременным женщинам и новорожденным создана трехуровневая система оказания медицинской помощи во время беременности и родов. </w:t>
      </w:r>
      <w:r>
        <w:rPr>
          <w:rFonts w:ascii="PT Astra Serif" w:hAnsi="PT Astra Serif" w:eastAsia="Calibri"/>
          <w:sz w:val="24"/>
          <w:szCs w:val="24"/>
        </w:rPr>
        <w:t xml:space="preserve">Координатором, осуществляющим замкнутый цикл оказания медицинской помощи бесплодным парам, беременным женщинам, рожающим женщинам и детям от рождения и в течение первого года жизни на всей территории региона</w:t>
      </w:r>
      <w:r>
        <w:rPr>
          <w:rFonts w:ascii="PT Astra Serif" w:hAnsi="PT Astra Serif" w:eastAsia="Calibri"/>
          <w:sz w:val="24"/>
          <w:szCs w:val="24"/>
        </w:rPr>
        <w:t xml:space="preserve">,</w:t>
      </w:r>
      <w:r>
        <w:rPr>
          <w:rFonts w:ascii="PT Astra Serif" w:hAnsi="PT Astra Serif" w:eastAsia="Calibri"/>
          <w:sz w:val="24"/>
          <w:szCs w:val="24"/>
        </w:rPr>
        <w:t xml:space="preserve"> является ОГАУЗ «Областной перинатальный центр </w:t>
      </w:r>
      <w:r>
        <w:rPr>
          <w:rFonts w:ascii="PT Astra Serif" w:hAnsi="PT Astra Serif" w:eastAsia="Calibri"/>
          <w:sz w:val="24"/>
          <w:szCs w:val="24"/>
        </w:rPr>
        <w:t xml:space="preserve">им </w:t>
      </w:r>
      <w:r>
        <w:rPr>
          <w:rFonts w:ascii="PT Astra Serif" w:hAnsi="PT Astra Serif" w:eastAsia="Calibri"/>
          <w:sz w:val="24"/>
          <w:szCs w:val="24"/>
        </w:rPr>
        <w:t xml:space="preserve">И.Д.</w:t>
      </w:r>
      <w:r>
        <w:rPr>
          <w:rFonts w:ascii="PT Astra Serif" w:hAnsi="PT Astra Serif" w:eastAsia="Calibri"/>
          <w:sz w:val="24"/>
          <w:szCs w:val="24"/>
        </w:rPr>
        <w:t xml:space="preserve"> </w:t>
      </w:r>
      <w:r>
        <w:rPr>
          <w:rFonts w:ascii="PT Astra Serif" w:hAnsi="PT Astra Serif" w:eastAsia="Calibri"/>
          <w:sz w:val="24"/>
          <w:szCs w:val="24"/>
        </w:rPr>
        <w:t xml:space="preserve">Евтушенко».</w:t>
      </w:r>
      <w:r>
        <w:rPr>
          <w:rFonts w:ascii="PT Astra Serif" w:hAnsi="PT Astra Serif" w:eastAsia="Calibri"/>
          <w:strike/>
          <w:sz w:val="24"/>
          <w:szCs w:val="24"/>
        </w:rPr>
      </w:r>
      <w:r>
        <w:rPr>
          <w:rFonts w:ascii="PT Astra Serif" w:hAnsi="PT Astra Serif" w:eastAsia="Calibri"/>
          <w:strike/>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2023 году в акушерском дистанционном центре консультацию по</w:t>
      </w:r>
      <w:r>
        <w:rPr>
          <w:rFonts w:ascii="PT Astra Serif" w:hAnsi="PT Astra Serif" w:eastAsia="Calibri"/>
          <w:sz w:val="24"/>
          <w:szCs w:val="24"/>
        </w:rPr>
        <w:t xml:space="preserve">л</w:t>
      </w:r>
      <w:r>
        <w:rPr>
          <w:rFonts w:ascii="PT Astra Serif" w:hAnsi="PT Astra Serif" w:eastAsia="Calibri"/>
          <w:sz w:val="24"/>
          <w:szCs w:val="24"/>
        </w:rPr>
        <w:t xml:space="preserve">учили (в том числе с использованием телемедицинских технологий) 1330 женщин, состоялось 1 255 выезд</w:t>
      </w:r>
      <w:r>
        <w:rPr>
          <w:rFonts w:ascii="PT Astra Serif" w:hAnsi="PT Astra Serif" w:eastAsia="Calibri"/>
          <w:sz w:val="24"/>
          <w:szCs w:val="24"/>
        </w:rPr>
        <w:t xml:space="preserve">ов</w:t>
      </w:r>
      <w:r>
        <w:rPr>
          <w:rFonts w:ascii="PT Astra Serif" w:hAnsi="PT Astra Serif" w:eastAsia="Calibri"/>
          <w:sz w:val="24"/>
          <w:szCs w:val="24"/>
        </w:rPr>
        <w:t xml:space="preserve"> реанимационных бригад.</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медицинских организациях введено мотивационное анкетирование женщин в ситуации репродуктивного выбора. Доля женщин, принявших решение о сохранении беременности после прохождения консультации, составила 17% (441 женщина встала на учет по беременнос</w:t>
      </w:r>
      <w:r>
        <w:rPr>
          <w:rFonts w:ascii="PT Astra Serif" w:hAnsi="PT Astra Serif" w:eastAsia="Calibri"/>
          <w:sz w:val="24"/>
          <w:szCs w:val="24"/>
        </w:rPr>
        <w:t xml:space="preserve">ти). Ежегодно увеличиваются объемы специализированной медицинской помощи с применением вспомогательных репродуктивных технологий, в том числе экстракорпорального оплодотворения, оказываемой в рамках базовой программы обязательного медицинского страхования.</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С целью снижения младенческой смертности с 2023 года на территории Томской области введено массовое обследование новорожденных детей на 36 наследственных заболеваний</w:t>
      </w:r>
      <w:r>
        <w:rPr>
          <w:rFonts w:ascii="PT Astra Serif" w:hAnsi="PT Astra Serif" w:eastAsia="Calibri"/>
          <w:sz w:val="24"/>
          <w:szCs w:val="24"/>
        </w:rPr>
        <w:t xml:space="preserve">.</w:t>
      </w:r>
      <w:r>
        <w:rPr>
          <w:rFonts w:ascii="PT Astra Serif" w:hAnsi="PT Astra Serif" w:eastAsia="Calibri"/>
          <w:sz w:val="24"/>
          <w:szCs w:val="24"/>
        </w:rPr>
        <w:t xml:space="preserve"> </w:t>
      </w:r>
      <w:r>
        <w:rPr>
          <w:rFonts w:ascii="PT Astra Serif" w:hAnsi="PT Astra Serif" w:eastAsia="Calibri"/>
          <w:sz w:val="24"/>
          <w:szCs w:val="24"/>
        </w:rPr>
        <w:t xml:space="preserve">В</w:t>
      </w:r>
      <w:r>
        <w:rPr>
          <w:rFonts w:ascii="PT Astra Serif" w:hAnsi="PT Astra Serif" w:eastAsia="Calibri"/>
          <w:sz w:val="24"/>
          <w:szCs w:val="24"/>
        </w:rPr>
        <w:t xml:space="preserve"> рамках расширенного неонатального скрининга</w:t>
      </w:r>
      <w:r>
        <w:rPr>
          <w:rFonts w:ascii="PT Astra Serif" w:hAnsi="PT Astra Serif" w:eastAsia="Calibri"/>
          <w:sz w:val="24"/>
          <w:szCs w:val="24"/>
        </w:rPr>
        <w:t xml:space="preserve"> обследовано </w:t>
      </w:r>
      <w:r>
        <w:rPr>
          <w:rFonts w:ascii="PT Astra Serif" w:hAnsi="PT Astra Serif" w:eastAsia="Calibri"/>
          <w:sz w:val="24"/>
          <w:szCs w:val="24"/>
        </w:rPr>
        <w:t xml:space="preserve">8</w:t>
      </w:r>
      <w:r>
        <w:rPr>
          <w:rFonts w:ascii="PT Astra Serif" w:hAnsi="PT Astra Serif" w:eastAsia="Calibri"/>
          <w:sz w:val="24"/>
          <w:szCs w:val="24"/>
        </w:rPr>
        <w:t xml:space="preserve"> </w:t>
      </w:r>
      <w:r>
        <w:rPr>
          <w:rFonts w:ascii="PT Astra Serif" w:hAnsi="PT Astra Serif" w:eastAsia="Calibri"/>
          <w:sz w:val="24"/>
          <w:szCs w:val="24"/>
        </w:rPr>
        <w:t xml:space="preserve">107 детей (99% новорожденных).</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целях увеличения ожидаемой продолжительности жизни населения Томской области сформирована «дорожная карта», включающая мероприятия, направленные на развитие системы социального обеспечения и здравоохранения. По данным Росстата</w:t>
      </w:r>
      <w:r>
        <w:rPr>
          <w:rFonts w:ascii="PT Astra Serif" w:hAnsi="PT Astra Serif" w:eastAsia="Calibri"/>
          <w:sz w:val="24"/>
          <w:szCs w:val="24"/>
        </w:rPr>
        <w:t xml:space="preserve">,</w:t>
      </w:r>
      <w:r>
        <w:rPr>
          <w:rFonts w:ascii="PT Astra Serif" w:hAnsi="PT Astra Serif" w:eastAsia="Calibri"/>
          <w:sz w:val="24"/>
          <w:szCs w:val="24"/>
        </w:rPr>
        <w:t xml:space="preserve"> в 2023 году ожидаемая продолжительность жизни населения Томской области выросла на 0,72 </w:t>
      </w:r>
      <w:r>
        <w:rPr>
          <w:rFonts w:ascii="PT Astra Serif" w:hAnsi="PT Astra Serif" w:eastAsia="Calibri"/>
          <w:sz w:val="24"/>
          <w:szCs w:val="24"/>
        </w:rPr>
        <w:t xml:space="preserve">года</w:t>
      </w:r>
      <w:r>
        <w:rPr>
          <w:rFonts w:ascii="PT Astra Serif" w:hAnsi="PT Astra Serif" w:eastAsia="Calibri"/>
          <w:sz w:val="24"/>
          <w:szCs w:val="24"/>
        </w:rPr>
        <w:t xml:space="preserve"> и составила 73,05 года.</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Увеличени</w:t>
      </w:r>
      <w:r>
        <w:rPr>
          <w:rFonts w:ascii="PT Astra Serif" w:hAnsi="PT Astra Serif" w:eastAsia="Calibri"/>
          <w:sz w:val="24"/>
          <w:szCs w:val="24"/>
        </w:rPr>
        <w:t xml:space="preserve">я</w:t>
      </w:r>
      <w:r>
        <w:rPr>
          <w:rFonts w:ascii="PT Astra Serif" w:hAnsi="PT Astra Serif" w:eastAsia="Calibri"/>
          <w:sz w:val="24"/>
          <w:szCs w:val="24"/>
        </w:rPr>
        <w:t xml:space="preserve"> периода активного долголетия и продолжительности здоровой жизни людей удалось достичь, в том числе благодаря профилактическим осмотрам и диспансеризации населения Томской области.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Times New Roman"/>
          <w:bCs/>
          <w:sz w:val="24"/>
          <w:szCs w:val="24"/>
          <w:lang w:eastAsia="ru-RU"/>
        </w:rPr>
      </w:pPr>
      <w:r>
        <w:rPr>
          <w:rFonts w:ascii="PT Astra Serif" w:hAnsi="PT Astra Serif" w:eastAsia="Times New Roman"/>
          <w:sz w:val="24"/>
          <w:szCs w:val="24"/>
          <w:lang w:eastAsia="ru-RU"/>
        </w:rPr>
        <w:t xml:space="preserve">В 2023 году работа по организации профилактических медицинских осмотров и (или) диспансеризации была организована с 769 предприятиями региона с охватом </w:t>
      </w:r>
      <w:r>
        <w:rPr>
          <w:rFonts w:ascii="PT Astra Serif" w:hAnsi="PT Astra Serif" w:eastAsia="Times New Roman"/>
          <w:bCs/>
          <w:sz w:val="24"/>
          <w:szCs w:val="24"/>
          <w:lang w:eastAsia="ru-RU"/>
        </w:rPr>
        <w:t xml:space="preserve">48</w:t>
      </w:r>
      <w:r>
        <w:rPr>
          <w:rFonts w:ascii="PT Astra Serif" w:hAnsi="PT Astra Serif" w:eastAsia="Times New Roman"/>
          <w:bCs/>
          <w:sz w:val="24"/>
          <w:szCs w:val="24"/>
          <w:lang w:eastAsia="ru-RU"/>
        </w:rPr>
        <w:t xml:space="preserve"> </w:t>
      </w:r>
      <w:r>
        <w:rPr>
          <w:rFonts w:ascii="PT Astra Serif" w:hAnsi="PT Astra Serif" w:eastAsia="Times New Roman"/>
          <w:bCs/>
          <w:sz w:val="24"/>
          <w:szCs w:val="24"/>
          <w:lang w:eastAsia="ru-RU"/>
        </w:rPr>
        <w:t xml:space="preserve">032</w:t>
      </w:r>
      <w:r>
        <w:rPr>
          <w:rFonts w:ascii="PT Astra Serif" w:hAnsi="PT Astra Serif" w:eastAsia="Times New Roman"/>
          <w:bCs/>
          <w:sz w:val="24"/>
          <w:szCs w:val="24"/>
          <w:lang w:eastAsia="ru-RU"/>
        </w:rPr>
        <w:t xml:space="preserve"> </w:t>
      </w:r>
      <w:r>
        <w:rPr>
          <w:rFonts w:ascii="PT Astra Serif" w:hAnsi="PT Astra Serif" w:eastAsia="Times New Roman"/>
          <w:bCs/>
          <w:sz w:val="24"/>
          <w:szCs w:val="24"/>
          <w:lang w:eastAsia="ru-RU"/>
        </w:rPr>
        <w:t xml:space="preserve">сотрудников. </w:t>
      </w:r>
      <w:r>
        <w:rPr>
          <w:rFonts w:ascii="PT Astra Serif" w:hAnsi="PT Astra Serif" w:eastAsia="Times New Roman"/>
          <w:sz w:val="24"/>
          <w:szCs w:val="24"/>
          <w:lang w:eastAsia="ru-RU"/>
        </w:rPr>
        <w:t xml:space="preserve">Для привлечения населения проведена социальная акция «#НеДайБолезниШанс» с </w:t>
      </w:r>
      <w:r>
        <w:rPr>
          <w:rFonts w:ascii="PT Astra Serif" w:hAnsi="PT Astra Serif" w:eastAsia="Times New Roman"/>
          <w:bCs/>
          <w:sz w:val="24"/>
          <w:szCs w:val="24"/>
          <w:lang w:eastAsia="ru-RU"/>
        </w:rPr>
        <w:t xml:space="preserve">участием </w:t>
      </w:r>
      <w:r>
        <w:rPr>
          <w:rFonts w:ascii="PT Astra Serif" w:hAnsi="PT Astra Serif" w:eastAsia="Times New Roman"/>
          <w:sz w:val="24"/>
          <w:szCs w:val="24"/>
          <w:lang w:eastAsia="ru-RU"/>
        </w:rPr>
        <w:t xml:space="preserve">6 355 человек.</w:t>
      </w:r>
      <w:r>
        <w:rPr>
          <w:rFonts w:ascii="PT Astra Serif" w:hAnsi="PT Astra Serif" w:eastAsia="Times New Roman"/>
          <w:bCs/>
          <w:sz w:val="24"/>
          <w:szCs w:val="24"/>
          <w:lang w:eastAsia="ru-RU"/>
        </w:rPr>
      </w:r>
      <w:r>
        <w:rPr>
          <w:rFonts w:ascii="PT Astra Serif" w:hAnsi="PT Astra Serif" w:eastAsia="Times New Roman"/>
          <w:bCs/>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районах области профилактический медицинский осмотр и (или) диспансеризация проводятся в мобильных фельдшерско-акушерских пунктах, с привлечением мобильных бригад.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2023 году </w:t>
      </w:r>
      <w:r>
        <w:rPr>
          <w:rFonts w:ascii="PT Astra Serif" w:hAnsi="PT Astra Serif" w:eastAsia="Times New Roman"/>
          <w:sz w:val="24"/>
          <w:szCs w:val="24"/>
          <w:lang w:eastAsia="ru-RU"/>
        </w:rPr>
        <w:t xml:space="preserve">за счет средств федерального бюджета в Томскую область поставлено 3 передвижных медицинских комплекса</w:t>
      </w:r>
      <w:r>
        <w:rPr>
          <w:rFonts w:ascii="PT Astra Serif" w:hAnsi="PT Astra Serif" w:eastAsia="Times New Roman"/>
          <w:sz w:val="24"/>
          <w:szCs w:val="24"/>
          <w:lang w:eastAsia="ru-RU"/>
        </w:rPr>
        <w:t xml:space="preserve">: в ОГАУЗ «Межвузовская поликлиника», ОГБУЗ</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«Асиновская районная больница», ОГАУЗ «Томский фтизиопульмонологический медицинский центр»</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рамках ежегодного социального проекта при поддержке Администрации Томской области и АО «Востокгазпром» «Плавучая поликлиника» медицинское обследование, в том числе профилактические осмотры</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прошли 2 832 жителя отдаленных и труднодоступных населенных пунктов Томской области.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2023 году реализован межведомственный проект «Здоровая Сибирь», направленный на формирование системы мотивации гр</w:t>
      </w:r>
      <w:r>
        <w:rPr>
          <w:rFonts w:ascii="PT Astra Serif" w:hAnsi="PT Astra Serif" w:eastAsia="Times New Roman"/>
          <w:sz w:val="24"/>
          <w:szCs w:val="24"/>
          <w:lang w:eastAsia="ru-RU"/>
        </w:rPr>
        <w:t xml:space="preserve">аждан Томской области к ведению здорового образа жизни и ответственного отношения к состоянию своего здоровья. Проведены мастер-классы по приготовлению вкусной и здоровой пищи, занятия физической культурой на свежем воздухе,  «Фестиваль здоровья» и другие.</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Calibri"/>
          <w:sz w:val="24"/>
          <w:szCs w:val="24"/>
          <w:lang w:bidi="ru-RU"/>
        </w:rPr>
      </w:pPr>
      <w:r>
        <w:rPr>
          <w:rFonts w:ascii="PT Astra Serif" w:hAnsi="PT Astra Serif" w:eastAsia="Times New Roman"/>
          <w:sz w:val="24"/>
          <w:szCs w:val="24"/>
          <w:lang w:eastAsia="ru-RU"/>
        </w:rPr>
        <w:t xml:space="preserve">В Томской области в целях ликвидации карового дефицита реализуются программы «Земский доктор» и «Земский фельдшер». В </w:t>
      </w:r>
      <w:r>
        <w:rPr>
          <w:rFonts w:ascii="PT Astra Serif" w:hAnsi="PT Astra Serif" w:eastAsia="Calibri"/>
          <w:sz w:val="24"/>
          <w:szCs w:val="24"/>
          <w:lang w:bidi="ru-RU"/>
        </w:rPr>
        <w:t xml:space="preserve">2023 году трудоустроено 109</w:t>
      </w:r>
      <w:r>
        <w:rPr>
          <w:rFonts w:ascii="PT Astra Serif" w:hAnsi="PT Astra Serif" w:eastAsia="Calibri"/>
          <w:sz w:val="24"/>
          <w:szCs w:val="24"/>
          <w:lang w:bidi="ru-RU"/>
        </w:rPr>
        <w:t xml:space="preserve"> </w:t>
      </w:r>
      <w:r>
        <w:rPr>
          <w:rFonts w:ascii="PT Astra Serif" w:hAnsi="PT Astra Serif" w:eastAsia="Calibri"/>
          <w:sz w:val="24"/>
          <w:szCs w:val="24"/>
          <w:lang w:bidi="ru-RU"/>
        </w:rPr>
        <w:t xml:space="preserve">специалистов, из них 71 врач и 38 средних медицинских работников. Кроме того, удалось привлечь 20 средних меди</w:t>
      </w:r>
      <w:r>
        <w:rPr>
          <w:rFonts w:ascii="PT Astra Serif" w:hAnsi="PT Astra Serif" w:eastAsia="Calibri"/>
          <w:sz w:val="24"/>
          <w:szCs w:val="24"/>
          <w:lang w:bidi="ru-RU"/>
        </w:rPr>
        <w:t xml:space="preserve">цинских работников для работы в</w:t>
      </w:r>
      <w:r>
        <w:rPr>
          <w:rFonts w:ascii="PT Astra Serif" w:hAnsi="PT Astra Serif" w:eastAsia="Calibri"/>
          <w:sz w:val="24"/>
          <w:szCs w:val="24"/>
          <w:lang w:bidi="ru-RU"/>
        </w:rPr>
        <w:t xml:space="preserve"> ФАП. </w:t>
      </w:r>
      <w:r>
        <w:rPr>
          <w:rFonts w:ascii="PT Astra Serif" w:hAnsi="PT Astra Serif" w:eastAsia="Calibri"/>
          <w:sz w:val="24"/>
          <w:szCs w:val="24"/>
          <w:lang w:bidi="ru-RU"/>
        </w:rPr>
      </w:r>
      <w:r>
        <w:rPr>
          <w:rFonts w:ascii="PT Astra Serif" w:hAnsi="PT Astra Serif" w:eastAsia="Calibri"/>
          <w:sz w:val="24"/>
          <w:szCs w:val="24"/>
          <w:lang w:bidi="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рамках мероприятий по обеспечению медицинских организаций системы здравоохранения Томской </w:t>
      </w:r>
      <w:r>
        <w:rPr>
          <w:rFonts w:ascii="PT Astra Serif" w:hAnsi="PT Astra Serif" w:eastAsia="Times New Roman"/>
          <w:sz w:val="24"/>
          <w:szCs w:val="24"/>
          <w:lang w:eastAsia="ru-RU"/>
        </w:rPr>
        <w:t xml:space="preserve">области квалифицированными кадрами продолжается  вовлечение медицинских работников, в том числе молодых специалистов, в систему непрерывного медицинского образования. В 2023 году обучено на циклах повышения квалификации и профессиональной переподготовки 3 </w:t>
      </w:r>
      <w:r>
        <w:rPr>
          <w:rFonts w:ascii="PT Astra Serif" w:hAnsi="PT Astra Serif" w:eastAsia="Times New Roman"/>
          <w:sz w:val="24"/>
          <w:szCs w:val="24"/>
          <w:lang w:eastAsia="ru-RU"/>
        </w:rPr>
        <w:t xml:space="preserve">459</w:t>
      </w:r>
      <w:r>
        <w:rPr>
          <w:rFonts w:ascii="PT Astra Serif" w:hAnsi="PT Astra Serif" w:eastAsia="Times New Roman"/>
          <w:sz w:val="24"/>
          <w:szCs w:val="24"/>
          <w:lang w:eastAsia="ru-RU"/>
        </w:rPr>
        <w:t xml:space="preserve"> врачей-специалистов (более </w:t>
      </w:r>
      <w:r>
        <w:rPr>
          <w:rFonts w:ascii="PT Astra Serif" w:hAnsi="PT Astra Serif" w:eastAsia="Times New Roman"/>
          <w:sz w:val="24"/>
          <w:szCs w:val="24"/>
          <w:lang w:eastAsia="ru-RU"/>
        </w:rPr>
        <w:t xml:space="preserve">6</w:t>
      </w:r>
      <w:r>
        <w:rPr>
          <w:rFonts w:ascii="PT Astra Serif" w:hAnsi="PT Astra Serif" w:eastAsia="Times New Roman"/>
          <w:sz w:val="24"/>
          <w:szCs w:val="24"/>
          <w:lang w:eastAsia="ru-RU"/>
        </w:rPr>
        <w:t xml:space="preserve">0% от общей численности врачей) и 4 181 медицинский работник со средним профессиональным образованием (более 55% от общей численности средних медицинских работников).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rPr>
        <w:t xml:space="preserve">В целях обеспечения медицинских организаций квалифицированными кадрами увеличена числен</w:t>
      </w:r>
      <w:r>
        <w:rPr>
          <w:rFonts w:ascii="PT Astra Serif" w:hAnsi="PT Astra Serif" w:eastAsia="Times New Roman"/>
          <w:sz w:val="24"/>
          <w:szCs w:val="24"/>
        </w:rPr>
        <w:t xml:space="preserve">ность врачей </w:t>
      </w:r>
      <w:r>
        <w:rPr>
          <w:rFonts w:ascii="PT Astra Serif" w:hAnsi="PT Astra Serif" w:eastAsia="Times New Roman"/>
          <w:sz w:val="24"/>
          <w:szCs w:val="24"/>
        </w:rPr>
        <w:t xml:space="preserve">до </w:t>
      </w:r>
      <w:r>
        <w:rPr>
          <w:rFonts w:ascii="PT Astra Serif" w:hAnsi="PT Astra Serif" w:eastAsia="Times New Roman"/>
          <w:sz w:val="24"/>
          <w:szCs w:val="24"/>
        </w:rPr>
        <w:t xml:space="preserve">5 463</w:t>
      </w:r>
      <w:r>
        <w:rPr>
          <w:rFonts w:ascii="PT Astra Serif" w:hAnsi="PT Astra Serif" w:eastAsia="Times New Roman"/>
          <w:sz w:val="24"/>
          <w:szCs w:val="24"/>
        </w:rPr>
        <w:t xml:space="preserve"> человек и средних медицинских работников до 9 </w:t>
      </w:r>
      <w:r>
        <w:rPr>
          <w:rFonts w:ascii="PT Astra Serif" w:hAnsi="PT Astra Serif" w:eastAsia="Times New Roman"/>
          <w:sz w:val="24"/>
          <w:szCs w:val="24"/>
        </w:rPr>
        <w:t xml:space="preserve">759</w:t>
      </w:r>
      <w:r>
        <w:rPr>
          <w:rFonts w:ascii="PT Astra Serif" w:hAnsi="PT Astra Serif" w:eastAsia="Times New Roman"/>
          <w:sz w:val="24"/>
          <w:szCs w:val="24"/>
        </w:rPr>
        <w:t xml:space="preserve"> человек, работающих в государственных медицинских организациях.</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Для</w:t>
      </w:r>
      <w:r>
        <w:rPr>
          <w:rFonts w:ascii="PT Astra Serif" w:hAnsi="PT Astra Serif" w:eastAsia="Times New Roman"/>
          <w:sz w:val="24"/>
          <w:szCs w:val="24"/>
        </w:rPr>
        <w:t xml:space="preserve"> создания единого цифрового контура в здравоохранении на основе единой государственной информационной системы в сфере здравоохранения в 2023 году приобретено 58 автоматизированных рабочих места.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cs="PT Astra Serif"/>
          <w:sz w:val="24"/>
          <w:szCs w:val="24"/>
        </w:rPr>
      </w:pPr>
      <w:r>
        <w:rPr>
          <w:rFonts w:ascii="PT Astra Serif" w:hAnsi="PT Astra Serif" w:eastAsia="Calibri" w:cs="Courier New"/>
          <w:sz w:val="24"/>
          <w:szCs w:val="24"/>
        </w:rPr>
        <w:t xml:space="preserve">В Медицинской информационной системе Томской области (далее </w:t>
      </w:r>
      <w:r>
        <w:rPr>
          <w:rFonts w:ascii="PT Astra Serif" w:hAnsi="PT Astra Serif" w:cstheme="minorBidi"/>
          <w:sz w:val="24"/>
          <w:szCs w:val="24"/>
        </w:rPr>
        <w:t xml:space="preserve">–</w:t>
      </w:r>
      <w:r>
        <w:rPr>
          <w:rFonts w:ascii="PT Astra Serif" w:hAnsi="PT Astra Serif" w:eastAsia="Calibri" w:cs="Courier New"/>
          <w:sz w:val="24"/>
          <w:szCs w:val="24"/>
        </w:rPr>
        <w:t xml:space="preserve"> МИС ТО) реализованы Структурированные электронные медицинские документы (далее </w:t>
      </w:r>
      <w:r>
        <w:rPr>
          <w:rFonts w:ascii="PT Astra Serif" w:hAnsi="PT Astra Serif" w:cstheme="minorBidi"/>
          <w:sz w:val="24"/>
          <w:szCs w:val="24"/>
        </w:rPr>
        <w:t xml:space="preserve">–</w:t>
      </w:r>
      <w:r>
        <w:rPr>
          <w:rFonts w:ascii="PT Astra Serif" w:hAnsi="PT Astra Serif" w:eastAsia="Calibri" w:cs="Courier New"/>
          <w:sz w:val="24"/>
          <w:szCs w:val="24"/>
        </w:rPr>
        <w:t xml:space="preserve"> СЭМД)</w:t>
      </w:r>
      <w:r>
        <w:rPr>
          <w:rFonts w:ascii="PT Astra Serif" w:hAnsi="PT Astra Serif" w:eastAsia="Calibri" w:cs="Courier New"/>
          <w:sz w:val="24"/>
          <w:szCs w:val="24"/>
        </w:rPr>
        <w:t xml:space="preserve">:</w:t>
      </w:r>
      <w:r>
        <w:rPr>
          <w:rFonts w:ascii="PT Astra Serif" w:hAnsi="PT Astra Serif" w:eastAsia="Calibri" w:cs="Courier New"/>
          <w:sz w:val="24"/>
          <w:szCs w:val="24"/>
        </w:rPr>
        <w:t xml:space="preserve"> «Направление на консультацию и во вспомогательные кабинеты», «Сведения о результатах проведенной медико-социальной экспертизы», «Медицинская справка о допуске </w:t>
      </w:r>
      <w:r>
        <w:rPr>
          <w:rFonts w:ascii="PT Astra Serif" w:hAnsi="PT Astra Serif" w:eastAsia="Calibri" w:cs="Courier New"/>
          <w:sz w:val="24"/>
          <w:szCs w:val="24"/>
        </w:rPr>
        <w:t xml:space="preserve">к управлению транспортными средствами», «Направление на госпитализацию, восстановительное лечение, обследование, консультацию», «Выписной эпикриз из родильного дом», «Протокол прижизненного патологоанатомического исследования», «Справка об отсутствии конта</w:t>
      </w:r>
      <w:r>
        <w:rPr>
          <w:rFonts w:ascii="PT Astra Serif" w:hAnsi="PT Astra Serif" w:eastAsia="Calibri" w:cs="Courier New"/>
          <w:sz w:val="24"/>
          <w:szCs w:val="24"/>
        </w:rPr>
        <w:t xml:space="preserve">ктов с инфекционными больными», «Справка о результатах химико-токсикологических исследований», «Сведения о результатах диспансеризации или профилактического осмотра», «Протокол консультации в рамках диспансерного наблюдения», «Справка о возврате направлени</w:t>
      </w:r>
      <w:r>
        <w:rPr>
          <w:rFonts w:ascii="PT Astra Serif" w:hAnsi="PT Astra Serif" w:eastAsia="Calibri" w:cs="Courier New"/>
          <w:sz w:val="24"/>
          <w:szCs w:val="24"/>
        </w:rPr>
        <w:t xml:space="preserve">я на медико-социальную экспертизу», «Медицинское заключение по результатам предварительного (периодического) медицинского осмотра (обследования)», «Карта вызова скорой медицинской помощи», «Протокол цитологического исследования». Внедрен модуль лабораторно</w:t>
      </w:r>
      <w:r>
        <w:rPr>
          <w:rFonts w:ascii="PT Astra Serif" w:hAnsi="PT Astra Serif" w:eastAsia="Calibri" w:cs="Courier New"/>
          <w:sz w:val="24"/>
          <w:szCs w:val="24"/>
        </w:rPr>
        <w:t xml:space="preserve">-</w:t>
      </w:r>
      <w:r>
        <w:rPr>
          <w:rFonts w:ascii="PT Astra Serif" w:hAnsi="PT Astra Serif" w:eastAsia="Calibri" w:cs="Courier New"/>
          <w:sz w:val="24"/>
          <w:szCs w:val="24"/>
        </w:rPr>
        <w:t xml:space="preserve">информационной системы в МИС ТО с целью подключения лабораторного оборудования в медицинские организации. </w:t>
      </w:r>
      <w:r>
        <w:rPr>
          <w:rFonts w:ascii="PT Astra Serif" w:hAnsi="PT Astra Serif" w:eastAsia="Times New Roman" w:cs="PT Astra Serif"/>
          <w:sz w:val="24"/>
          <w:szCs w:val="24"/>
        </w:rPr>
        <w:t xml:space="preserve">Услугами</w:t>
      </w:r>
      <w:r>
        <w:rPr>
          <w:rFonts w:ascii="PT Astra Serif" w:hAnsi="PT Astra Serif" w:eastAsia="Times New Roman"/>
          <w:sz w:val="24"/>
          <w:szCs w:val="24"/>
        </w:rPr>
        <w:t xml:space="preserve"> (</w:t>
      </w:r>
      <w:r>
        <w:rPr>
          <w:rFonts w:ascii="PT Astra Serif" w:hAnsi="PT Astra Serif" w:eastAsia="Times New Roman" w:cs="PT Astra Serif"/>
          <w:sz w:val="24"/>
          <w:szCs w:val="24"/>
        </w:rPr>
        <w:t xml:space="preserve">сервисами</w:t>
      </w:r>
      <w:r>
        <w:rPr>
          <w:rFonts w:ascii="PT Astra Serif" w:hAnsi="PT Astra Serif" w:eastAsia="Times New Roman"/>
          <w:sz w:val="24"/>
          <w:szCs w:val="24"/>
        </w:rPr>
        <w:t xml:space="preserve">) </w:t>
      </w:r>
      <w:r>
        <w:rPr>
          <w:rFonts w:ascii="PT Astra Serif" w:hAnsi="PT Astra Serif" w:eastAsia="Times New Roman" w:cs="PT Astra Serif"/>
          <w:sz w:val="24"/>
          <w:szCs w:val="24"/>
        </w:rPr>
        <w:t xml:space="preserve">в</w:t>
      </w:r>
      <w:r>
        <w:rPr>
          <w:rFonts w:ascii="PT Astra Serif" w:hAnsi="PT Astra Serif" w:eastAsia="Times New Roman"/>
          <w:sz w:val="24"/>
          <w:szCs w:val="24"/>
        </w:rPr>
        <w:t xml:space="preserve"> </w:t>
      </w:r>
      <w:r>
        <w:rPr>
          <w:rFonts w:ascii="PT Astra Serif" w:hAnsi="PT Astra Serif" w:eastAsia="Times New Roman" w:cs="PT Astra Serif"/>
          <w:sz w:val="24"/>
          <w:szCs w:val="24"/>
        </w:rPr>
        <w:t xml:space="preserve">Личном</w:t>
      </w:r>
      <w:r>
        <w:rPr>
          <w:rFonts w:ascii="PT Astra Serif" w:hAnsi="PT Astra Serif" w:eastAsia="Times New Roman"/>
          <w:sz w:val="24"/>
          <w:szCs w:val="24"/>
        </w:rPr>
        <w:t xml:space="preserve"> </w:t>
      </w:r>
      <w:r>
        <w:rPr>
          <w:rFonts w:ascii="PT Astra Serif" w:hAnsi="PT Astra Serif" w:eastAsia="Times New Roman" w:cs="PT Astra Serif"/>
          <w:sz w:val="24"/>
          <w:szCs w:val="24"/>
        </w:rPr>
        <w:t xml:space="preserve">кабинете</w:t>
      </w:r>
      <w:r>
        <w:rPr>
          <w:rFonts w:ascii="PT Astra Serif" w:hAnsi="PT Astra Serif" w:eastAsia="Times New Roman"/>
          <w:sz w:val="24"/>
          <w:szCs w:val="24"/>
        </w:rPr>
        <w:t xml:space="preserve"> </w:t>
      </w:r>
      <w:r>
        <w:rPr>
          <w:rFonts w:ascii="PT Astra Serif" w:hAnsi="PT Astra Serif" w:eastAsia="Times New Roman" w:cs="PT Astra Serif"/>
          <w:sz w:val="24"/>
          <w:szCs w:val="24"/>
        </w:rPr>
        <w:t xml:space="preserve">пациента</w:t>
      </w:r>
      <w:r>
        <w:rPr>
          <w:rFonts w:ascii="PT Astra Serif" w:hAnsi="PT Astra Serif" w:eastAsia="Times New Roman"/>
          <w:sz w:val="24"/>
          <w:szCs w:val="24"/>
        </w:rPr>
        <w:t xml:space="preserve"> </w:t>
      </w:r>
      <w:r>
        <w:rPr>
          <w:rFonts w:ascii="PT Astra Serif" w:hAnsi="PT Astra Serif" w:eastAsia="Times New Roman" w:cs="PT Astra Serif"/>
          <w:sz w:val="24"/>
          <w:szCs w:val="24"/>
        </w:rPr>
        <w:t xml:space="preserve">«Мое</w:t>
      </w:r>
      <w:r>
        <w:rPr>
          <w:rFonts w:ascii="PT Astra Serif" w:hAnsi="PT Astra Serif" w:eastAsia="Times New Roman"/>
          <w:sz w:val="24"/>
          <w:szCs w:val="24"/>
        </w:rPr>
        <w:t xml:space="preserve"> </w:t>
      </w:r>
      <w:r>
        <w:rPr>
          <w:rFonts w:ascii="PT Astra Serif" w:hAnsi="PT Astra Serif" w:eastAsia="Times New Roman" w:cs="PT Astra Serif"/>
          <w:sz w:val="24"/>
          <w:szCs w:val="24"/>
        </w:rPr>
        <w:t xml:space="preserve">здоровье»</w:t>
      </w:r>
      <w:r>
        <w:rPr>
          <w:rFonts w:ascii="PT Astra Serif" w:hAnsi="PT Astra Serif" w:eastAsia="Times New Roman"/>
          <w:sz w:val="24"/>
          <w:szCs w:val="24"/>
        </w:rPr>
        <w:t xml:space="preserve"> </w:t>
      </w:r>
      <w:r>
        <w:rPr>
          <w:rFonts w:ascii="PT Astra Serif" w:hAnsi="PT Astra Serif" w:eastAsia="Times New Roman" w:cs="PT Astra Serif"/>
          <w:sz w:val="24"/>
          <w:szCs w:val="24"/>
        </w:rPr>
        <w:t xml:space="preserve">на</w:t>
      </w:r>
      <w:r>
        <w:rPr>
          <w:rFonts w:ascii="PT Astra Serif" w:hAnsi="PT Astra Serif" w:eastAsia="Times New Roman"/>
          <w:sz w:val="24"/>
          <w:szCs w:val="24"/>
        </w:rPr>
        <w:t xml:space="preserve"> </w:t>
      </w:r>
      <w:r>
        <w:rPr>
          <w:rFonts w:ascii="PT Astra Serif" w:hAnsi="PT Astra Serif" w:eastAsia="Times New Roman" w:cs="PT Astra Serif"/>
          <w:sz w:val="24"/>
          <w:szCs w:val="24"/>
        </w:rPr>
        <w:t xml:space="preserve">Едином</w:t>
      </w:r>
      <w:r>
        <w:rPr>
          <w:rFonts w:ascii="PT Astra Serif" w:hAnsi="PT Astra Serif" w:eastAsia="Times New Roman"/>
          <w:sz w:val="24"/>
          <w:szCs w:val="24"/>
        </w:rPr>
        <w:t xml:space="preserve"> </w:t>
      </w:r>
      <w:r>
        <w:rPr>
          <w:rFonts w:ascii="PT Astra Serif" w:hAnsi="PT Astra Serif" w:eastAsia="Times New Roman" w:cs="PT Astra Serif"/>
          <w:sz w:val="24"/>
          <w:szCs w:val="24"/>
        </w:rPr>
        <w:t xml:space="preserve">портале</w:t>
      </w:r>
      <w:r>
        <w:rPr>
          <w:rFonts w:ascii="PT Astra Serif" w:hAnsi="PT Astra Serif" w:eastAsia="Times New Roman"/>
          <w:sz w:val="24"/>
          <w:szCs w:val="24"/>
        </w:rPr>
        <w:t xml:space="preserve"> </w:t>
      </w:r>
      <w:r>
        <w:rPr>
          <w:rFonts w:ascii="PT Astra Serif" w:hAnsi="PT Astra Serif" w:eastAsia="Times New Roman" w:cs="PT Astra Serif"/>
          <w:sz w:val="24"/>
          <w:szCs w:val="24"/>
        </w:rPr>
        <w:t xml:space="preserve">государственных</w:t>
      </w:r>
      <w:r>
        <w:rPr>
          <w:rFonts w:ascii="PT Astra Serif" w:hAnsi="PT Astra Serif" w:eastAsia="Times New Roman"/>
          <w:sz w:val="24"/>
          <w:szCs w:val="24"/>
        </w:rPr>
        <w:t xml:space="preserve"> </w:t>
      </w:r>
      <w:r>
        <w:rPr>
          <w:rFonts w:ascii="PT Astra Serif" w:hAnsi="PT Astra Serif" w:eastAsia="Times New Roman" w:cs="PT Astra Serif"/>
          <w:sz w:val="24"/>
          <w:szCs w:val="24"/>
        </w:rPr>
        <w:t xml:space="preserve">услуг</w:t>
      </w:r>
      <w:r>
        <w:rPr>
          <w:rFonts w:ascii="PT Astra Serif" w:hAnsi="PT Astra Serif" w:eastAsia="Times New Roman"/>
          <w:sz w:val="24"/>
          <w:szCs w:val="24"/>
        </w:rPr>
        <w:t xml:space="preserve"> </w:t>
      </w:r>
      <w:r>
        <w:rPr>
          <w:rFonts w:ascii="PT Astra Serif" w:hAnsi="PT Astra Serif" w:eastAsia="Times New Roman" w:cs="PT Astra Serif"/>
          <w:sz w:val="24"/>
          <w:szCs w:val="24"/>
        </w:rPr>
        <w:t xml:space="preserve">и</w:t>
      </w:r>
      <w:r>
        <w:rPr>
          <w:rFonts w:ascii="PT Astra Serif" w:hAnsi="PT Astra Serif" w:eastAsia="Times New Roman"/>
          <w:sz w:val="24"/>
          <w:szCs w:val="24"/>
        </w:rPr>
        <w:t xml:space="preserve"> </w:t>
      </w:r>
      <w:r>
        <w:rPr>
          <w:rFonts w:ascii="PT Astra Serif" w:hAnsi="PT Astra Serif" w:eastAsia="Times New Roman" w:cs="PT Astra Serif"/>
          <w:sz w:val="24"/>
          <w:szCs w:val="24"/>
        </w:rPr>
        <w:t xml:space="preserve">функций воспользовались</w:t>
      </w:r>
      <w:r>
        <w:rPr>
          <w:rFonts w:ascii="PT Astra Serif" w:hAnsi="PT Astra Serif" w:eastAsia="Times New Roman"/>
          <w:sz w:val="24"/>
          <w:szCs w:val="24"/>
        </w:rPr>
        <w:t xml:space="preserve"> 303,9 тыс. </w:t>
      </w:r>
      <w:r>
        <w:rPr>
          <w:rFonts w:ascii="PT Astra Serif" w:hAnsi="PT Astra Serif" w:eastAsia="Times New Roman" w:cs="PT Astra Serif"/>
          <w:sz w:val="24"/>
          <w:szCs w:val="24"/>
        </w:rPr>
        <w:t xml:space="preserve">человек.</w:t>
      </w:r>
      <w:r>
        <w:rPr>
          <w:rFonts w:ascii="PT Astra Serif" w:hAnsi="PT Astra Serif" w:eastAsia="Times New Roman" w:cs="PT Astra Serif"/>
          <w:sz w:val="24"/>
          <w:szCs w:val="24"/>
        </w:rPr>
      </w:r>
      <w:r>
        <w:rPr>
          <w:rFonts w:ascii="PT Astra Serif" w:hAnsi="PT Astra Serif" w:eastAsia="Times New Roman" w:cs="PT Astra Serif"/>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cs="PT Astra Serif"/>
          <w:sz w:val="24"/>
          <w:szCs w:val="24"/>
        </w:rPr>
        <w:t xml:space="preserve">Лечение</w:t>
      </w:r>
      <w:r>
        <w:rPr>
          <w:rFonts w:ascii="PT Astra Serif" w:hAnsi="PT Astra Serif" w:eastAsia="Times New Roman"/>
          <w:sz w:val="24"/>
          <w:szCs w:val="24"/>
        </w:rPr>
        <w:t xml:space="preserve"> </w:t>
      </w:r>
      <w:r>
        <w:rPr>
          <w:rFonts w:ascii="PT Astra Serif" w:hAnsi="PT Astra Serif" w:eastAsia="Times New Roman" w:cs="PT Astra Serif"/>
          <w:sz w:val="24"/>
          <w:szCs w:val="24"/>
        </w:rPr>
        <w:t xml:space="preserve">в</w:t>
      </w:r>
      <w:r>
        <w:rPr>
          <w:rFonts w:ascii="PT Astra Serif" w:hAnsi="PT Astra Serif" w:eastAsia="Times New Roman"/>
          <w:sz w:val="24"/>
          <w:szCs w:val="24"/>
        </w:rPr>
        <w:t xml:space="preserve"> </w:t>
      </w:r>
      <w:r>
        <w:rPr>
          <w:rFonts w:ascii="PT Astra Serif" w:hAnsi="PT Astra Serif" w:eastAsia="Times New Roman" w:cs="PT Astra Serif"/>
          <w:sz w:val="24"/>
          <w:szCs w:val="24"/>
        </w:rPr>
        <w:t xml:space="preserve">медицинских</w:t>
      </w:r>
      <w:r>
        <w:rPr>
          <w:rFonts w:ascii="PT Astra Serif" w:hAnsi="PT Astra Serif" w:eastAsia="Times New Roman"/>
          <w:sz w:val="24"/>
          <w:szCs w:val="24"/>
        </w:rPr>
        <w:t xml:space="preserve"> </w:t>
      </w:r>
      <w:r>
        <w:rPr>
          <w:rFonts w:ascii="PT Astra Serif" w:hAnsi="PT Astra Serif" w:eastAsia="Times New Roman" w:cs="PT Astra Serif"/>
          <w:sz w:val="24"/>
          <w:szCs w:val="24"/>
        </w:rPr>
        <w:t xml:space="preserve">орг</w:t>
      </w:r>
      <w:r>
        <w:rPr>
          <w:rFonts w:ascii="PT Astra Serif" w:hAnsi="PT Astra Serif" w:eastAsia="Times New Roman"/>
          <w:sz w:val="24"/>
          <w:szCs w:val="24"/>
        </w:rPr>
        <w:t xml:space="preserve">анизациях Томской области с 2019 года </w:t>
      </w:r>
      <w:r>
        <w:rPr>
          <w:rFonts w:ascii="PT Astra Serif" w:hAnsi="PT Astra Serif" w:eastAsia="Times New Roman" w:cs="PT Astra Serif"/>
          <w:sz w:val="24"/>
          <w:szCs w:val="24"/>
        </w:rPr>
        <w:t xml:space="preserve">получили</w:t>
      </w:r>
      <w:r>
        <w:rPr>
          <w:rFonts w:ascii="PT Astra Serif" w:hAnsi="PT Astra Serif" w:eastAsia="Times New Roman"/>
          <w:sz w:val="24"/>
          <w:szCs w:val="24"/>
        </w:rPr>
        <w:t xml:space="preserve"> 54,02 тыс. </w:t>
      </w:r>
      <w:r>
        <w:rPr>
          <w:rFonts w:ascii="PT Astra Serif" w:hAnsi="PT Astra Serif" w:eastAsia="Times New Roman" w:cs="PT Astra Serif"/>
          <w:sz w:val="24"/>
          <w:szCs w:val="24"/>
        </w:rPr>
        <w:t xml:space="preserve">иностранных</w:t>
      </w:r>
      <w:r>
        <w:rPr>
          <w:rFonts w:ascii="PT Astra Serif" w:hAnsi="PT Astra Serif" w:eastAsia="Times New Roman"/>
          <w:sz w:val="24"/>
          <w:szCs w:val="24"/>
        </w:rPr>
        <w:t xml:space="preserve"> </w:t>
      </w:r>
      <w:r>
        <w:rPr>
          <w:rFonts w:ascii="PT Astra Serif" w:hAnsi="PT Astra Serif" w:eastAsia="Times New Roman" w:cs="PT Astra Serif"/>
          <w:sz w:val="24"/>
          <w:szCs w:val="24"/>
        </w:rPr>
        <w:t xml:space="preserve">граждан</w:t>
      </w:r>
      <w:r>
        <w:rPr>
          <w:rFonts w:ascii="PT Astra Serif" w:hAnsi="PT Astra Serif" w:eastAsia="Times New Roman"/>
          <w:sz w:val="24"/>
          <w:szCs w:val="24"/>
        </w:rPr>
        <w:t xml:space="preserve">, объем экспорта мед</w:t>
      </w:r>
      <w:r>
        <w:rPr>
          <w:rFonts w:ascii="PT Astra Serif" w:hAnsi="PT Astra Serif" w:eastAsia="Times New Roman"/>
          <w:sz w:val="24"/>
          <w:szCs w:val="24"/>
        </w:rPr>
        <w:t xml:space="preserve">ицинских услуг вырос до 2,6 млн </w:t>
      </w:r>
      <w:r>
        <w:rPr>
          <w:rFonts w:ascii="PT Astra Serif" w:hAnsi="PT Astra Serif" w:eastAsia="Times New Roman"/>
          <w:sz w:val="24"/>
          <w:szCs w:val="24"/>
        </w:rPr>
        <w:t xml:space="preserve">долл. США за 5 лет (в 2022 году 33,536 тыс. </w:t>
      </w:r>
      <w:r>
        <w:rPr>
          <w:rFonts w:ascii="PT Astra Serif" w:hAnsi="PT Astra Serif" w:eastAsia="Times New Roman" w:cs="PT Astra Serif"/>
          <w:sz w:val="24"/>
          <w:szCs w:val="24"/>
        </w:rPr>
        <w:t xml:space="preserve">иностранных</w:t>
      </w:r>
      <w:r>
        <w:rPr>
          <w:rFonts w:ascii="PT Astra Serif" w:hAnsi="PT Astra Serif" w:eastAsia="Times New Roman"/>
          <w:sz w:val="24"/>
          <w:szCs w:val="24"/>
        </w:rPr>
        <w:t xml:space="preserve"> </w:t>
      </w:r>
      <w:r>
        <w:rPr>
          <w:rFonts w:ascii="PT Astra Serif" w:hAnsi="PT Astra Serif" w:eastAsia="Times New Roman" w:cs="PT Astra Serif"/>
          <w:sz w:val="24"/>
          <w:szCs w:val="24"/>
        </w:rPr>
        <w:t xml:space="preserve">граждан</w:t>
      </w:r>
      <w:r>
        <w:rPr>
          <w:rFonts w:ascii="PT Astra Serif" w:hAnsi="PT Astra Serif" w:eastAsia="Times New Roman"/>
          <w:sz w:val="24"/>
          <w:szCs w:val="24"/>
        </w:rPr>
        <w:t xml:space="preserve">, 1,91 млн</w:t>
      </w:r>
      <w:r>
        <w:rPr>
          <w:rFonts w:ascii="PT Astra Serif" w:hAnsi="PT Astra Serif" w:eastAsia="Times New Roman"/>
          <w:sz w:val="24"/>
          <w:szCs w:val="24"/>
        </w:rPr>
        <w:t xml:space="preserve"> долл. США).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sz w:val="24"/>
          <w:szCs w:val="24"/>
        </w:rPr>
        <w:t xml:space="preserve">За счет средств областного и федерального бюджетов выполнено 378 вылетов санитарной авиации, эвакуировано 644 пациента</w:t>
      </w:r>
      <w:r>
        <w:rPr>
          <w:rFonts w:ascii="PT Astra Serif" w:hAnsi="PT Astra Serif" w:eastAsia="Times New Roman"/>
          <w:sz w:val="24"/>
          <w:szCs w:val="24"/>
        </w:rPr>
        <w:t xml:space="preserve">.</w:t>
      </w:r>
      <w:r>
        <w:rPr>
          <w:rFonts w:ascii="PT Astra Serif" w:hAnsi="PT Astra Serif" w:eastAsia="Times New Roman"/>
          <w:sz w:val="24"/>
          <w:szCs w:val="24"/>
        </w:rPr>
      </w:r>
      <w:r>
        <w:rPr>
          <w:rFonts w:ascii="PT Astra Serif" w:hAnsi="PT Astra Serif" w:eastAsia="Times New Roman"/>
          <w:sz w:val="24"/>
          <w:szCs w:val="24"/>
        </w:rPr>
      </w:r>
    </w:p>
    <w:p>
      <w:pPr>
        <w:spacing w:after="0" w:line="240" w:lineRule="auto"/>
        <w:rPr>
          <w:rFonts w:ascii="PT Astra Serif" w:hAnsi="PT Astra Serif" w:eastAsia="Calibri" w:cs="Courier New"/>
          <w:sz w:val="24"/>
          <w:szCs w:val="24"/>
        </w:rPr>
      </w:pPr>
      <w:r>
        <w:rPr>
          <w:rFonts w:ascii="PT Astra Serif" w:hAnsi="PT Astra Serif" w:eastAsia="Calibri" w:cs="Courier New"/>
          <w:sz w:val="24"/>
          <w:szCs w:val="24"/>
        </w:rPr>
      </w:r>
      <w:r>
        <w:rPr>
          <w:rFonts w:ascii="PT Astra Serif" w:hAnsi="PT Astra Serif" w:eastAsia="Calibri" w:cs="Courier New"/>
          <w:sz w:val="24"/>
          <w:szCs w:val="24"/>
        </w:rPr>
      </w:r>
      <w:r>
        <w:rPr>
          <w:rFonts w:ascii="PT Astra Serif" w:hAnsi="PT Astra Serif" w:eastAsia="Calibri" w:cs="Courier New"/>
          <w:sz w:val="24"/>
          <w:szCs w:val="24"/>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1. Продолжение работ по строительству поликлиники на 400 посещений в смену в мкр. Южные ворота и начал</w:t>
      </w:r>
      <w:r>
        <w:rPr>
          <w:rFonts w:ascii="PT Astra Serif" w:hAnsi="PT Astra Serif" w:eastAsia="Calibri"/>
          <w:sz w:val="24"/>
          <w:szCs w:val="24"/>
        </w:rPr>
        <w:t xml:space="preserve">о</w:t>
      </w:r>
      <w:r>
        <w:rPr>
          <w:rFonts w:ascii="PT Astra Serif" w:hAnsi="PT Astra Serif" w:eastAsia="Calibri"/>
          <w:sz w:val="24"/>
          <w:szCs w:val="24"/>
        </w:rPr>
        <w:t xml:space="preserve"> строительства поликлиники на 306 посещений в смену в мкр. Восточный, а также проведение капитального ремонта медицинский организаций (поликлиника ОГАУЗ «Городская клиническая больница №</w:t>
      </w:r>
      <w:r>
        <w:rPr>
          <w:rFonts w:ascii="PT Astra Serif" w:hAnsi="PT Astra Serif" w:eastAsia="Calibri"/>
          <w:sz w:val="24"/>
          <w:szCs w:val="24"/>
        </w:rPr>
        <w:t xml:space="preserve"> </w:t>
      </w:r>
      <w:r>
        <w:rPr>
          <w:rFonts w:ascii="PT Astra Serif" w:hAnsi="PT Astra Serif" w:eastAsia="Calibri"/>
          <w:sz w:val="24"/>
          <w:szCs w:val="24"/>
        </w:rPr>
        <w:t xml:space="preserve">3 им. Б.И. Альперовича», здания ОГАУЗ «Поликлиника №</w:t>
      </w:r>
      <w:r>
        <w:rPr>
          <w:rFonts w:ascii="PT Astra Serif" w:hAnsi="PT Astra Serif" w:eastAsia="Calibri"/>
          <w:sz w:val="24"/>
          <w:szCs w:val="24"/>
        </w:rPr>
        <w:t xml:space="preserve"> </w:t>
      </w:r>
      <w:r>
        <w:rPr>
          <w:rFonts w:ascii="PT Astra Serif" w:hAnsi="PT Astra Serif" w:eastAsia="Calibri"/>
          <w:sz w:val="24"/>
          <w:szCs w:val="24"/>
        </w:rPr>
        <w:t xml:space="preserve">1» в г. Томске).</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2. Привлечение медицинских кадров в рамках реализации программ «Земский доктор» и «Земский фельдшер».</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3. З</w:t>
      </w:r>
      <w:r>
        <w:rPr>
          <w:rFonts w:ascii="PT Astra Serif" w:hAnsi="PT Astra Serif" w:eastAsia="Calibri" w:cs="Courier New"/>
          <w:sz w:val="24"/>
          <w:szCs w:val="24"/>
        </w:rPr>
        <w:t xml:space="preserve">акупка программных продуктов системы поддержки принятия врачебных решений с применением технологий искусственного интеллекта.</w:t>
      </w:r>
      <w:r>
        <w:rPr>
          <w:rFonts w:ascii="PT Astra Serif" w:hAnsi="PT Astra Serif" w:eastAsia="Calibri"/>
          <w:sz w:val="24"/>
          <w:szCs w:val="24"/>
        </w:rPr>
      </w:r>
      <w:r>
        <w:rPr>
          <w:rFonts w:ascii="PT Astra Serif" w:hAnsi="PT Astra Serif" w:eastAsia="Calibri"/>
          <w:sz w:val="24"/>
          <w:szCs w:val="24"/>
        </w:rPr>
      </w:r>
    </w:p>
    <w:p>
      <w:pPr>
        <w:ind w:firstLine="708"/>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4. Создание центров по на</w:t>
      </w:r>
      <w:r>
        <w:rPr>
          <w:rFonts w:ascii="PT Astra Serif" w:hAnsi="PT Astra Serif" w:eastAsia="Calibri"/>
          <w:sz w:val="24"/>
          <w:szCs w:val="24"/>
        </w:rPr>
        <w:t xml:space="preserve">правлениям офтальмология, пульмо</w:t>
      </w:r>
      <w:r>
        <w:rPr>
          <w:rFonts w:ascii="PT Astra Serif" w:hAnsi="PT Astra Serif" w:eastAsia="Calibri"/>
          <w:sz w:val="24"/>
          <w:szCs w:val="24"/>
        </w:rPr>
        <w:t xml:space="preserve">нология, эндокринология, сердечно-сосудистой системы и пр.</w:t>
      </w:r>
      <w:r>
        <w:rPr>
          <w:rFonts w:ascii="PT Astra Serif" w:hAnsi="PT Astra Serif" w:eastAsia="Calibri"/>
          <w:sz w:val="24"/>
          <w:szCs w:val="24"/>
        </w:rPr>
      </w:r>
      <w:r>
        <w:rPr>
          <w:rFonts w:ascii="PT Astra Serif" w:hAnsi="PT Astra Serif" w:eastAsia="Calibri"/>
          <w:sz w:val="24"/>
          <w:szCs w:val="24"/>
        </w:rPr>
      </w:r>
    </w:p>
    <w:p>
      <w:pPr>
        <w:ind w:firstLine="708"/>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5. Создание Межрайонного объединения станций скорой медицинской помощи в Асиновском, Первомайском, Зырянском и Тегульдетском районах, присоединение отделений скорой помощи Томского района к ОГАУЗ «Станция скорой медицинской помощи» г. Томска.</w:t>
      </w:r>
      <w:r>
        <w:rPr>
          <w:rFonts w:ascii="PT Astra Serif" w:hAnsi="PT Astra Serif" w:eastAsia="Calibri"/>
          <w:sz w:val="24"/>
          <w:szCs w:val="24"/>
        </w:rPr>
      </w:r>
      <w:r>
        <w:rPr>
          <w:rFonts w:ascii="PT Astra Serif" w:hAnsi="PT Astra Serif" w:eastAsia="Calibri"/>
          <w:sz w:val="24"/>
          <w:szCs w:val="24"/>
        </w:rPr>
      </w:r>
    </w:p>
    <w:p>
      <w:pPr>
        <w:ind w:firstLine="708"/>
        <w:jc w:val="both"/>
        <w:spacing w:after="0" w:line="240" w:lineRule="auto"/>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ind w:firstLine="708"/>
        <w:jc w:val="both"/>
        <w:spacing w:after="0" w:line="240" w:lineRule="auto"/>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pStyle w:val="1146"/>
        <w:outlineLvl w:val="1"/>
      </w:pPr>
      <w:r/>
      <w:bookmarkStart w:id="14" w:name="_Toc134630404"/>
      <w:r>
        <w:t xml:space="preserve">3.2. Содействие повышению качества образования</w:t>
      </w:r>
      <w:bookmarkEnd w:id="14"/>
      <w: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49"/>
        <w:ind w:firstLine="709"/>
        <w:jc w:val="both"/>
        <w:spacing w:before="0" w:beforeAutospacing="0" w:after="0" w:afterAutospacing="0"/>
        <w:rPr>
          <w:rFonts w:ascii="PT Astra Serif" w:hAnsi="PT Astra Serif"/>
        </w:rPr>
      </w:pPr>
      <w:r>
        <w:rPr>
          <w:rFonts w:ascii="PT Astra Serif" w:hAnsi="PT Astra Serif"/>
        </w:rPr>
        <w:t xml:space="preserve">Стратегия развития системы образования Томской области ориентирована на создание условий для развития качественного ч</w:t>
      </w:r>
      <w:r>
        <w:rPr>
          <w:rFonts w:ascii="PT Astra Serif" w:hAnsi="PT Astra Serif"/>
        </w:rPr>
        <w:t xml:space="preserve">еловеческого капитала региона на всех уровнях образования. Важнейшей задачей для региона является содействие развитию всей сферы образования, которое в Томской области оказывает существенное влияние на экономику региона и в целом на уровень жизни граждан. </w:t>
      </w:r>
      <w:r>
        <w:rPr>
          <w:rFonts w:ascii="PT Astra Serif" w:hAnsi="PT Astra Serif"/>
        </w:rPr>
      </w:r>
      <w:r>
        <w:rPr>
          <w:rFonts w:ascii="PT Astra Serif" w:hAnsi="PT Astra Serif"/>
        </w:rPr>
      </w:r>
    </w:p>
    <w:p>
      <w:pPr>
        <w:ind w:firstLine="675"/>
        <w:jc w:val="both"/>
        <w:spacing w:after="0" w:line="240" w:lineRule="auto"/>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Государственная политика в Томской области в сфере образования выстраивается на принципа</w:t>
      </w:r>
      <w:r>
        <w:rPr>
          <w:rFonts w:ascii="PT Astra Serif" w:hAnsi="PT Astra Serif" w:eastAsiaTheme="minorEastAsia"/>
          <w:sz w:val="24"/>
          <w:szCs w:val="24"/>
          <w:lang w:eastAsia="ru-RU"/>
        </w:rPr>
        <w:t xml:space="preserve">х формирования образовательной среды: доступности, качества и безопасности при получении образования. Это обуславливает единство образовательного пространства в Томской области, а также приоритетные направления государственной политики в сфере образования.</w:t>
      </w:r>
      <w:r>
        <w:rPr>
          <w:rFonts w:ascii="PT Astra Serif" w:hAnsi="PT Astra Serif" w:eastAsiaTheme="minorEastAsia"/>
          <w:sz w:val="24"/>
          <w:szCs w:val="24"/>
          <w:lang w:eastAsia="ru-RU"/>
        </w:rPr>
      </w:r>
      <w:r>
        <w:rPr>
          <w:rFonts w:ascii="PT Astra Serif" w:hAnsi="PT Astra Serif" w:eastAsiaTheme="minorEastAsia"/>
          <w:sz w:val="24"/>
          <w:szCs w:val="24"/>
          <w:lang w:eastAsia="ru-RU"/>
        </w:rPr>
      </w:r>
    </w:p>
    <w:p>
      <w:pPr>
        <w:pStyle w:val="1149"/>
        <w:ind w:firstLine="709"/>
        <w:jc w:val="both"/>
        <w:spacing w:before="0" w:beforeAutospacing="0" w:after="0" w:afterAutospacing="0"/>
        <w:rPr>
          <w:rFonts w:ascii="PT Astra Serif" w:hAnsi="PT Astra Serif"/>
        </w:rPr>
      </w:pPr>
      <w:r>
        <w:rPr>
          <w:rFonts w:ascii="PT Astra Serif" w:hAnsi="PT Astra Serif"/>
        </w:rPr>
        <w:t xml:space="preserve">В соответствии с </w:t>
      </w:r>
      <w:r>
        <w:rPr>
          <w:rFonts w:ascii="PT Astra Serif" w:hAnsi="PT Astra Serif"/>
        </w:rPr>
        <w:t xml:space="preserve">у</w:t>
      </w:r>
      <w:r>
        <w:rPr>
          <w:rFonts w:ascii="PT Astra Serif" w:hAnsi="PT Astra Serif"/>
        </w:rPr>
        <w:t xml:space="preserve">казами Президента Российской Федерации от </w:t>
      </w:r>
      <w:r>
        <w:rPr>
          <w:rFonts w:ascii="PT Astra Serif" w:hAnsi="PT Astra Serif"/>
        </w:rPr>
        <w:t xml:space="preserve">0</w:t>
      </w:r>
      <w:r>
        <w:rPr>
          <w:rFonts w:ascii="PT Astra Serif" w:hAnsi="PT Astra Serif"/>
        </w:rPr>
        <w:t xml:space="preserve">7</w:t>
      </w:r>
      <w:r>
        <w:rPr>
          <w:rFonts w:ascii="PT Astra Serif" w:hAnsi="PT Astra Serif"/>
        </w:rPr>
        <w:t xml:space="preserve">.05.</w:t>
      </w:r>
      <w:r>
        <w:rPr>
          <w:rFonts w:ascii="PT Astra Serif" w:hAnsi="PT Astra Serif"/>
        </w:rPr>
        <w:t xml:space="preserve">2018 № 204 «О национальных целях и стратегических задачах развития Российской Федерации </w:t>
      </w:r>
      <w:r>
        <w:rPr>
          <w:rFonts w:ascii="PT Astra Serif" w:hAnsi="PT Astra Serif"/>
        </w:rPr>
        <w:t xml:space="preserve">на период до 2024 года» и от 21.07.</w:t>
      </w:r>
      <w:r>
        <w:rPr>
          <w:rFonts w:ascii="PT Astra Serif" w:hAnsi="PT Astra Serif"/>
        </w:rPr>
        <w:t xml:space="preserve">2020 № 474 «О национальных целях развития </w:t>
      </w:r>
      <w:r>
        <w:rPr>
          <w:rFonts w:ascii="PT Astra Serif" w:hAnsi="PT Astra Serif"/>
        </w:rPr>
        <w:t xml:space="preserve">на период до 2030 года» определены национальные цели по вхождению Российской Федерации в число десяти ведущих стран мира по качеству общего образования, а также по созданию условий для воспитания гармонично развитой и социально ответственной личности на ос</w:t>
      </w:r>
      <w:r>
        <w:rPr>
          <w:rFonts w:ascii="PT Astra Serif" w:hAnsi="PT Astra Serif"/>
        </w:rPr>
        <w:t xml:space="preserve">нове духовно-нравственных ценностей народов Российской Федерации, исторических и культурных традиций, для реализации которых принимаются меры по развитию и совершенствованию воспитательной работы в организациях, осуществляющих образовательную деятельность.</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cs="Arial"/>
        </w:rPr>
      </w:pPr>
      <w:r>
        <w:rPr>
          <w:rFonts w:ascii="PT Astra Serif" w:hAnsi="PT Astra Serif"/>
        </w:rPr>
        <w:t xml:space="preserve">На территории Томской области образовательная деятельность осуществляется в 548 организациях общего образования (дошкол</w:t>
      </w:r>
      <w:r>
        <w:rPr>
          <w:rFonts w:ascii="PT Astra Serif" w:hAnsi="PT Astra Serif"/>
        </w:rPr>
        <w:t xml:space="preserve">ьное, начальное общее, основное общее, среднее общее образование) и дополнительного образования детей. Общее количество обучающихся в системе общего образования Томской области составляет свыше 176,0 тыс. человек (школьников и воспитанников детских садов).</w:t>
      </w:r>
      <w:r>
        <w:rPr>
          <w:rFonts w:ascii="PT Astra Serif" w:hAnsi="PT Astra Serif" w:cs="Arial"/>
        </w:rPr>
      </w:r>
      <w:r>
        <w:rPr>
          <w:rFonts w:ascii="PT Astra Serif" w:hAnsi="PT Astra Serif" w:cs="Arial"/>
        </w:rPr>
      </w:r>
    </w:p>
    <w:p>
      <w:pPr>
        <w:pStyle w:val="1149"/>
        <w:ind w:firstLine="709"/>
        <w:jc w:val="both"/>
        <w:spacing w:before="0" w:beforeAutospacing="0" w:after="0" w:afterAutospacing="0"/>
        <w:rPr>
          <w:rFonts w:ascii="PT Astra Serif" w:hAnsi="PT Astra Serif"/>
        </w:rPr>
      </w:pPr>
      <w:r>
        <w:rPr>
          <w:rFonts w:ascii="PT Astra Serif" w:hAnsi="PT Astra Serif"/>
        </w:rPr>
        <w:t xml:space="preserve">2023 год Указом Президента </w:t>
      </w:r>
      <w:r>
        <w:rPr>
          <w:rFonts w:ascii="PT Astra Serif" w:hAnsi="PT Astra Serif"/>
        </w:rPr>
        <w:t xml:space="preserve">Российской Федерации В.В. </w:t>
      </w:r>
      <w:r>
        <w:rPr>
          <w:rFonts w:ascii="PT Astra Serif" w:hAnsi="PT Astra Serif"/>
        </w:rPr>
        <w:t xml:space="preserve">Путина объявлен Годом педагога и наставника. Миссия Года – признание особого статуса педагогических работников, в том числе выполняющих наставническую деятельность. В рамках мероприятий Года педагога и наставника:</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rPr>
      </w:pPr>
      <w:r>
        <w:rPr>
          <w:rFonts w:ascii="PT Astra Serif" w:hAnsi="PT Astra Serif" w:cstheme="minorBidi"/>
        </w:rPr>
        <w:t xml:space="preserve">–</w:t>
      </w:r>
      <w:r>
        <w:rPr>
          <w:rFonts w:ascii="PT Astra Serif" w:hAnsi="PT Astra Serif"/>
        </w:rPr>
        <w:t xml:space="preserve"> 14 февраля 2023 года состоялась торжественная Церемония открытия Года педагога и наставника в Томской области, участники которой заложили капсулу времени с посланием к педагогическим работникам будущего времени;</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rPr>
      </w:pPr>
      <w:r>
        <w:rPr>
          <w:rFonts w:ascii="PT Astra Serif" w:hAnsi="PT Astra Serif" w:cstheme="minorBidi"/>
        </w:rPr>
        <w:t xml:space="preserve">–</w:t>
      </w:r>
      <w:r>
        <w:rPr>
          <w:rFonts w:ascii="PT Astra Serif" w:hAnsi="PT Astra Serif"/>
        </w:rPr>
        <w:t xml:space="preserve"> определены 9 лучших проектов, направленных на развитие системы образования в Томской области;</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rPr>
      </w:pPr>
      <w:r>
        <w:rPr>
          <w:rFonts w:ascii="PT Astra Serif" w:hAnsi="PT Astra Serif" w:cstheme="minorBidi"/>
        </w:rPr>
        <w:t xml:space="preserve">–</w:t>
      </w:r>
      <w:r>
        <w:rPr>
          <w:rFonts w:ascii="PT Astra Serif" w:hAnsi="PT Astra Serif"/>
        </w:rPr>
        <w:t xml:space="preserve"> состоялись массовые акции «Спасибо наставнику!», «Поймай трамвай СПО», запущена Цифровая галерея лучших представителей системы профессионального образования региона, в которой представлены истории и интервью более 400</w:t>
      </w:r>
      <w:r>
        <w:rPr>
          <w:rFonts w:ascii="PT Astra Serif" w:hAnsi="PT Astra Serif"/>
        </w:rPr>
        <w:t xml:space="preserve"> </w:t>
      </w:r>
      <w:r>
        <w:rPr>
          <w:rFonts w:ascii="PT Astra Serif" w:hAnsi="PT Astra Serif"/>
        </w:rPr>
        <w:t xml:space="preserve">представителей образовательных организаций региона;</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rPr>
      </w:pPr>
      <w:r>
        <w:rPr>
          <w:rFonts w:ascii="PT Astra Serif" w:hAnsi="PT Astra Serif" w:cstheme="minorBidi"/>
        </w:rPr>
        <w:t xml:space="preserve">–</w:t>
      </w:r>
      <w:r>
        <w:rPr>
          <w:rFonts w:ascii="PT Astra Serif" w:hAnsi="PT Astra Serif"/>
        </w:rPr>
        <w:t xml:space="preserve"> проведена закладка Аллеи педагогических династий системы профессионального образования региона, на которой представители 11 педагогических династий высадили саженцы сибирской сосны;</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rPr>
      </w:pPr>
      <w:r>
        <w:rPr>
          <w:rFonts w:ascii="PT Astra Serif" w:hAnsi="PT Astra Serif" w:cstheme="minorBidi"/>
        </w:rPr>
        <w:t xml:space="preserve">–</w:t>
      </w:r>
      <w:r>
        <w:rPr>
          <w:rFonts w:ascii="PT Astra Serif" w:hAnsi="PT Astra Serif"/>
        </w:rPr>
        <w:t xml:space="preserve"> состоялось более 10 крупных мероприятий с участием более 20 тыс. человек в рамках Большой учительской недели;</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rPr>
      </w:pPr>
      <w:r>
        <w:rPr>
          <w:rFonts w:ascii="PT Astra Serif" w:hAnsi="PT Astra Serif" w:cstheme="minorBidi"/>
        </w:rPr>
        <w:t xml:space="preserve">–</w:t>
      </w:r>
      <w:r>
        <w:rPr>
          <w:rFonts w:ascii="PT Astra Serif" w:hAnsi="PT Astra Serif"/>
        </w:rPr>
        <w:t xml:space="preserve"> состоялся I Региональный фестиваль талантов </w:t>
      </w:r>
      <w:r>
        <w:rPr>
          <w:rFonts w:ascii="PT Astra Serif" w:hAnsi="PT Astra Serif"/>
        </w:rPr>
        <w:t xml:space="preserve">«Огни СПО», собравший более 200 </w:t>
      </w:r>
      <w:r>
        <w:rPr>
          <w:rFonts w:ascii="PT Astra Serif" w:hAnsi="PT Astra Serif"/>
        </w:rPr>
        <w:t xml:space="preserve">сотрудников колледж</w:t>
      </w:r>
      <w:r>
        <w:rPr>
          <w:rFonts w:ascii="PT Astra Serif" w:hAnsi="PT Astra Serif"/>
        </w:rPr>
        <w:t xml:space="preserve">ей и техникумов Томской области;</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rPr>
      </w:pPr>
      <w:r>
        <w:rPr>
          <w:rFonts w:ascii="PT Astra Serif" w:hAnsi="PT Astra Serif" w:cstheme="minorBidi"/>
        </w:rPr>
        <w:t xml:space="preserve">–</w:t>
      </w:r>
      <w:r>
        <w:rPr>
          <w:rFonts w:ascii="PT Astra Serif" w:hAnsi="PT Astra Serif"/>
        </w:rPr>
        <w:t xml:space="preserve"> проведены традиционные 17 региональных конкурсов профессионального мастерства педагогических работников и региональных этапов Всероссийских конкурсов для педагогических и руководящих работников системы образования.</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rPr>
      </w:pPr>
      <w:r>
        <w:rPr>
          <w:rFonts w:ascii="PT Astra Serif" w:hAnsi="PT Astra Serif"/>
        </w:rPr>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rPr>
      </w:pPr>
      <w:r>
        <w:rPr>
          <w:rFonts w:ascii="PT Astra Serif" w:hAnsi="PT Astra Serif"/>
        </w:rPr>
      </w:r>
      <w:r>
        <w:rPr>
          <w:rFonts w:ascii="PT Astra Serif" w:hAnsi="PT Astra Serif"/>
        </w:rPr>
      </w:r>
      <w:r>
        <w:rPr>
          <w:rFonts w:ascii="PT Astra Serif" w:hAnsi="PT Astra Serif"/>
        </w:rPr>
      </w:r>
    </w:p>
    <w:p>
      <w:pPr>
        <w:jc w:val="both"/>
        <w:spacing w:after="0" w:line="240" w:lineRule="auto"/>
        <w:shd w:val="clear" w:color="auto" w:fill="eaf1dd" w:themeFill="accent3" w:themeFillTint="33"/>
        <w:tabs>
          <w:tab w:val="left" w:pos="4962" w:leader="none"/>
        </w:tabs>
        <w:rPr>
          <w:rFonts w:ascii="PT Astra Serif" w:hAnsi="PT Astra Serif" w:eastAsia="Times New Roman"/>
          <w:b/>
          <w:sz w:val="24"/>
          <w:szCs w:val="24"/>
        </w:rPr>
      </w:pPr>
      <w:r>
        <w:rPr>
          <w:rFonts w:ascii="PT Astra Serif" w:hAnsi="PT Astra Serif" w:eastAsia="Times New Roman"/>
          <w:b/>
          <w:sz w:val="24"/>
          <w:szCs w:val="24"/>
          <w:shd w:val="clear" w:color="auto" w:fill="eaf1dd" w:themeFill="accent3" w:themeFillTint="33"/>
        </w:rPr>
        <w:t xml:space="preserve">Дошкольное образование</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было продолжено выполнение Указа Президента Российской Федерации от 07.05.2012 № 599 «О мерах по реализации государственной по</w:t>
      </w:r>
      <w:r>
        <w:rPr>
          <w:rFonts w:ascii="PT Astra Serif" w:hAnsi="PT Astra Serif"/>
          <w:sz w:val="24"/>
          <w:szCs w:val="24"/>
        </w:rPr>
        <w:t xml:space="preserve">литики в области образования и науки» в части обеспечения 100% доступности дошкольного образования для детей в возрасте от 3 до 7 лет. На территории Томской области актуальная очередь детей указанной возрастной категории отсутствует на протяжении двух лет.</w:t>
      </w:r>
      <w:r>
        <w:rPr>
          <w:rFonts w:ascii="PT Astra Serif" w:hAnsi="PT Astra Serif"/>
          <w:sz w:val="24"/>
          <w:szCs w:val="24"/>
        </w:rPr>
      </w:r>
      <w:r>
        <w:rPr>
          <w:rFonts w:ascii="PT Astra Serif" w:hAnsi="PT Astra Serif"/>
          <w:sz w:val="24"/>
          <w:szCs w:val="24"/>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tbl>
      <w:tblPr>
        <w:tblW w:w="0" w:type="auto"/>
        <w:tblInd w:w="108" w:type="dxa"/>
        <w:tblBorders>
          <w:top w:val="single" w:color="76923C" w:themeColor="accent3" w:themeShade="BF" w:sz="6" w:space="0"/>
          <w:left w:val="single" w:color="76923C" w:themeColor="accent3" w:themeShade="BF" w:sz="6" w:space="0"/>
          <w:bottom w:val="single" w:color="76923C" w:themeColor="accent3" w:themeShade="BF" w:sz="6" w:space="0"/>
          <w:right w:val="single" w:color="76923C" w:themeColor="accent3" w:themeShade="BF" w:sz="6" w:space="0"/>
        </w:tblBorders>
        <w:tblLook w:val="04A0" w:firstRow="1" w:lastRow="0" w:firstColumn="1" w:lastColumn="0" w:noHBand="0" w:noVBand="1"/>
      </w:tblPr>
      <w:tblGrid>
        <w:gridCol w:w="9463"/>
      </w:tblGrid>
      <w:tr>
        <w:tblPrEx/>
        <w:trPr>
          <w:trHeight w:val="540"/>
        </w:trPr>
        <w:tc>
          <w:tcPr>
            <w:tcBorders>
              <w:top w:val="single" w:color="76923C" w:themeColor="accent3" w:themeShade="BF" w:sz="6" w:space="0"/>
              <w:left w:val="single" w:color="76923C" w:themeColor="accent3" w:themeShade="BF" w:sz="6" w:space="0"/>
              <w:bottom w:val="single" w:color="76923C" w:themeColor="accent3" w:themeShade="BF" w:sz="6" w:space="0"/>
              <w:right w:val="single" w:color="76923C" w:themeColor="accent3" w:themeShade="BF" w:sz="6" w:space="0"/>
            </w:tcBorders>
            <w:tcW w:w="9463" w:type="dxa"/>
            <w:textDirection w:val="lrTb"/>
            <w:noWrap w:val="false"/>
          </w:tcPr>
          <w:p>
            <w:pPr>
              <w:ind w:firstLine="34"/>
              <w:jc w:val="center"/>
              <w:spacing w:after="0" w:line="240" w:lineRule="auto"/>
              <w:rPr>
                <w:rFonts w:ascii="PT Astra Serif" w:hAnsi="PT Astra Serif"/>
                <w:b/>
                <w:sz w:val="24"/>
                <w:szCs w:val="24"/>
              </w:rPr>
            </w:pPr>
            <w:r>
              <w:rPr>
                <w:rFonts w:ascii="PT Astra Serif" w:hAnsi="PT Astra Serif"/>
                <w:b/>
                <w:sz w:val="24"/>
                <w:szCs w:val="24"/>
              </w:rPr>
              <w:t xml:space="preserve">Доступность дошкольного образования для детей в возрасте от 1,5 до 3 лет составила 100%</w:t>
            </w:r>
            <w:r>
              <w:rPr>
                <w:rFonts w:ascii="PT Astra Serif" w:hAnsi="PT Astra Serif"/>
                <w:b/>
                <w:sz w:val="24"/>
                <w:szCs w:val="24"/>
              </w:rPr>
            </w:r>
            <w:r>
              <w:rPr>
                <w:rFonts w:ascii="PT Astra Serif" w:hAnsi="PT Astra Serif"/>
                <w:b/>
                <w:sz w:val="24"/>
                <w:szCs w:val="24"/>
              </w:rPr>
            </w:r>
          </w:p>
        </w:tc>
      </w:tr>
    </w:tbl>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Численность дошкольников в образовательных организациях с 2021 года уменьшилась на 9 661 человек</w:t>
      </w:r>
      <w:r>
        <w:rPr>
          <w:rFonts w:ascii="PT Astra Serif" w:hAnsi="PT Astra Serif"/>
          <w:sz w:val="24"/>
          <w:szCs w:val="24"/>
        </w:rPr>
        <w:t xml:space="preserve">а</w:t>
      </w:r>
      <w:r>
        <w:rPr>
          <w:rFonts w:ascii="PT Astra Serif" w:hAnsi="PT Astra Serif"/>
          <w:sz w:val="24"/>
          <w:szCs w:val="24"/>
        </w:rPr>
        <w:t xml:space="preserve"> и в 2023 году составила 47 062 человек</w:t>
      </w:r>
      <w:r>
        <w:rPr>
          <w:rFonts w:ascii="PT Astra Serif" w:hAnsi="PT Astra Serif"/>
          <w:sz w:val="24"/>
          <w:szCs w:val="24"/>
        </w:rPr>
        <w:t xml:space="preserve">а</w:t>
      </w:r>
      <w:r>
        <w:rPr>
          <w:rFonts w:ascii="PT Astra Serif" w:hAnsi="PT Astra Serif"/>
          <w:sz w:val="24"/>
          <w:szCs w:val="24"/>
        </w:rPr>
        <w:t xml:space="preserve"> (в 2021 году – 56 723 человека, </w:t>
      </w:r>
      <w:r>
        <w:rPr>
          <w:rFonts w:ascii="PT Astra Serif" w:hAnsi="PT Astra Serif"/>
          <w:sz w:val="24"/>
          <w:szCs w:val="24"/>
        </w:rPr>
        <w:t xml:space="preserve">в </w:t>
      </w:r>
      <w:r>
        <w:rPr>
          <w:rFonts w:ascii="PT Astra Serif" w:hAnsi="PT Astra Serif"/>
          <w:sz w:val="24"/>
          <w:szCs w:val="24"/>
        </w:rPr>
        <w:t xml:space="preserve">2022 году – 55 534 человека).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w:t>
      </w:r>
      <w:r>
        <w:rPr>
          <w:rFonts w:ascii="PT Astra Serif" w:hAnsi="PT Astra Serif"/>
          <w:sz w:val="24"/>
          <w:szCs w:val="24"/>
        </w:rPr>
        <w:t xml:space="preserve">2023 году </w:t>
      </w:r>
      <w:r>
        <w:rPr>
          <w:rFonts w:ascii="PT Astra Serif" w:hAnsi="PT Astra Serif"/>
          <w:sz w:val="24"/>
          <w:szCs w:val="24"/>
        </w:rPr>
        <w:t xml:space="preserve">началось строительство детского сада-яслей на 280 мест в составе образовательного комплекса ОГАОУ «Губернаторский Светленский лицей».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негосударственном секторе дошкольного образования работают 45 организаций и индивидуальных предпринимателей (ИП), из них 16 имеют лицензию на ведение образ</w:t>
      </w:r>
      <w:r>
        <w:rPr>
          <w:rFonts w:ascii="PT Astra Serif" w:hAnsi="PT Astra Serif"/>
          <w:sz w:val="24"/>
          <w:szCs w:val="24"/>
        </w:rPr>
        <w:t xml:space="preserve">овательной деятельности. В 2023 году негосударственный сектор дошкольного образования посещали более 2 тыс. детей (2022 год – около 2,5 тыс. детей). В целях поддержки негосударственного сектора дошкольного образования в 2023 году в областном бюджете предус</w:t>
      </w:r>
      <w:r>
        <w:rPr>
          <w:rFonts w:ascii="PT Astra Serif" w:hAnsi="PT Astra Serif"/>
          <w:sz w:val="24"/>
          <w:szCs w:val="24"/>
        </w:rPr>
        <w:t xml:space="preserve">мотрена субсидия на финансовое обеспечение (возмещение затрат, связанных с обеспечением получения дошкольного образования у индивидуальных предпринимателей, осуществляющих образовательную деятельность по образовательным программам дошкольного образования).</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1. Сохранение 100% охвата услугами дошкольного образования детей в возрасте до 7 лет</w:t>
      </w:r>
      <w:r>
        <w:rPr>
          <w:rFonts w:ascii="PT Astra Serif" w:hAnsi="PT Astra Serif" w:eastAsia="Times New Roman"/>
          <w:sz w:val="24"/>
          <w:szCs w:val="24"/>
        </w:rPr>
        <w:t xml:space="preserve">,</w:t>
      </w:r>
      <w:r>
        <w:rPr>
          <w:rFonts w:ascii="PT Astra Serif" w:hAnsi="PT Astra Serif" w:eastAsia="Times New Roman"/>
          <w:sz w:val="24"/>
          <w:szCs w:val="24"/>
        </w:rPr>
        <w:t xml:space="preserve"> в том числе за счет развития негосударственного сектора дошкольного образования.</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2</w:t>
      </w:r>
      <w:r>
        <w:rPr>
          <w:rFonts w:ascii="PT Astra Serif" w:hAnsi="PT Astra Serif" w:eastAsia="Times New Roman"/>
          <w:sz w:val="24"/>
          <w:szCs w:val="24"/>
        </w:rPr>
        <w:t xml:space="preserve">. Продолжение работы по решению вопросов обеспечения дошкольных образовательных организаций Томской области квалифицированными кадрами.</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jc w:val="both"/>
        <w:spacing w:after="0" w:line="240" w:lineRule="auto"/>
        <w:shd w:val="clear" w:color="auto" w:fill="eaf1dd" w:themeFill="accent3" w:themeFillTint="33"/>
        <w:tabs>
          <w:tab w:val="left" w:pos="4962" w:leader="none"/>
        </w:tabs>
        <w:rPr>
          <w:rFonts w:ascii="PT Astra Serif" w:hAnsi="PT Astra Serif" w:eastAsia="Times New Roman"/>
          <w:b/>
          <w:sz w:val="24"/>
          <w:szCs w:val="24"/>
        </w:rPr>
      </w:pPr>
      <w:r>
        <w:rPr>
          <w:rFonts w:ascii="PT Astra Serif" w:hAnsi="PT Astra Serif" w:eastAsia="Times New Roman"/>
          <w:b/>
          <w:sz w:val="24"/>
          <w:szCs w:val="24"/>
          <w:shd w:val="clear" w:color="auto" w:fill="eaf1dd" w:themeFill="accent3" w:themeFillTint="33"/>
        </w:rPr>
        <w:t xml:space="preserve">Общее образование</w:t>
      </w:r>
      <w:r>
        <w:rPr>
          <w:rFonts w:ascii="PT Astra Serif" w:hAnsi="PT Astra Serif" w:eastAsia="Times New Roman"/>
          <w:b/>
          <w:sz w:val="24"/>
          <w:szCs w:val="24"/>
        </w:rPr>
      </w:r>
      <w:r>
        <w:rPr>
          <w:rFonts w:ascii="PT Astra Serif" w:hAnsi="PT Astra Serif" w:eastAsia="Times New Roman"/>
          <w:b/>
          <w:sz w:val="24"/>
          <w:szCs w:val="24"/>
        </w:rPr>
      </w:r>
    </w:p>
    <w:p>
      <w:pPr>
        <w:pStyle w:val="1154"/>
        <w:ind w:firstLine="567"/>
        <w:jc w:val="both"/>
        <w:rPr>
          <w:rFonts w:ascii="PT Astra Serif" w:hAnsi="PT Astra Serif"/>
        </w:rPr>
      </w:pPr>
      <w:r>
        <w:rPr>
          <w:rFonts w:ascii="PT Astra Serif" w:hAnsi="PT Astra Serif"/>
        </w:rPr>
        <w:t xml:space="preserve">В 2023 году в Томской области функционировало 302 дневных и вечерних общеобразовательных организаций (включая частные): </w:t>
      </w:r>
      <w:r>
        <w:rPr>
          <w:rFonts w:ascii="PT Astra Serif" w:hAnsi="PT Astra Serif" w:eastAsia="Calibri"/>
          <w:bCs/>
        </w:rPr>
        <w:t xml:space="preserve">3 начальные школы, 1 учреждение типа «начальная школа – детский сад», 56 основных общеобразовательных школ, 187</w:t>
      </w:r>
      <w:r>
        <w:rPr>
          <w:rFonts w:ascii="PT Astra Serif" w:hAnsi="PT Astra Serif" w:eastAsia="Calibri"/>
          <w:bCs/>
        </w:rPr>
        <w:t xml:space="preserve"> </w:t>
      </w:r>
      <w:r>
        <w:rPr>
          <w:rFonts w:ascii="PT Astra Serif" w:hAnsi="PT Astra Serif" w:eastAsia="Calibri"/>
          <w:bCs/>
        </w:rPr>
        <w:t xml:space="preserve">средних школ, 13 специальных (коррекционных) образовательных учреждений для обучающихся, воспитанников с ограниченными возможностями здоровья, 1 специальное учебно-воспитательное учреждение для детей и подрос</w:t>
      </w:r>
      <w:r>
        <w:rPr>
          <w:rFonts w:ascii="PT Astra Serif" w:hAnsi="PT Astra Serif" w:eastAsia="Calibri"/>
          <w:bCs/>
        </w:rPr>
        <w:t xml:space="preserve">тков с девиантным поведением, 1 </w:t>
      </w:r>
      <w:r>
        <w:rPr>
          <w:rFonts w:ascii="PT Astra Serif" w:hAnsi="PT Astra Serif" w:eastAsia="Calibri"/>
          <w:bCs/>
        </w:rPr>
        <w:t xml:space="preserve">оздоровительное образовательное учреждение санаторного типа для детей, нуждающихся в длительном лечении, 1 образовательное учреждение для детей, нуждающихся в психолого-педагогической и медико-социальной по</w:t>
      </w:r>
      <w:r>
        <w:rPr>
          <w:rFonts w:ascii="PT Astra Serif" w:hAnsi="PT Astra Serif" w:eastAsia="Calibri"/>
          <w:bCs/>
        </w:rPr>
        <w:t xml:space="preserve">мощи, 14 гимназий, 15 лицеев, 3 </w:t>
      </w:r>
      <w:r>
        <w:rPr>
          <w:rFonts w:ascii="PT Astra Serif" w:hAnsi="PT Astra Serif" w:eastAsia="Calibri"/>
          <w:bCs/>
        </w:rPr>
        <w:t xml:space="preserve">кадетских школы-интерната, 3 вечерних (сменных) школ</w:t>
      </w:r>
      <w:r>
        <w:rPr>
          <w:rFonts w:ascii="PT Astra Serif" w:hAnsi="PT Astra Serif" w:eastAsia="Calibri"/>
          <w:bCs/>
        </w:rPr>
        <w:t xml:space="preserve">ы</w:t>
      </w:r>
      <w:r>
        <w:rPr>
          <w:rFonts w:ascii="PT Astra Serif" w:hAnsi="PT Astra Serif" w:eastAsia="Calibri"/>
          <w:bCs/>
        </w:rPr>
        <w:t xml:space="preserve">, 4 негосударственных общеобразовательных организации</w:t>
      </w:r>
      <w:r>
        <w:rPr>
          <w:rFonts w:ascii="PT Astra Serif" w:hAnsi="PT Astra Serif"/>
        </w:rPr>
        <w:t xml:space="preserve">. </w:t>
      </w:r>
      <w:r>
        <w:rPr>
          <w:rFonts w:ascii="PT Astra Serif" w:hAnsi="PT Astra Serif"/>
        </w:rPr>
      </w:r>
      <w:r>
        <w:rPr>
          <w:rFonts w:ascii="PT Astra Serif" w:hAnsi="PT Astra Serif"/>
        </w:rPr>
      </w:r>
    </w:p>
    <w:p>
      <w:pPr>
        <w:pStyle w:val="1154"/>
        <w:ind w:firstLine="567"/>
        <w:jc w:val="both"/>
        <w:rPr>
          <w:rFonts w:ascii="PT Astra Serif" w:hAnsi="PT Astra Serif"/>
        </w:rPr>
      </w:pPr>
      <w:r>
        <w:rPr>
          <w:rFonts w:ascii="PT Astra Serif" w:hAnsi="PT Astra Serif"/>
        </w:rPr>
        <w:t xml:space="preserve">В 2023 году количество общеобразовательных организаций уменьшилось в связи с реорганизацией 2 </w:t>
      </w:r>
      <w:r>
        <w:rPr>
          <w:rFonts w:ascii="PT Astra Serif" w:hAnsi="PT Astra Serif"/>
        </w:rPr>
        <w:t xml:space="preserve">общеобразовательных организаций:</w:t>
      </w:r>
      <w:r>
        <w:rPr>
          <w:rFonts w:ascii="PT Astra Serif" w:hAnsi="PT Astra Serif"/>
        </w:rPr>
      </w:r>
      <w:r>
        <w:rPr>
          <w:rFonts w:ascii="PT Astra Serif" w:hAnsi="PT Astra Serif"/>
        </w:rPr>
      </w:r>
    </w:p>
    <w:p>
      <w:pPr>
        <w:pStyle w:val="1154"/>
        <w:ind w:firstLine="567"/>
        <w:jc w:val="both"/>
        <w:rPr>
          <w:rFonts w:ascii="PT Astra Serif" w:hAnsi="PT Astra Serif"/>
        </w:rPr>
      </w:pPr>
      <w:r>
        <w:rPr>
          <w:rFonts w:ascii="PT Astra Serif" w:hAnsi="PT Astra Serif" w:cstheme="minorBidi"/>
        </w:rPr>
        <w:t xml:space="preserve">–</w:t>
      </w:r>
      <w:r>
        <w:rPr>
          <w:rFonts w:ascii="PT Astra Serif" w:hAnsi="PT Astra Serif"/>
        </w:rPr>
        <w:t xml:space="preserve"> санаторно-лесной школы путем присоединения к МАОУ СОШ № 22 г. Томска, </w:t>
      </w:r>
      <w:r>
        <w:rPr>
          <w:rFonts w:ascii="PT Astra Serif" w:hAnsi="PT Astra Serif"/>
        </w:rPr>
      </w:r>
      <w:r>
        <w:rPr>
          <w:rFonts w:ascii="PT Astra Serif" w:hAnsi="PT Astra Serif"/>
        </w:rPr>
      </w:r>
    </w:p>
    <w:p>
      <w:pPr>
        <w:pStyle w:val="1154"/>
        <w:ind w:firstLine="567"/>
        <w:jc w:val="both"/>
        <w:rPr>
          <w:rFonts w:ascii="PT Astra Serif" w:hAnsi="PT Astra Serif"/>
        </w:rPr>
      </w:pPr>
      <w:r>
        <w:rPr>
          <w:rFonts w:ascii="PT Astra Serif" w:hAnsi="PT Astra Serif" w:cstheme="minorBidi"/>
        </w:rPr>
        <w:t xml:space="preserve">–</w:t>
      </w:r>
      <w:r>
        <w:rPr>
          <w:rFonts w:ascii="PT Astra Serif" w:hAnsi="PT Astra Serif"/>
        </w:rPr>
        <w:t xml:space="preserve"> МБОУ «Ягоднинская СОШ» путем присоединения к МБОУ «Клюквинская СОШИ» в Верхнекетском районе.</w:t>
      </w:r>
      <w:r>
        <w:rPr>
          <w:rFonts w:ascii="PT Astra Serif" w:hAnsi="PT Astra Serif"/>
        </w:rPr>
      </w:r>
      <w:r>
        <w:rPr>
          <w:rFonts w:ascii="PT Astra Serif" w:hAnsi="PT Astra Serif"/>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Численность школьников в общеобразовательных организациях с 2021 года увеличилась на 634 человека (2,1%) и в 2023 году составила 128 972 человек</w:t>
      </w:r>
      <w:r>
        <w:rPr>
          <w:rFonts w:ascii="PT Astra Serif" w:hAnsi="PT Astra Serif" w:eastAsia="Times New Roman"/>
          <w:sz w:val="24"/>
          <w:szCs w:val="24"/>
        </w:rPr>
        <w:t xml:space="preserve">а</w:t>
      </w:r>
      <w:r>
        <w:rPr>
          <w:rFonts w:ascii="PT Astra Serif" w:hAnsi="PT Astra Serif" w:eastAsia="Times New Roman"/>
          <w:sz w:val="24"/>
          <w:szCs w:val="24"/>
        </w:rPr>
        <w:t xml:space="preserve"> (в</w:t>
      </w:r>
      <w:r>
        <w:rPr>
          <w:rFonts w:ascii="PT Astra Serif" w:hAnsi="PT Astra Serif" w:eastAsia="Times New Roman"/>
          <w:sz w:val="24"/>
          <w:szCs w:val="24"/>
        </w:rPr>
        <w:t xml:space="preserve"> </w:t>
      </w:r>
      <w:r>
        <w:rPr>
          <w:rFonts w:ascii="PT Astra Serif" w:hAnsi="PT Astra Serif" w:eastAsia="Times New Roman"/>
          <w:sz w:val="24"/>
          <w:szCs w:val="24"/>
        </w:rPr>
        <w:t xml:space="preserve">2021</w:t>
      </w:r>
      <w:r>
        <w:rPr>
          <w:rFonts w:ascii="PT Astra Serif" w:hAnsi="PT Astra Serif" w:eastAsia="Times New Roman"/>
          <w:sz w:val="24"/>
          <w:szCs w:val="24"/>
        </w:rPr>
        <w:t xml:space="preserve"> </w:t>
      </w:r>
      <w:r>
        <w:rPr>
          <w:rFonts w:ascii="PT Astra Serif" w:hAnsi="PT Astra Serif" w:eastAsia="Times New Roman"/>
          <w:sz w:val="24"/>
          <w:szCs w:val="24"/>
        </w:rPr>
        <w:t xml:space="preserve">году</w:t>
      </w:r>
      <w:r>
        <w:rPr>
          <w:rFonts w:ascii="PT Astra Serif" w:hAnsi="PT Astra Serif" w:eastAsia="Times New Roman"/>
          <w:sz w:val="24"/>
          <w:szCs w:val="24"/>
        </w:rPr>
        <w:t xml:space="preserve"> </w:t>
      </w:r>
      <w:r>
        <w:rPr>
          <w:rFonts w:ascii="PT Astra Serif" w:hAnsi="PT Astra Serif" w:cstheme="minorBidi"/>
          <w:sz w:val="24"/>
          <w:szCs w:val="24"/>
        </w:rPr>
        <w:t xml:space="preserve">–</w:t>
      </w:r>
      <w:r>
        <w:rPr>
          <w:rFonts w:ascii="PT Astra Serif" w:hAnsi="PT Astra Serif" w:eastAsia="Times New Roman"/>
          <w:sz w:val="24"/>
          <w:szCs w:val="24"/>
        </w:rPr>
        <w:t xml:space="preserve"> 126 264 человека, 2022 году </w:t>
      </w:r>
      <w:r>
        <w:rPr>
          <w:rFonts w:ascii="PT Astra Serif" w:hAnsi="PT Astra Serif" w:cstheme="minorBidi"/>
          <w:sz w:val="24"/>
          <w:szCs w:val="24"/>
        </w:rPr>
        <w:t xml:space="preserve">–</w:t>
      </w:r>
      <w:r>
        <w:rPr>
          <w:rFonts w:ascii="PT Astra Serif" w:hAnsi="PT Astra Serif" w:eastAsia="Times New Roman"/>
          <w:sz w:val="24"/>
          <w:szCs w:val="24"/>
        </w:rPr>
        <w:t xml:space="preserve"> 128 338 человек).</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В целях увеличения общеобразовательных мест в 2023 году завершилось строительство школы на 1100 мест на ул. Демьяна Бедного в г. Томске и начал</w:t>
      </w:r>
      <w:r>
        <w:rPr>
          <w:rFonts w:ascii="PT Astra Serif" w:hAnsi="PT Astra Serif" w:eastAsia="Times New Roman"/>
          <w:sz w:val="24"/>
          <w:szCs w:val="24"/>
        </w:rPr>
        <w:t xml:space="preserve">ось строительство школы на 1100 мест на ул. В. Высоцкого, 14 в г. Томске. За счет средств областного бюджета продолжилось строительство здания МБОУ «Саровская СОШ» на 140 мест (110 ученических мест) в Колпашевском районе (начало строительства в 2022 году).</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В рамках модернизации школьных систем образования завершены </w:t>
      </w:r>
      <w:r>
        <w:rPr>
          <w:rFonts w:ascii="PT Astra Serif" w:hAnsi="PT Astra Serif" w:eastAsia="Times New Roman"/>
          <w:sz w:val="24"/>
          <w:szCs w:val="24"/>
        </w:rPr>
        <w:t xml:space="preserve">ремонты 14 школ: МАОУ-</w:t>
      </w:r>
      <w:r>
        <w:rPr>
          <w:rFonts w:ascii="PT Astra Serif" w:hAnsi="PT Astra Serif" w:eastAsia="Times New Roman"/>
          <w:sz w:val="24"/>
          <w:szCs w:val="24"/>
        </w:rPr>
        <w:t xml:space="preserve">СОШ с.</w:t>
      </w:r>
      <w:r>
        <w:rPr>
          <w:rFonts w:ascii="PT Astra Serif" w:hAnsi="PT Astra Serif" w:eastAsia="Times New Roman"/>
          <w:sz w:val="24"/>
          <w:szCs w:val="24"/>
        </w:rPr>
        <w:t xml:space="preserve"> </w:t>
      </w:r>
      <w:r>
        <w:rPr>
          <w:rFonts w:ascii="PT Astra Serif" w:hAnsi="PT Astra Serif" w:eastAsia="Times New Roman"/>
          <w:sz w:val="24"/>
          <w:szCs w:val="24"/>
        </w:rPr>
        <w:t xml:space="preserve">Новониколаевки Асиновского района, МАОУ</w:t>
      </w:r>
      <w:r>
        <w:rPr>
          <w:rFonts w:ascii="PT Astra Serif" w:hAnsi="PT Astra Serif" w:eastAsia="Times New Roman"/>
          <w:sz w:val="24"/>
          <w:szCs w:val="24"/>
        </w:rPr>
        <w:t xml:space="preserve"> </w:t>
      </w:r>
      <w:r>
        <w:rPr>
          <w:rFonts w:ascii="PT Astra Serif" w:hAnsi="PT Astra Serif" w:eastAsia="Times New Roman"/>
          <w:sz w:val="24"/>
          <w:szCs w:val="24"/>
        </w:rPr>
        <w:t xml:space="preserve">«СОШ №</w:t>
      </w:r>
      <w:r>
        <w:rPr>
          <w:rFonts w:ascii="PT Astra Serif" w:hAnsi="PT Astra Serif" w:eastAsia="Times New Roman"/>
          <w:sz w:val="24"/>
          <w:szCs w:val="24"/>
        </w:rPr>
        <w:t xml:space="preserve"> </w:t>
      </w:r>
      <w:r>
        <w:rPr>
          <w:rFonts w:ascii="PT Astra Serif" w:hAnsi="PT Astra Serif" w:eastAsia="Times New Roman"/>
          <w:sz w:val="24"/>
          <w:szCs w:val="24"/>
        </w:rPr>
        <w:t xml:space="preserve">16 г.</w:t>
      </w:r>
      <w:r>
        <w:rPr>
          <w:rFonts w:ascii="PT Astra Serif" w:hAnsi="PT Astra Serif" w:eastAsia="Times New Roman"/>
          <w:sz w:val="24"/>
          <w:szCs w:val="24"/>
        </w:rPr>
        <w:t xml:space="preserve"> </w:t>
      </w:r>
      <w:r>
        <w:rPr>
          <w:rFonts w:ascii="PT Astra Serif" w:hAnsi="PT Astra Serif" w:eastAsia="Times New Roman"/>
          <w:sz w:val="24"/>
          <w:szCs w:val="24"/>
        </w:rPr>
        <w:t xml:space="preserve">Томск», МАОУ л</w:t>
      </w:r>
      <w:r>
        <w:rPr>
          <w:rFonts w:ascii="PT Astra Serif" w:hAnsi="PT Astra Serif" w:eastAsia="Times New Roman"/>
          <w:sz w:val="24"/>
          <w:szCs w:val="24"/>
        </w:rPr>
        <w:t xml:space="preserve">ицей № 8 им. Н.Н. Рукавишникова г. Томска, МАОУ «СОШ №</w:t>
      </w:r>
      <w:r>
        <w:rPr>
          <w:rFonts w:ascii="PT Astra Serif" w:hAnsi="PT Astra Serif" w:eastAsia="Times New Roman"/>
          <w:sz w:val="24"/>
          <w:szCs w:val="24"/>
        </w:rPr>
        <w:t xml:space="preserve"> </w:t>
      </w:r>
      <w:r>
        <w:rPr>
          <w:rFonts w:ascii="PT Astra Serif" w:hAnsi="PT Astra Serif" w:eastAsia="Times New Roman"/>
          <w:sz w:val="24"/>
          <w:szCs w:val="24"/>
        </w:rPr>
        <w:t xml:space="preserve">2»</w:t>
      </w:r>
      <w:r>
        <w:rPr>
          <w:rFonts w:ascii="PT Astra Serif" w:hAnsi="PT Astra Serif" w:eastAsia="Times New Roman"/>
          <w:sz w:val="24"/>
          <w:szCs w:val="24"/>
        </w:rPr>
        <w:t xml:space="preserve"> </w:t>
      </w:r>
      <w:r>
        <w:rPr>
          <w:rFonts w:ascii="PT Astra Serif" w:hAnsi="PT Astra Serif" w:eastAsia="Times New Roman"/>
          <w:sz w:val="24"/>
          <w:szCs w:val="24"/>
        </w:rPr>
        <w:t xml:space="preserve">г.</w:t>
      </w:r>
      <w:r>
        <w:rPr>
          <w:rFonts w:ascii="PT Astra Serif" w:hAnsi="PT Astra Serif" w:eastAsia="Times New Roman"/>
          <w:sz w:val="24"/>
          <w:szCs w:val="24"/>
        </w:rPr>
        <w:t xml:space="preserve"> </w:t>
      </w:r>
      <w:r>
        <w:rPr>
          <w:rFonts w:ascii="PT Astra Serif" w:hAnsi="PT Astra Serif" w:eastAsia="Times New Roman"/>
          <w:sz w:val="24"/>
          <w:szCs w:val="24"/>
        </w:rPr>
        <w:t xml:space="preserve">Колпашево, МАОУ гимназия №</w:t>
      </w:r>
      <w:r>
        <w:rPr>
          <w:rFonts w:ascii="PT Astra Serif" w:hAnsi="PT Astra Serif" w:eastAsia="Times New Roman"/>
          <w:sz w:val="24"/>
          <w:szCs w:val="24"/>
        </w:rPr>
        <w:t xml:space="preserve"> </w:t>
      </w:r>
      <w:r>
        <w:rPr>
          <w:rFonts w:ascii="PT Astra Serif" w:hAnsi="PT Astra Serif" w:eastAsia="Times New Roman"/>
          <w:sz w:val="24"/>
          <w:szCs w:val="24"/>
        </w:rPr>
        <w:t xml:space="preserve">2 города Асино Томской области</w:t>
      </w:r>
      <w:r>
        <w:rPr>
          <w:rFonts w:ascii="PT Astra Serif" w:hAnsi="PT Astra Serif" w:eastAsia="Times New Roman"/>
          <w:sz w:val="24"/>
          <w:szCs w:val="24"/>
        </w:rPr>
        <w:t xml:space="preserve">, МАОУ-</w:t>
      </w:r>
      <w:r>
        <w:rPr>
          <w:rFonts w:ascii="PT Astra Serif" w:hAnsi="PT Astra Serif" w:eastAsia="Times New Roman"/>
          <w:sz w:val="24"/>
          <w:szCs w:val="24"/>
        </w:rPr>
        <w:t xml:space="preserve">СОШ № 4 города Асино Томской области, МБОУ «Комсомольская СОШ» Первомайского района, МБОУ «Сарафановская СОШ» Молчановского района, МБОУ</w:t>
      </w:r>
      <w:r>
        <w:rPr>
          <w:rFonts w:ascii="PT Astra Serif" w:hAnsi="PT Astra Serif" w:eastAsia="Times New Roman"/>
          <w:sz w:val="24"/>
          <w:szCs w:val="24"/>
        </w:rPr>
        <w:t xml:space="preserve"> </w:t>
      </w:r>
      <w:r>
        <w:rPr>
          <w:rFonts w:ascii="PT Astra Serif" w:hAnsi="PT Astra Serif" w:eastAsia="Times New Roman"/>
          <w:sz w:val="24"/>
          <w:szCs w:val="24"/>
        </w:rPr>
        <w:t xml:space="preserve">«Чернореченская СОШ» Томского района, МОУ «Михайловская СОШ» Зырянского района, МБОУ</w:t>
      </w:r>
      <w:r>
        <w:rPr>
          <w:rFonts w:ascii="PT Astra Serif" w:hAnsi="PT Astra Serif" w:eastAsia="Times New Roman"/>
          <w:sz w:val="24"/>
          <w:szCs w:val="24"/>
        </w:rPr>
        <w:t xml:space="preserve"> </w:t>
      </w:r>
      <w:r>
        <w:rPr>
          <w:rFonts w:ascii="PT Astra Serif" w:hAnsi="PT Astra Serif" w:eastAsia="Times New Roman"/>
          <w:sz w:val="24"/>
          <w:szCs w:val="24"/>
        </w:rPr>
        <w:t xml:space="preserve">«Причулымская ООШ» Зырянского района, МАОУ «ООШ №</w:t>
      </w:r>
      <w:r>
        <w:rPr>
          <w:rFonts w:ascii="PT Astra Serif" w:hAnsi="PT Astra Serif" w:eastAsia="Times New Roman"/>
          <w:sz w:val="24"/>
          <w:szCs w:val="24"/>
        </w:rPr>
        <w:t xml:space="preserve"> </w:t>
      </w:r>
      <w:r>
        <w:rPr>
          <w:rFonts w:ascii="PT Astra Serif" w:hAnsi="PT Astra Serif" w:eastAsia="Times New Roman"/>
          <w:sz w:val="24"/>
          <w:szCs w:val="24"/>
        </w:rPr>
        <w:t xml:space="preserve">38 г.</w:t>
      </w:r>
      <w:r>
        <w:rPr>
          <w:rFonts w:ascii="PT Astra Serif" w:hAnsi="PT Astra Serif" w:eastAsia="Times New Roman"/>
          <w:sz w:val="24"/>
          <w:szCs w:val="24"/>
        </w:rPr>
        <w:t xml:space="preserve"> </w:t>
      </w:r>
      <w:r>
        <w:rPr>
          <w:rFonts w:ascii="PT Astra Serif" w:hAnsi="PT Astra Serif" w:eastAsia="Times New Roman"/>
          <w:sz w:val="24"/>
          <w:szCs w:val="24"/>
        </w:rPr>
        <w:t xml:space="preserve">Томска», МАОУ</w:t>
      </w:r>
      <w:r>
        <w:rPr>
          <w:rFonts w:ascii="PT Astra Serif" w:hAnsi="PT Astra Serif" w:eastAsia="Times New Roman"/>
          <w:sz w:val="24"/>
          <w:szCs w:val="24"/>
        </w:rPr>
        <w:t xml:space="preserve"> </w:t>
      </w:r>
      <w:r>
        <w:rPr>
          <w:rFonts w:ascii="PT Astra Serif" w:hAnsi="PT Astra Serif" w:eastAsia="Times New Roman"/>
          <w:sz w:val="24"/>
          <w:szCs w:val="24"/>
        </w:rPr>
        <w:t xml:space="preserve">«СОШ №</w:t>
      </w:r>
      <w:r>
        <w:rPr>
          <w:rFonts w:ascii="PT Astra Serif" w:hAnsi="PT Astra Serif" w:eastAsia="Times New Roman"/>
          <w:sz w:val="24"/>
          <w:szCs w:val="24"/>
        </w:rPr>
        <w:t xml:space="preserve"> </w:t>
      </w:r>
      <w:r>
        <w:rPr>
          <w:rFonts w:ascii="PT Astra Serif" w:hAnsi="PT Astra Serif" w:eastAsia="Times New Roman"/>
          <w:sz w:val="24"/>
          <w:szCs w:val="24"/>
        </w:rPr>
        <w:t xml:space="preserve">14 им. А.Ф. </w:t>
      </w:r>
      <w:r>
        <w:rPr>
          <w:rFonts w:ascii="PT Astra Serif" w:hAnsi="PT Astra Serif" w:eastAsia="Times New Roman"/>
          <w:sz w:val="24"/>
          <w:szCs w:val="24"/>
        </w:rPr>
        <w:t xml:space="preserve">Лебедева г. Томска», МБОУ «ООШИ № 22 г.</w:t>
      </w:r>
      <w:r>
        <w:rPr>
          <w:rFonts w:ascii="PT Astra Serif" w:hAnsi="PT Astra Serif" w:eastAsia="Times New Roman"/>
          <w:sz w:val="24"/>
          <w:szCs w:val="24"/>
        </w:rPr>
        <w:t xml:space="preserve"> </w:t>
      </w:r>
      <w:r>
        <w:rPr>
          <w:rFonts w:ascii="PT Astra Serif" w:hAnsi="PT Astra Serif" w:eastAsia="Times New Roman"/>
          <w:sz w:val="24"/>
          <w:szCs w:val="24"/>
        </w:rPr>
        <w:t xml:space="preserve">Томска».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В рамках регионального проекта «Успех каждого ребенка» завершен капитальный ремонт спортивного зала в МБОУ «Тогурская СОШ им. С.В. Маслова» Колпашевского района.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Бесплатным горячим питанием обеспечено 53 091 школьник или 100% обучающихся 1</w:t>
      </w:r>
      <w:r>
        <w:rPr>
          <w:rFonts w:ascii="PT Astra Serif" w:hAnsi="PT Astra Serif" w:cstheme="minorBidi"/>
          <w:sz w:val="24"/>
          <w:szCs w:val="24"/>
        </w:rPr>
        <w:t xml:space="preserve">–</w:t>
      </w:r>
      <w:r>
        <w:rPr>
          <w:rFonts w:ascii="PT Astra Serif" w:hAnsi="PT Astra Serif" w:eastAsia="Times New Roman"/>
          <w:sz w:val="24"/>
          <w:szCs w:val="24"/>
        </w:rPr>
        <w:t xml:space="preserve">4 классов государственных и муниципальных общеобразовательных организаций.</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sz w:val="24"/>
          <w:szCs w:val="24"/>
          <w:lang w:eastAsia="ru-RU"/>
        </w:rPr>
        <w:t xml:space="preserve">В рамках </w:t>
      </w:r>
      <w:r>
        <w:rPr>
          <w:rFonts w:ascii="PT Astra Serif" w:hAnsi="PT Astra Serif" w:eastAsia="Times New Roman"/>
          <w:sz w:val="24"/>
          <w:szCs w:val="24"/>
        </w:rPr>
        <w:t xml:space="preserve">регионального проекта «Современная школа»</w:t>
      </w:r>
      <w:r>
        <w:rPr>
          <w:rFonts w:ascii="PT Astra Serif" w:hAnsi="PT Astra Serif"/>
          <w:sz w:val="24"/>
          <w:szCs w:val="24"/>
          <w:lang w:eastAsia="ru-RU"/>
        </w:rPr>
        <w:t xml:space="preserve"> в 2023 году было открыто 17 центров образования естественно-научной</w:t>
      </w:r>
      <w:r>
        <w:rPr>
          <w:rFonts w:ascii="PT Astra Serif" w:hAnsi="PT Astra Serif"/>
          <w:sz w:val="24"/>
          <w:szCs w:val="24"/>
          <w:lang w:eastAsia="ru-RU"/>
        </w:rPr>
        <w:t xml:space="preserve"> и технологической направленностей «Точка роста» в 10 муниципалитетах Томской области. Во всех школах, участвующих в проекте, проведен ремонт кабинетов, поставлено базовое и дополнительное оборудование. В рамках стандартного комплекта в Центры закуплено со</w:t>
      </w:r>
      <w:r>
        <w:rPr>
          <w:rFonts w:ascii="PT Astra Serif" w:hAnsi="PT Astra Serif"/>
          <w:sz w:val="24"/>
          <w:szCs w:val="24"/>
          <w:lang w:eastAsia="ru-RU"/>
        </w:rPr>
        <w:t xml:space="preserve">временное аналоговое и цифровое оборудование: 62 ноутбука, 65 МФУ, 73 цифровых микроскопа, 34 набора по робототехнике, 198 цифровых лабораторий по физике, химии, биологии, экологии. 100% педагогов центров «Точка роста» прошли курсы повышения квалификации. </w:t>
      </w:r>
      <w:r>
        <w:rPr>
          <w:rFonts w:ascii="PT Astra Serif" w:hAnsi="PT Astra Serif" w:eastAsia="Times New Roman"/>
          <w:sz w:val="24"/>
          <w:szCs w:val="24"/>
        </w:rPr>
        <w:t xml:space="preserve">На базе центров «Точка роста» за год проведено более 603 социокультурных мероприятия, в</w:t>
      </w:r>
      <w:r>
        <w:rPr>
          <w:rFonts w:ascii="PT Astra Serif" w:hAnsi="PT Astra Serif" w:eastAsia="Times New Roman"/>
          <w:sz w:val="24"/>
          <w:szCs w:val="24"/>
        </w:rPr>
        <w:t xml:space="preserve"> </w:t>
      </w:r>
      <w:r>
        <w:rPr>
          <w:rFonts w:ascii="PT Astra Serif" w:hAnsi="PT Astra Serif" w:eastAsia="Times New Roman"/>
          <w:sz w:val="24"/>
          <w:szCs w:val="24"/>
        </w:rPr>
        <w:t xml:space="preserve">которые было вовлечено 12 978 участников.</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Продолжено создание необходимых условий для получения качественного образования детьми с огр</w:t>
      </w:r>
      <w:r>
        <w:rPr>
          <w:rFonts w:ascii="PT Astra Serif" w:hAnsi="PT Astra Serif" w:eastAsia="Times New Roman"/>
          <w:sz w:val="24"/>
          <w:szCs w:val="24"/>
        </w:rPr>
        <w:t xml:space="preserve">аниченными возможностями здоровья и сохранение организаций, осуществляющих образовательную деятельность исключительно по адаптированным общеобразовательным программам. В 9 муниципальных образованиях Томской области функционирует 14 общеобразовательных орга</w:t>
      </w:r>
      <w:r>
        <w:rPr>
          <w:rFonts w:ascii="PT Astra Serif" w:hAnsi="PT Astra Serif" w:eastAsia="Times New Roman"/>
          <w:sz w:val="24"/>
          <w:szCs w:val="24"/>
        </w:rPr>
        <w:t xml:space="preserve">низаций, где обучаются дети с заболеваниями различных нозологических групп (дети с нарушениями зрения, слуха, опорно-двигательного аппарата, интеллекта, с тяжелыми нарушениями речи, задержкой психического развития, с расстройствами аутистического спектра).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В 2023 году к 6 образовательным организациям Томской области, осуществляющим образоват</w:t>
      </w:r>
      <w:r>
        <w:rPr>
          <w:rFonts w:ascii="PT Astra Serif" w:hAnsi="PT Astra Serif" w:eastAsia="Times New Roman"/>
          <w:sz w:val="24"/>
          <w:szCs w:val="24"/>
        </w:rPr>
        <w:t xml:space="preserve">ельную деятельность исключительно по адаптированным основным общеобразовательным программам и участвующим в реализации федерального проекта «Современная школа» национального проекта «Образование» - «Доброшкола», направленного на поддержку образования обуча</w:t>
      </w:r>
      <w:r>
        <w:rPr>
          <w:rFonts w:ascii="PT Astra Serif" w:hAnsi="PT Astra Serif" w:eastAsia="Times New Roman"/>
          <w:sz w:val="24"/>
          <w:szCs w:val="24"/>
        </w:rPr>
        <w:t xml:space="preserve">ющихся с ограниченными возможностями здоровья, присоединились еще 3 коррекционные школы (ОГБОУ «Школа-интернат для обучающихся, нуждающихся в психолого-педагогической и медико-социальной помощи»; МАОУ ООШ № 45 г. Томска; МКОУ «Крыловская общеобразовательна</w:t>
      </w:r>
      <w:r>
        <w:rPr>
          <w:rFonts w:ascii="PT Astra Serif" w:hAnsi="PT Astra Serif" w:eastAsia="Times New Roman"/>
          <w:sz w:val="24"/>
          <w:szCs w:val="24"/>
        </w:rPr>
        <w:t xml:space="preserve">я школа-интернат»). В школы закуплено и установлено оборудование для кабинетов педагога-психолога, учителя-дефектолога, учителя-логопеда, диагностические комплекты, коррекционно-развивающие и дидактические средства обучения; оборудование учебных кабинетов </w:t>
      </w:r>
      <w:r>
        <w:rPr>
          <w:rFonts w:ascii="PT Astra Serif" w:hAnsi="PT Astra Serif" w:eastAsia="Times New Roman"/>
          <w:sz w:val="24"/>
          <w:szCs w:val="24"/>
        </w:rPr>
        <w:t xml:space="preserve">и мастерских для организации качественного доступного образования обучающихся. Благодаря этому качественно изменились условия для получения образования, в том числе в предметной области «Технология» с учетом особых образовательных потребностей обучающихся.</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В </w:t>
      </w:r>
      <w:r>
        <w:rPr>
          <w:rFonts w:ascii="PT Astra Serif" w:hAnsi="PT Astra Serif" w:eastAsia="Times New Roman"/>
          <w:sz w:val="24"/>
          <w:szCs w:val="24"/>
        </w:rPr>
        <w:t xml:space="preserve">2023 году количество педагогических работников в системе общего образования Томской области составило </w:t>
      </w:r>
      <w:r>
        <w:rPr>
          <w:rFonts w:ascii="PT Astra Serif" w:hAnsi="PT Astra Serif" w:eastAsia="Times New Roman"/>
          <w:sz w:val="24"/>
          <w:szCs w:val="24"/>
        </w:rPr>
        <w:t xml:space="preserve">17 167 </w:t>
      </w:r>
      <w:r>
        <w:rPr>
          <w:rFonts w:ascii="PT Astra Serif" w:hAnsi="PT Astra Serif" w:eastAsia="Times New Roman"/>
          <w:sz w:val="24"/>
          <w:szCs w:val="24"/>
        </w:rPr>
        <w:t xml:space="preserve">человек (в детских садах работает </w:t>
      </w:r>
      <w:r>
        <w:rPr>
          <w:rFonts w:ascii="PT Astra Serif" w:hAnsi="PT Astra Serif" w:eastAsia="Times New Roman"/>
          <w:sz w:val="24"/>
          <w:szCs w:val="24"/>
        </w:rPr>
        <w:t xml:space="preserve">5</w:t>
      </w:r>
      <w:r>
        <w:rPr>
          <w:rFonts w:ascii="PT Astra Serif" w:hAnsi="PT Astra Serif" w:eastAsia="Times New Roman"/>
          <w:sz w:val="24"/>
          <w:szCs w:val="24"/>
        </w:rPr>
        <w:t xml:space="preserve"> </w:t>
      </w:r>
      <w:r>
        <w:rPr>
          <w:rFonts w:ascii="PT Astra Serif" w:hAnsi="PT Astra Serif" w:eastAsia="Times New Roman"/>
          <w:sz w:val="24"/>
          <w:szCs w:val="24"/>
        </w:rPr>
        <w:t xml:space="preserve">401</w:t>
      </w:r>
      <w:r>
        <w:rPr>
          <w:rFonts w:ascii="PT Astra Serif" w:hAnsi="PT Astra Serif" w:eastAsia="Times New Roman"/>
          <w:sz w:val="24"/>
          <w:szCs w:val="24"/>
        </w:rPr>
        <w:t xml:space="preserve"> человек</w:t>
      </w:r>
      <w:r>
        <w:rPr>
          <w:rFonts w:ascii="PT Astra Serif" w:hAnsi="PT Astra Serif" w:eastAsia="Times New Roman"/>
          <w:sz w:val="24"/>
          <w:szCs w:val="24"/>
        </w:rPr>
        <w:t xml:space="preserve">, в школах – </w:t>
      </w:r>
      <w:r>
        <w:rPr>
          <w:rFonts w:ascii="PT Astra Serif" w:hAnsi="PT Astra Serif" w:eastAsia="Times New Roman"/>
          <w:sz w:val="24"/>
          <w:szCs w:val="24"/>
        </w:rPr>
        <w:t xml:space="preserve">9 574 </w:t>
      </w:r>
      <w:r>
        <w:rPr>
          <w:rFonts w:ascii="PT Astra Serif" w:hAnsi="PT Astra Serif" w:eastAsia="Times New Roman"/>
          <w:sz w:val="24"/>
          <w:szCs w:val="24"/>
        </w:rPr>
        <w:t xml:space="preserve">человек</w:t>
      </w:r>
      <w:r>
        <w:rPr>
          <w:rFonts w:ascii="PT Astra Serif" w:hAnsi="PT Astra Serif" w:eastAsia="Times New Roman"/>
          <w:sz w:val="24"/>
          <w:szCs w:val="24"/>
        </w:rPr>
        <w:t xml:space="preserve">а</w:t>
      </w:r>
      <w:r>
        <w:rPr>
          <w:rFonts w:ascii="PT Astra Serif" w:hAnsi="PT Astra Serif" w:eastAsia="Times New Roman"/>
          <w:sz w:val="24"/>
          <w:szCs w:val="24"/>
        </w:rPr>
        <w:t xml:space="preserve">, в организациях дополнительного образования – </w:t>
      </w:r>
      <w:r>
        <w:rPr>
          <w:rFonts w:ascii="PT Astra Serif" w:hAnsi="PT Astra Serif" w:eastAsia="Times New Roman"/>
          <w:sz w:val="24"/>
          <w:szCs w:val="24"/>
        </w:rPr>
        <w:t xml:space="preserve">2 192 </w:t>
      </w:r>
      <w:r>
        <w:rPr>
          <w:rFonts w:ascii="PT Astra Serif" w:hAnsi="PT Astra Serif" w:eastAsia="Times New Roman"/>
          <w:sz w:val="24"/>
          <w:szCs w:val="24"/>
        </w:rPr>
        <w:t xml:space="preserve">человек</w:t>
      </w:r>
      <w:r>
        <w:rPr>
          <w:rFonts w:ascii="PT Astra Serif" w:hAnsi="PT Astra Serif" w:eastAsia="Times New Roman"/>
          <w:sz w:val="24"/>
          <w:szCs w:val="24"/>
        </w:rPr>
        <w:t xml:space="preserve">а</w:t>
      </w:r>
      <w:r>
        <w:rPr>
          <w:rFonts w:ascii="PT Astra Serif" w:hAnsi="PT Astra Serif" w:eastAsia="Times New Roman"/>
          <w:sz w:val="24"/>
          <w:szCs w:val="24"/>
        </w:rPr>
        <w:t xml:space="preserve">).</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Для решения вопроса по обеспечению образовательных организаций востребованными кадрами на систематической основе:</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 ежегодно ТГПУ, ТГПК, ТГУ проводят работу с выпускниками в форме встреч с представителями Управлений образования Администраций муниципальных образований;</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 ежегодно Департамент образования Томской области организует работу с ТГПУ по целевому набору/целевому обучению, обсуждению и согласованию контрольных цифр приема;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 ежегодно ТГПУ проводит олимпиаду по педагогике для школьников 9-11</w:t>
      </w:r>
      <w:r>
        <w:rPr>
          <w:rFonts w:ascii="PT Astra Serif" w:hAnsi="PT Astra Serif" w:eastAsia="Times New Roman"/>
          <w:sz w:val="24"/>
          <w:szCs w:val="24"/>
        </w:rPr>
        <w:t xml:space="preserve"> </w:t>
      </w:r>
      <w:r>
        <w:rPr>
          <w:rFonts w:ascii="PT Astra Serif" w:hAnsi="PT Astra Serif" w:eastAsia="Times New Roman"/>
          <w:sz w:val="24"/>
          <w:szCs w:val="24"/>
        </w:rPr>
        <w:t xml:space="preserve">классов, в которой участвуют более 250 школьников Томской области из педагогических классов;</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 Департаментом образования Томской области ведется работа по формированию заказа на контрольные цифры приема в соответствии с потребностью в кадрах для системы общего образования Томской области;</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 по программе «Земский учитель» по итогам конкурсного отбора 14 учителей из регионов Российской Федерации трудоустроились в школы, п</w:t>
      </w:r>
      <w:r>
        <w:rPr>
          <w:rFonts w:ascii="PT Astra Serif" w:hAnsi="PT Astra Serif" w:eastAsia="Times New Roman"/>
          <w:sz w:val="24"/>
          <w:szCs w:val="24"/>
        </w:rPr>
        <w:t xml:space="preserve">олучили выплату в размере 1 млн</w:t>
      </w:r>
      <w:r>
        <w:rPr>
          <w:rFonts w:ascii="PT Astra Serif" w:hAnsi="PT Astra Serif" w:eastAsia="Times New Roman"/>
          <w:sz w:val="24"/>
          <w:szCs w:val="24"/>
        </w:rPr>
        <w:t xml:space="preserve"> рублей.</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 действуют меры материального и социального стимулирования.</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1. Реализация обновленного федерального государственного стандарта основного общего образования в 6</w:t>
      </w:r>
      <w:r>
        <w:rPr>
          <w:rFonts w:ascii="PT Astra Serif" w:hAnsi="PT Astra Serif" w:cstheme="minorBidi"/>
          <w:sz w:val="24"/>
          <w:szCs w:val="24"/>
        </w:rPr>
        <w:t xml:space="preserve">–</w:t>
      </w:r>
      <w:r>
        <w:rPr>
          <w:rFonts w:ascii="PT Astra Serif" w:hAnsi="PT Astra Serif" w:eastAsia="Times New Roman"/>
          <w:sz w:val="24"/>
          <w:szCs w:val="24"/>
        </w:rPr>
        <w:t xml:space="preserve">9</w:t>
      </w:r>
      <w:r>
        <w:rPr>
          <w:rFonts w:ascii="PT Astra Serif" w:hAnsi="PT Astra Serif" w:eastAsia="Times New Roman"/>
          <w:sz w:val="24"/>
          <w:szCs w:val="24"/>
        </w:rPr>
        <w:t xml:space="preserve"> классах, среднего общего образования и федеральных основных общеобразовательных программ.</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2. Завершение строительства и ввод в эксплуатацию здания МБОУ «Саровская СОШ» с размещением 2 групп дошкольного образования на 140 мест (110 ученических мест) в п. Большая Саровка Колпашевского района.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3. Завершение строительства общеобразовательной организации на 1100 мест по ул. В. Высоцкого, 14</w:t>
      </w:r>
      <w:r>
        <w:rPr>
          <w:rFonts w:ascii="PT Astra Serif" w:hAnsi="PT Astra Serif" w:eastAsia="Times New Roman"/>
          <w:sz w:val="24"/>
          <w:szCs w:val="24"/>
        </w:rPr>
        <w:t xml:space="preserve">,</w:t>
      </w:r>
      <w:r>
        <w:rPr>
          <w:rFonts w:ascii="PT Astra Serif" w:hAnsi="PT Astra Serif" w:eastAsia="Times New Roman"/>
          <w:sz w:val="24"/>
          <w:szCs w:val="24"/>
        </w:rPr>
        <w:t xml:space="preserve"> в г. Томске.</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t xml:space="preserve">4. Развитие профильного обучения, ориентированного на реализацию Стратегии социально-экономического развития Томской области до 2030 года, а также </w:t>
      </w:r>
      <w:r>
        <w:rPr>
          <w:rFonts w:ascii="PT Astra Serif" w:hAnsi="PT Astra Serif" w:eastAsia="Times New Roman"/>
          <w:sz w:val="24"/>
          <w:szCs w:val="24"/>
        </w:rPr>
        <w:t xml:space="preserve">на </w:t>
      </w:r>
      <w:r>
        <w:rPr>
          <w:rFonts w:ascii="PT Astra Serif" w:hAnsi="PT Astra Serif" w:eastAsia="Times New Roman"/>
          <w:sz w:val="24"/>
          <w:szCs w:val="24"/>
        </w:rPr>
        <w:t xml:space="preserve">концепци</w:t>
      </w:r>
      <w:r>
        <w:rPr>
          <w:rFonts w:ascii="PT Astra Serif" w:hAnsi="PT Astra Serif" w:eastAsia="Times New Roman"/>
          <w:sz w:val="24"/>
          <w:szCs w:val="24"/>
        </w:rPr>
        <w:t xml:space="preserve">ю</w:t>
      </w:r>
      <w:r>
        <w:rPr>
          <w:rFonts w:ascii="PT Astra Serif" w:hAnsi="PT Astra Serif" w:eastAsia="Times New Roman"/>
          <w:sz w:val="24"/>
          <w:szCs w:val="24"/>
        </w:rPr>
        <w:t xml:space="preserve"> реализации основных промышленных кластеров Томской области, в том числе инженерных и IT-классов.</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shd w:val="clear" w:color="auto" w:fill="eaf1dd" w:themeFill="accent3" w:themeFillTint="33"/>
        <w:tabs>
          <w:tab w:val="left" w:pos="4962" w:leader="none"/>
        </w:tabs>
        <w:rPr>
          <w:rFonts w:ascii="PT Astra Serif" w:hAnsi="PT Astra Serif"/>
          <w:b/>
          <w:sz w:val="24"/>
          <w:szCs w:val="24"/>
        </w:rPr>
      </w:pPr>
      <w:r>
        <w:rPr>
          <w:rFonts w:ascii="PT Astra Serif" w:hAnsi="PT Astra Serif"/>
          <w:b/>
          <w:sz w:val="24"/>
          <w:szCs w:val="24"/>
          <w:shd w:val="clear" w:color="auto" w:fill="eaf1dd" w:themeFill="accent3" w:themeFillTint="33"/>
        </w:rPr>
        <w:t xml:space="preserve">Дополнительное образование</w:t>
      </w:r>
      <w:r>
        <w:rPr>
          <w:rFonts w:ascii="PT Astra Serif" w:hAnsi="PT Astra Serif"/>
          <w:b/>
          <w:sz w:val="24"/>
          <w:szCs w:val="24"/>
        </w:rPr>
      </w:r>
      <w:r>
        <w:rPr>
          <w:rFonts w:ascii="PT Astra Serif" w:hAnsi="PT Astra Serif"/>
          <w:b/>
          <w:sz w:val="24"/>
          <w:szCs w:val="24"/>
        </w:rPr>
      </w:r>
    </w:p>
    <w:p>
      <w:pPr>
        <w:ind w:firstLine="708"/>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В Томской области в 2023 году возможность получения дополнитель</w:t>
      </w:r>
      <w:r>
        <w:rPr>
          <w:rFonts w:ascii="PT Astra Serif" w:hAnsi="PT Astra Serif" w:eastAsia="Times New Roman"/>
          <w:sz w:val="24"/>
          <w:szCs w:val="24"/>
        </w:rPr>
        <w:t xml:space="preserve">ного образования для детей обеспечена государственными, муниципальными и негосударственными организациями сферы образования, а также образовательными учреждениями культуры, спорта. В региональном Навигаторе дополнительного образования детей зарегистрирован</w:t>
      </w:r>
      <w:r>
        <w:rPr>
          <w:rFonts w:ascii="PT Astra Serif" w:hAnsi="PT Astra Serif" w:eastAsia="Times New Roman"/>
          <w:sz w:val="24"/>
          <w:szCs w:val="24"/>
        </w:rPr>
        <w:t xml:space="preserve">а</w:t>
      </w:r>
      <w:r>
        <w:rPr>
          <w:rFonts w:ascii="PT Astra Serif" w:hAnsi="PT Astra Serif" w:eastAsia="Times New Roman"/>
          <w:sz w:val="24"/>
          <w:szCs w:val="24"/>
        </w:rPr>
        <w:t xml:space="preserve"> 641 образовательн</w:t>
      </w:r>
      <w:r>
        <w:rPr>
          <w:rFonts w:ascii="PT Astra Serif" w:hAnsi="PT Astra Serif" w:eastAsia="Times New Roman"/>
          <w:sz w:val="24"/>
          <w:szCs w:val="24"/>
        </w:rPr>
        <w:t xml:space="preserve">ая</w:t>
      </w:r>
      <w:r>
        <w:rPr>
          <w:rFonts w:ascii="PT Astra Serif" w:hAnsi="PT Astra Serif" w:eastAsia="Times New Roman"/>
          <w:sz w:val="24"/>
          <w:szCs w:val="24"/>
        </w:rPr>
        <w:t xml:space="preserve"> организаци</w:t>
      </w:r>
      <w:r>
        <w:rPr>
          <w:rFonts w:ascii="PT Astra Serif" w:hAnsi="PT Astra Serif" w:eastAsia="Times New Roman"/>
          <w:sz w:val="24"/>
          <w:szCs w:val="24"/>
        </w:rPr>
        <w:t xml:space="preserve">я</w:t>
      </w:r>
      <w:r>
        <w:rPr>
          <w:rFonts w:ascii="PT Astra Serif" w:hAnsi="PT Astra Serif" w:eastAsia="Times New Roman"/>
          <w:sz w:val="24"/>
          <w:szCs w:val="24"/>
        </w:rPr>
        <w:t xml:space="preserve">, реализующ</w:t>
      </w:r>
      <w:r>
        <w:rPr>
          <w:rFonts w:ascii="PT Astra Serif" w:hAnsi="PT Astra Serif" w:eastAsia="Times New Roman"/>
          <w:sz w:val="24"/>
          <w:szCs w:val="24"/>
        </w:rPr>
        <w:t xml:space="preserve">ая</w:t>
      </w:r>
      <w:r>
        <w:rPr>
          <w:rFonts w:ascii="PT Astra Serif" w:hAnsi="PT Astra Serif" w:eastAsia="Times New Roman"/>
          <w:sz w:val="24"/>
          <w:szCs w:val="24"/>
        </w:rPr>
        <w:t xml:space="preserve"> дополнительные общеобразовательные программы.</w:t>
      </w:r>
      <w:r>
        <w:rPr>
          <w:rFonts w:ascii="PT Astra Serif" w:hAnsi="PT Astra Serif" w:eastAsia="Times New Roman"/>
          <w:sz w:val="24"/>
          <w:szCs w:val="24"/>
        </w:rPr>
      </w:r>
      <w:r>
        <w:rPr>
          <w:rFonts w:ascii="PT Astra Serif" w:hAnsi="PT Astra Serif" w:eastAsia="Times New Roman"/>
          <w:sz w:val="24"/>
          <w:szCs w:val="24"/>
        </w:rPr>
      </w:r>
    </w:p>
    <w:p>
      <w:pPr>
        <w:ind w:firstLine="708"/>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В регионе продолжается работа в части организационных и инфраструктурных изменений, направленных на развитие региональной системы дополнительного образования в рамках регионального проекта «Успех каждого ребенка».</w:t>
      </w:r>
      <w:r>
        <w:rPr>
          <w:rFonts w:ascii="PT Astra Serif" w:hAnsi="PT Astra Serif" w:eastAsia="Times New Roman"/>
          <w:sz w:val="24"/>
          <w:szCs w:val="24"/>
        </w:rPr>
      </w:r>
      <w:r>
        <w:rPr>
          <w:rFonts w:ascii="PT Astra Serif" w:hAnsi="PT Astra Serif" w:eastAsia="Times New Roman"/>
          <w:sz w:val="24"/>
          <w:szCs w:val="24"/>
        </w:rPr>
      </w:r>
    </w:p>
    <w:p>
      <w:pPr>
        <w:ind w:firstLine="708"/>
        <w:jc w:val="both"/>
        <w:spacing w:after="0" w:line="240" w:lineRule="auto"/>
        <w:rPr>
          <w:rFonts w:ascii="PT Astra Serif" w:hAnsi="PT Astra Serif"/>
          <w:sz w:val="24"/>
          <w:szCs w:val="24"/>
        </w:rPr>
      </w:pPr>
      <w:r>
        <w:rPr>
          <w:rFonts w:ascii="PT Astra Serif" w:hAnsi="PT Astra Serif"/>
          <w:sz w:val="24"/>
          <w:szCs w:val="24"/>
        </w:rPr>
        <w:t xml:space="preserve">В г. Томске функционирует детский технопарк «Кванториум», который включает 8</w:t>
      </w:r>
      <w:r>
        <w:rPr>
          <w:rFonts w:ascii="PT Astra Serif" w:hAnsi="PT Astra Serif"/>
          <w:sz w:val="24"/>
          <w:szCs w:val="24"/>
        </w:rPr>
        <w:t xml:space="preserve"> </w:t>
      </w:r>
      <w:r>
        <w:rPr>
          <w:rFonts w:ascii="PT Astra Serif" w:hAnsi="PT Astra Serif"/>
          <w:sz w:val="24"/>
          <w:szCs w:val="24"/>
        </w:rPr>
        <w:t xml:space="preserve">направлений: «Аэроквантум», «IT-квантум», «Геоквантум», «VR/AR-квантум», «Биоквантум», «Робоквантум», «Промышленный дизайн», «Космоквантум». Ежегодно по дополнительным общеобразовательным программ</w:t>
      </w:r>
      <w:r>
        <w:rPr>
          <w:rFonts w:ascii="PT Astra Serif" w:hAnsi="PT Astra Serif"/>
          <w:sz w:val="24"/>
          <w:szCs w:val="24"/>
        </w:rPr>
        <w:t xml:space="preserve">ам проходит обучение более 2000 </w:t>
      </w:r>
      <w:r>
        <w:rPr>
          <w:rFonts w:ascii="PT Astra Serif" w:hAnsi="PT Astra Serif"/>
          <w:sz w:val="24"/>
          <w:szCs w:val="24"/>
        </w:rPr>
        <w:t xml:space="preserve">человек. </w:t>
      </w:r>
      <w:r>
        <w:rPr>
          <w:rFonts w:ascii="PT Astra Serif" w:hAnsi="PT Astra Serif"/>
          <w:sz w:val="24"/>
          <w:szCs w:val="24"/>
        </w:rPr>
      </w:r>
      <w:r>
        <w:rPr>
          <w:rFonts w:ascii="PT Astra Serif" w:hAnsi="PT Astra Serif"/>
          <w:sz w:val="24"/>
          <w:szCs w:val="24"/>
        </w:rPr>
      </w:r>
    </w:p>
    <w:p>
      <w:pPr>
        <w:contextualSpacing/>
        <w:jc w:val="center"/>
        <w:spacing w:after="0" w:line="240" w:lineRule="auto"/>
        <w:rPr>
          <w:rFonts w:ascii="PT Astra Serif" w:hAnsi="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В мероприятиях АНО ДО «Детский технопарк «Кванториум» приняли участие </w:t>
      </w:r>
      <w:r>
        <w:rPr>
          <w:rFonts w:ascii="PT Astra Serif" w:hAnsi="PT Astra Serif"/>
          <w:b/>
          <w:sz w:val="24"/>
          <w:szCs w:val="24"/>
        </w:rPr>
      </w:r>
      <w:r>
        <w:rPr>
          <w:rFonts w:ascii="PT Astra Serif" w:hAnsi="PT Astra Serif"/>
          <w:b/>
          <w:sz w:val="24"/>
          <w:szCs w:val="24"/>
        </w:rPr>
      </w:r>
    </w:p>
    <w:p>
      <w:pPr>
        <w:contextualSpacing/>
        <w:jc w:val="center"/>
        <w:spacing w:after="0" w:line="240" w:lineRule="auto"/>
        <w:rPr>
          <w:rFonts w:ascii="PT Astra Serif" w:hAnsi="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7 365 детей, из них 3 017 - в мероприятиях Мобильного Кванториума</w:t>
      </w:r>
      <w:r>
        <w:rPr>
          <w:rFonts w:ascii="PT Astra Serif" w:hAnsi="PT Astra Serif"/>
          <w:b/>
          <w:sz w:val="24"/>
          <w:szCs w:val="24"/>
        </w:rPr>
      </w:r>
      <w:r>
        <w:rPr>
          <w:rFonts w:ascii="PT Astra Serif" w:hAnsi="PT Astra Serif"/>
          <w:b/>
          <w:sz w:val="24"/>
          <w:szCs w:val="24"/>
        </w:rPr>
      </w:r>
    </w:p>
    <w:p>
      <w:pPr>
        <w:ind w:firstLine="708"/>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sz w:val="24"/>
          <w:szCs w:val="24"/>
        </w:rPr>
      </w:pPr>
      <w:r>
        <w:rPr>
          <w:rFonts w:ascii="PT Astra Serif" w:hAnsi="PT Astra Serif"/>
          <w:sz w:val="24"/>
          <w:szCs w:val="24"/>
        </w:rPr>
        <w:t xml:space="preserve">В 2023 году продолжили работу Центры </w:t>
      </w:r>
      <w:r>
        <w:rPr>
          <w:rFonts w:ascii="PT Astra Serif" w:hAnsi="PT Astra Serif"/>
          <w:sz w:val="24"/>
          <w:szCs w:val="24"/>
        </w:rPr>
        <w:t xml:space="preserve">цифрового образования детей «IT-куб» (г. Томск, Асино, ЗАТО Северск) в сотрудничестве с федеральными и региональными партнерами: Яндекс.лицей и IT-школа Самсунг, ООО «РУБИУС ГРУПП» ФГУП ВПО ТУСУР. Ежегодно по программам допобразования обучается 400 детей, </w:t>
      </w:r>
      <w:r>
        <w:rPr>
          <w:rFonts w:ascii="PT Astra Serif" w:hAnsi="PT Astra Serif"/>
          <w:sz w:val="24"/>
          <w:szCs w:val="24"/>
        </w:rPr>
        <w:t xml:space="preserve">охват мероприятиями – 1 500 человек.</w:t>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sz w:val="24"/>
          <w:szCs w:val="24"/>
        </w:rPr>
      </w:pPr>
      <w:r>
        <w:rPr>
          <w:rFonts w:ascii="PT Astra Serif" w:hAnsi="PT Astra Serif"/>
          <w:sz w:val="24"/>
          <w:szCs w:val="24"/>
        </w:rPr>
        <w:t xml:space="preserve">Вовлечено в </w:t>
      </w:r>
      <w:r>
        <w:rPr>
          <w:rFonts w:ascii="PT Astra Serif" w:hAnsi="PT Astra Serif"/>
          <w:sz w:val="24"/>
          <w:szCs w:val="24"/>
        </w:rPr>
        <w:t xml:space="preserve">мероприятия по развитию научно-технического творчества и естественно-научного направления (кружковое движение, НТО) – 25 067 обучающихся образовательных организаций Томской области, из них в Национальной технологической олимпиаде состоялось 5763 регистраци</w:t>
      </w:r>
      <w:r>
        <w:rPr>
          <w:rFonts w:ascii="PT Astra Serif" w:hAnsi="PT Astra Serif"/>
          <w:sz w:val="24"/>
          <w:szCs w:val="24"/>
        </w:rPr>
        <w:t xml:space="preserve">и</w:t>
      </w:r>
      <w:r>
        <w:rPr>
          <w:rFonts w:ascii="PT Astra Serif" w:hAnsi="PT Astra Serif"/>
          <w:sz w:val="24"/>
          <w:szCs w:val="24"/>
        </w:rPr>
        <w:t xml:space="preserve"> учеников 8</w:t>
      </w:r>
      <w:r>
        <w:rPr>
          <w:rFonts w:ascii="PT Astra Serif" w:hAnsi="PT Astra Serif" w:cstheme="minorBidi"/>
          <w:sz w:val="24"/>
          <w:szCs w:val="24"/>
        </w:rPr>
        <w:t xml:space="preserve">–</w:t>
      </w:r>
      <w:r>
        <w:rPr>
          <w:rFonts w:ascii="PT Astra Serif" w:hAnsi="PT Astra Serif"/>
          <w:sz w:val="24"/>
          <w:szCs w:val="24"/>
        </w:rPr>
        <w:t xml:space="preserve">11 классов и 1288 регистраций учеников 5</w:t>
      </w:r>
      <w:r>
        <w:rPr>
          <w:rFonts w:ascii="PT Astra Serif" w:hAnsi="PT Astra Serif" w:cstheme="minorBidi"/>
          <w:sz w:val="24"/>
          <w:szCs w:val="24"/>
        </w:rPr>
        <w:t xml:space="preserve">–</w:t>
      </w:r>
      <w:r>
        <w:rPr>
          <w:rFonts w:ascii="PT Astra Serif" w:hAnsi="PT Astra Serif"/>
          <w:sz w:val="24"/>
          <w:szCs w:val="24"/>
        </w:rPr>
        <w:t xml:space="preserve">7 классов. Победителями и призерами Финалов НТО стали 34 человека.</w:t>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strike/>
          <w:sz w:val="24"/>
          <w:szCs w:val="24"/>
        </w:rPr>
      </w:pPr>
      <w:r>
        <w:rPr>
          <w:rFonts w:ascii="PT Astra Serif" w:hAnsi="PT Astra Serif"/>
          <w:sz w:val="24"/>
          <w:szCs w:val="24"/>
        </w:rPr>
        <w:t xml:space="preserve">В 2023 году детский технопарк получил грантовую поддержку проекта «Технопредки» Администрации Томской области, Федера</w:t>
      </w:r>
      <w:r>
        <w:rPr>
          <w:rFonts w:ascii="PT Astra Serif" w:hAnsi="PT Astra Serif"/>
          <w:sz w:val="24"/>
          <w:szCs w:val="24"/>
        </w:rPr>
        <w:t xml:space="preserve">льного агентства по делам молоде</w:t>
      </w:r>
      <w:r>
        <w:rPr>
          <w:rFonts w:ascii="PT Astra Serif" w:hAnsi="PT Astra Serif"/>
          <w:sz w:val="24"/>
          <w:szCs w:val="24"/>
        </w:rPr>
        <w:t xml:space="preserve">жи и РДДМ «Движение Первых». В рамках фестиваля «Технопредки» для более чем 4000 детей и взрослых в г. Томске были открыты зоны: образовательная (мастер-кла</w:t>
      </w:r>
      <w:r>
        <w:rPr>
          <w:rFonts w:ascii="PT Astra Serif" w:hAnsi="PT Astra Serif"/>
          <w:sz w:val="24"/>
          <w:szCs w:val="24"/>
        </w:rPr>
        <w:t xml:space="preserve">ссы и игры); выставочная (площадки томских компаний и образовательных организаций, выставка проектов школьников-кванторианцев), соревновательная (семейные состязания по беспилотникам и робототехнике, хакатон инженерного проектирования и конструирования), л</w:t>
      </w:r>
      <w:r>
        <w:rPr>
          <w:rFonts w:ascii="PT Astra Serif" w:hAnsi="PT Astra Serif"/>
          <w:sz w:val="24"/>
          <w:szCs w:val="24"/>
        </w:rPr>
        <w:t xml:space="preserve">екторий (лекции от спикеров из Томска, Красноярска, Москвы, в том числе из Российского общества «Знание»), организованы экскурсии в научные институты томского Академгородка, Особую экономическую зону и в Музей истории и достижений «Газпром трансгаз Томск».</w:t>
      </w:r>
      <w:r>
        <w:rPr>
          <w:rFonts w:ascii="PT Astra Serif" w:hAnsi="PT Astra Serif"/>
          <w:strike/>
          <w:sz w:val="24"/>
          <w:szCs w:val="24"/>
        </w:rPr>
      </w:r>
      <w:r>
        <w:rPr>
          <w:rFonts w:ascii="PT Astra Serif" w:hAnsi="PT Astra Serif"/>
          <w:strike/>
          <w:sz w:val="24"/>
          <w:szCs w:val="24"/>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jc w:val="center"/>
        <w:spacing w:after="0" w:line="240" w:lineRule="auto"/>
        <w:rPr>
          <w:rFonts w:ascii="PT Astra Serif" w:hAnsi="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Общий охват обучающихся дополнительным образованием по состоянию конец года составил 79,7% (плановое значение – 7</w:t>
      </w:r>
      <w:r>
        <w:rPr>
          <w:rFonts w:ascii="PT Astra Serif" w:hAnsi="PT Astra Serif"/>
          <w:b/>
          <w:sz w:val="24"/>
          <w:szCs w:val="24"/>
        </w:rPr>
        <w:t xml:space="preserve">9,3</w:t>
      </w:r>
      <w:r>
        <w:rPr>
          <w:rFonts w:ascii="PT Astra Serif" w:hAnsi="PT Astra Serif"/>
          <w:b/>
          <w:sz w:val="24"/>
          <w:szCs w:val="24"/>
        </w:rPr>
        <w:t xml:space="preserve">%), </w:t>
      </w:r>
      <w:r>
        <w:rPr>
          <w:rFonts w:ascii="PT Astra Serif" w:hAnsi="PT Astra Serif"/>
          <w:b/>
          <w:sz w:val="24"/>
          <w:szCs w:val="24"/>
        </w:rPr>
      </w:r>
      <w:r>
        <w:rPr>
          <w:rFonts w:ascii="PT Astra Serif" w:hAnsi="PT Astra Serif"/>
          <w:b/>
          <w:sz w:val="24"/>
          <w:szCs w:val="24"/>
        </w:rPr>
      </w:r>
    </w:p>
    <w:p>
      <w:pPr>
        <w:contextualSpacing/>
        <w:jc w:val="center"/>
        <w:spacing w:after="0" w:line="240" w:lineRule="auto"/>
        <w:rPr>
          <w:rFonts w:ascii="PT Astra Serif" w:hAnsi="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доля детей, охваченных программами технической и естественно-научной направленности, </w:t>
      </w:r>
      <w:r>
        <w:rPr>
          <w:rFonts w:ascii="PT Astra Serif" w:hAnsi="PT Astra Serif" w:cstheme="minorBidi"/>
          <w:b/>
          <w:sz w:val="24"/>
          <w:szCs w:val="24"/>
        </w:rPr>
        <w:t xml:space="preserve">–</w:t>
      </w:r>
      <w:r>
        <w:rPr>
          <w:rFonts w:ascii="PT Astra Serif" w:hAnsi="PT Astra Serif"/>
          <w:b/>
          <w:sz w:val="24"/>
          <w:szCs w:val="24"/>
        </w:rPr>
        <w:t xml:space="preserve"> 38,3% (плановое значение –</w:t>
      </w:r>
      <w:r>
        <w:rPr>
          <w:rFonts w:ascii="PT Astra Serif" w:hAnsi="PT Astra Serif"/>
          <w:b/>
          <w:sz w:val="24"/>
          <w:szCs w:val="24"/>
        </w:rPr>
        <w:t xml:space="preserve"> </w:t>
      </w:r>
      <w:r>
        <w:rPr>
          <w:rFonts w:ascii="PT Astra Serif" w:hAnsi="PT Astra Serif"/>
          <w:b/>
          <w:sz w:val="24"/>
          <w:szCs w:val="24"/>
        </w:rPr>
        <w:t xml:space="preserve">24%)</w:t>
      </w:r>
      <w:r>
        <w:rPr>
          <w:rFonts w:ascii="PT Astra Serif" w:hAnsi="PT Astra Serif"/>
          <w:b/>
          <w:sz w:val="24"/>
          <w:szCs w:val="24"/>
        </w:rPr>
      </w:r>
      <w:r>
        <w:rPr>
          <w:rFonts w:ascii="PT Astra Serif" w:hAnsi="PT Astra Serif"/>
          <w:b/>
          <w:sz w:val="24"/>
          <w:szCs w:val="24"/>
        </w:rPr>
      </w:r>
    </w:p>
    <w:p>
      <w:pPr>
        <w:ind w:firstLine="708"/>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sz w:val="24"/>
          <w:szCs w:val="24"/>
        </w:rPr>
      </w:pPr>
      <w:r>
        <w:rPr>
          <w:rFonts w:ascii="PT Astra Serif" w:hAnsi="PT Astra Serif"/>
          <w:sz w:val="24"/>
          <w:szCs w:val="24"/>
        </w:rPr>
        <w:t xml:space="preserve">В 2023 г</w:t>
      </w:r>
      <w:r>
        <w:rPr>
          <w:rFonts w:ascii="PT Astra Serif" w:hAnsi="PT Astra Serif"/>
          <w:sz w:val="24"/>
          <w:szCs w:val="24"/>
        </w:rPr>
        <w:t xml:space="preserve">оду</w:t>
      </w:r>
      <w:r>
        <w:rPr>
          <w:rFonts w:ascii="PT Astra Serif" w:hAnsi="PT Astra Serif"/>
          <w:sz w:val="24"/>
          <w:szCs w:val="24"/>
        </w:rPr>
        <w:t xml:space="preserve"> в Томской области открыт региональный центр развития талантов «Пульсар». Центром проведе</w:t>
      </w:r>
      <w:r>
        <w:rPr>
          <w:rFonts w:ascii="PT Astra Serif" w:hAnsi="PT Astra Serif"/>
          <w:sz w:val="24"/>
          <w:szCs w:val="24"/>
        </w:rPr>
        <w:t xml:space="preserve">ны 13 профильных региональных интенсивных смен, реализованы 16 программ продвинутого уровня по направлениям: наука, искусство, спорт, предпринимательство, по программам завершили обучение 664 школьника, реализованы 11 программ стажировок для 68 педагогов. </w:t>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sz w:val="24"/>
          <w:szCs w:val="24"/>
        </w:rPr>
      </w:pPr>
      <w:r>
        <w:rPr>
          <w:rFonts w:ascii="PT Astra Serif" w:hAnsi="PT Astra Serif"/>
          <w:sz w:val="24"/>
          <w:szCs w:val="24"/>
        </w:rPr>
        <w:t xml:space="preserve">В целях создания всевозможных условий </w:t>
      </w:r>
      <w:r>
        <w:rPr>
          <w:rFonts w:ascii="PT Astra Serif" w:hAnsi="PT Astra Serif"/>
          <w:sz w:val="24"/>
          <w:szCs w:val="24"/>
        </w:rPr>
        <w:t xml:space="preserve">для вовлечения детей в знакомство со своей малой и большой Родиной в 2023 году была принята межведомственная программа развития Детско-юношеского туризма. В 2023 году в походах побывали 11 285 обучающихся, приняли участие в экскурсиях более 40 000 человек.</w:t>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sz w:val="24"/>
          <w:szCs w:val="24"/>
        </w:rPr>
      </w:pPr>
      <w:r>
        <w:rPr>
          <w:rFonts w:ascii="PT Astra Serif" w:hAnsi="PT Astra Serif"/>
          <w:sz w:val="24"/>
          <w:szCs w:val="24"/>
        </w:rPr>
        <w:t xml:space="preserve">В 2023 г</w:t>
      </w:r>
      <w:r>
        <w:rPr>
          <w:rFonts w:ascii="PT Astra Serif" w:hAnsi="PT Astra Serif"/>
          <w:sz w:val="24"/>
          <w:szCs w:val="24"/>
        </w:rPr>
        <w:t xml:space="preserve">оду</w:t>
      </w:r>
      <w:r>
        <w:rPr>
          <w:rFonts w:ascii="PT Astra Serif" w:hAnsi="PT Astra Serif"/>
          <w:sz w:val="24"/>
          <w:szCs w:val="24"/>
        </w:rPr>
        <w:t xml:space="preserve"> на уровне региона вручены 310 премий для поддержки </w:t>
      </w:r>
      <w:r>
        <w:rPr>
          <w:rFonts w:ascii="PT Astra Serif" w:hAnsi="PT Astra Serif"/>
          <w:sz w:val="24"/>
          <w:szCs w:val="24"/>
        </w:rPr>
        <w:t xml:space="preserve">талантливых школьников. Из областного бюджета впервые выделена субсидия на финансовое обеспечение расходов на участие детей и сопровождающих их лиц в межрегиональных, всероссийских и международных мероприятиях, что позволило обеспечить участие 446 обучающи</w:t>
      </w:r>
      <w:r>
        <w:rPr>
          <w:rFonts w:ascii="PT Astra Serif" w:hAnsi="PT Astra Serif"/>
          <w:sz w:val="24"/>
          <w:szCs w:val="24"/>
        </w:rPr>
        <w:t xml:space="preserve">м</w:t>
      </w:r>
      <w:r>
        <w:rPr>
          <w:rFonts w:ascii="PT Astra Serif" w:hAnsi="PT Astra Serif"/>
          <w:sz w:val="24"/>
          <w:szCs w:val="24"/>
        </w:rPr>
        <w:t xml:space="preserve">ся и 96 сопровождающи</w:t>
      </w:r>
      <w:r>
        <w:rPr>
          <w:rFonts w:ascii="PT Astra Serif" w:hAnsi="PT Astra Serif"/>
          <w:sz w:val="24"/>
          <w:szCs w:val="24"/>
        </w:rPr>
        <w:t xml:space="preserve">м</w:t>
      </w:r>
      <w:r>
        <w:rPr>
          <w:rFonts w:ascii="PT Astra Serif" w:hAnsi="PT Astra Serif"/>
          <w:sz w:val="24"/>
          <w:szCs w:val="24"/>
        </w:rPr>
        <w:t xml:space="preserve"> в мероприятиях всероссийского и международного уровня.</w:t>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sz w:val="24"/>
          <w:szCs w:val="24"/>
        </w:rPr>
      </w:pPr>
      <w:r>
        <w:rPr>
          <w:rFonts w:ascii="PT Astra Serif" w:hAnsi="PT Astra Serif"/>
          <w:sz w:val="24"/>
          <w:szCs w:val="24"/>
        </w:rPr>
        <w:t xml:space="preserve">В 2023 году 11 финалистов от Томской области стали победителями и призерами Всероссийского конкурса для школьников «Большая перемена» – проекта Президентской платформы «Россия – страна возможностей» (МАОУ Гуманитарный лицей г. Томска, МАОУ лицей №</w:t>
      </w:r>
      <w:r>
        <w:rPr>
          <w:rFonts w:ascii="PT Astra Serif" w:hAnsi="PT Astra Serif"/>
          <w:sz w:val="24"/>
          <w:szCs w:val="24"/>
        </w:rPr>
        <w:t xml:space="preserve"> </w:t>
      </w:r>
      <w:r>
        <w:rPr>
          <w:rFonts w:ascii="PT Astra Serif" w:hAnsi="PT Astra Serif"/>
          <w:sz w:val="24"/>
          <w:szCs w:val="24"/>
        </w:rPr>
        <w:t xml:space="preserve">8 имени Н.Н. Рукавишникова г. Томска, МОУ «СОШ № 5 г.о. Стрежевой», МАОУ Гимназия № 6 г. Томска, МБОУ «Самусьский лицей имени академика В.В. Пекарского» ЗАТО Северск, МОУ «СОШ № 4» г.о. Стрежевой</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На основе федерального проекта «Патриотическое воспитание граждан Российской Федерации», Стратегии развития воспитания в Российской Федерации на период до 2025 года выстраивается комплексная работа по воспитанию обучающихся Томской области.</w:t>
      </w:r>
      <w:r>
        <w:rPr>
          <w:rFonts w:ascii="PT Astra Serif" w:hAnsi="PT Astra Serif" w:eastAsia="Times New Roman"/>
          <w:sz w:val="24"/>
          <w:szCs w:val="24"/>
        </w:rPr>
      </w:r>
      <w:r>
        <w:rPr>
          <w:rFonts w:ascii="PT Astra Serif" w:hAnsi="PT Astra Serif" w:eastAsia="Times New Roman"/>
          <w:sz w:val="24"/>
          <w:szCs w:val="24"/>
        </w:rPr>
      </w:r>
    </w:p>
    <w:p>
      <w:pPr>
        <w:ind w:firstLine="708"/>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Рабочие программы воспи</w:t>
      </w:r>
      <w:r>
        <w:rPr>
          <w:rFonts w:ascii="PT Astra Serif" w:hAnsi="PT Astra Serif" w:eastAsia="Times New Roman"/>
          <w:sz w:val="24"/>
          <w:szCs w:val="24"/>
        </w:rPr>
        <w:t xml:space="preserve">тания внедрены в 100% общеобразовательных организаций и организациях дошкольного образования. 242 общеобразовательными организациями обеспечивается деятельность 266 Советников директора по воспитанию и взаимодействию с детскими общественными объединениями.</w:t>
      </w:r>
      <w:r>
        <w:rPr>
          <w:rFonts w:ascii="PT Astra Serif" w:hAnsi="PT Astra Serif" w:eastAsia="Times New Roman"/>
          <w:sz w:val="24"/>
          <w:szCs w:val="24"/>
        </w:rPr>
      </w:r>
      <w:r>
        <w:rPr>
          <w:rFonts w:ascii="PT Astra Serif" w:hAnsi="PT Astra Serif" w:eastAsia="Times New Roman"/>
          <w:sz w:val="24"/>
          <w:szCs w:val="24"/>
        </w:rPr>
      </w:r>
    </w:p>
    <w:p>
      <w:pPr>
        <w:ind w:firstLine="708"/>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В 2023 году продолжена реализация Регионального проекта «Развитие гражданского образования в образовательных организациях Томской области на 2021</w:t>
      </w:r>
      <w:r>
        <w:rPr>
          <w:rFonts w:ascii="PT Astra Serif" w:hAnsi="PT Astra Serif" w:cstheme="minorBidi"/>
          <w:sz w:val="24"/>
          <w:szCs w:val="24"/>
        </w:rPr>
        <w:t xml:space="preserve">–</w:t>
      </w:r>
      <w:r>
        <w:rPr>
          <w:rFonts w:ascii="PT Astra Serif" w:hAnsi="PT Astra Serif" w:eastAsia="Times New Roman"/>
          <w:sz w:val="24"/>
          <w:szCs w:val="24"/>
        </w:rPr>
        <w:t xml:space="preserve">2025 годы». В рамках проекта действует региональная сеть из 49 Центров гражданского образования (ЦГО, Центр) на базе 45 общеобразовательных организаций и 4 организаций дополнительного образования в 14 муниципальных образованиях Томской области. </w:t>
      </w:r>
      <w:r>
        <w:rPr>
          <w:rFonts w:ascii="PT Astra Serif" w:hAnsi="PT Astra Serif" w:eastAsia="Times New Roman"/>
          <w:sz w:val="24"/>
          <w:szCs w:val="24"/>
        </w:rPr>
      </w:r>
      <w:r>
        <w:rPr>
          <w:rFonts w:ascii="PT Astra Serif" w:hAnsi="PT Astra Serif" w:eastAsia="Times New Roman"/>
          <w:sz w:val="24"/>
          <w:szCs w:val="24"/>
        </w:rPr>
      </w:r>
    </w:p>
    <w:p>
      <w:pPr>
        <w:ind w:firstLine="708"/>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Трудовое воспитание и ранняя профориентация школьников в 2023 году продолжалась в рамках всероссийских проектов «Билет в будущее», «Проектория», «Уроки цифры» и региональных проектов в формате весенних и осенних профориентационных кампаний. </w:t>
      </w:r>
      <w:r>
        <w:rPr>
          <w:rFonts w:ascii="PT Astra Serif" w:hAnsi="PT Astra Serif" w:eastAsia="Times New Roman"/>
          <w:sz w:val="24"/>
          <w:szCs w:val="24"/>
        </w:rPr>
      </w:r>
      <w:r>
        <w:rPr>
          <w:rFonts w:ascii="PT Astra Serif" w:hAnsi="PT Astra Serif" w:eastAsia="Times New Roman"/>
          <w:sz w:val="24"/>
          <w:szCs w:val="24"/>
        </w:rPr>
      </w:r>
    </w:p>
    <w:p>
      <w:pPr>
        <w:ind w:firstLine="708"/>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В 2023 году продолжена работа по пропаганде традиционных российских духовно-нравственных ценностей, сохранению исторической памяти, формированию чувства патриотизма и гражданственности. В рамках проведени</w:t>
      </w:r>
      <w:r>
        <w:rPr>
          <w:rFonts w:ascii="PT Astra Serif" w:hAnsi="PT Astra Serif" w:eastAsia="Times New Roman"/>
          <w:sz w:val="24"/>
          <w:szCs w:val="24"/>
        </w:rPr>
        <w:t xml:space="preserve">я «Дней славянской письменности и культуры» проведено более 150 мероприятий, в которых приняли участие 24 907 обучающихся. В областной историко-патриотической конференции обучающихся образовательных организаций Томской области приняло участие 318 человек. </w:t>
      </w:r>
      <w:r>
        <w:rPr>
          <w:rFonts w:ascii="PT Astra Serif" w:hAnsi="PT Astra Serif" w:eastAsia="Times New Roman"/>
          <w:sz w:val="24"/>
          <w:szCs w:val="24"/>
        </w:rPr>
      </w:r>
      <w:r>
        <w:rPr>
          <w:rFonts w:ascii="PT Astra Serif" w:hAnsi="PT Astra Serif" w:eastAsia="Times New Roman"/>
          <w:sz w:val="24"/>
          <w:szCs w:val="24"/>
        </w:rPr>
      </w:r>
    </w:p>
    <w:p>
      <w:pPr>
        <w:ind w:firstLine="708"/>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В общеобразовательных организациях проводятся культурно-массовые и просветительские мероприятия, направленные на гармонизацию межэтнических отношений, формирование толеран</w:t>
      </w:r>
      <w:r>
        <w:rPr>
          <w:rFonts w:ascii="PT Astra Serif" w:hAnsi="PT Astra Serif" w:eastAsia="Times New Roman"/>
          <w:sz w:val="24"/>
          <w:szCs w:val="24"/>
        </w:rPr>
        <w:t xml:space="preserve">тного отношения к людям других национальностей и религиозных концессий на основе ценностей многонационального российского общества, культурного самосознания, принципов соблюдения прав и свобод человека (IX областной конкурс семейных генеалогических исследо</w:t>
      </w:r>
      <w:r>
        <w:rPr>
          <w:rFonts w:ascii="PT Astra Serif" w:hAnsi="PT Astra Serif" w:eastAsia="Times New Roman"/>
          <w:sz w:val="24"/>
          <w:szCs w:val="24"/>
        </w:rPr>
        <w:t xml:space="preserve">ваний «Мои этнические корни», областной фестиваль юных исполнителей, посвященный 100-летию Р. Гамзатова, областной конкурс детских творческих работ «Мир глазами детей», который стал Региональным этапом Всероссийского фестиваля «Наследники традиций» и др.).</w:t>
      </w:r>
      <w:r>
        <w:rPr>
          <w:rFonts w:ascii="PT Astra Serif" w:hAnsi="PT Astra Serif" w:eastAsia="Times New Roman"/>
          <w:sz w:val="24"/>
          <w:szCs w:val="24"/>
        </w:rPr>
      </w:r>
      <w:r>
        <w:rPr>
          <w:rFonts w:ascii="PT Astra Serif" w:hAnsi="PT Astra Serif" w:eastAsia="Times New Roman"/>
          <w:sz w:val="24"/>
          <w:szCs w:val="24"/>
        </w:rPr>
      </w:r>
    </w:p>
    <w:p>
      <w:pPr>
        <w:ind w:firstLine="708"/>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С 2022</w:t>
      </w:r>
      <w:r>
        <w:rPr>
          <w:rFonts w:ascii="PT Astra Serif" w:hAnsi="PT Astra Serif" w:cstheme="minorBidi"/>
          <w:sz w:val="24"/>
          <w:szCs w:val="24"/>
        </w:rPr>
        <w:t xml:space="preserve">–</w:t>
      </w:r>
      <w:r>
        <w:rPr>
          <w:rFonts w:ascii="PT Astra Serif" w:hAnsi="PT Astra Serif" w:eastAsia="Times New Roman"/>
          <w:sz w:val="24"/>
          <w:szCs w:val="24"/>
        </w:rPr>
        <w:t xml:space="preserve">2023 учебного года во всех общеобразовательных ор</w:t>
      </w:r>
      <w:r>
        <w:rPr>
          <w:rFonts w:ascii="PT Astra Serif" w:hAnsi="PT Astra Serif" w:eastAsia="Times New Roman"/>
          <w:sz w:val="24"/>
          <w:szCs w:val="24"/>
        </w:rPr>
        <w:t xml:space="preserve">ганизациях Томской области в рамках внеурочной деятельности реализуется цикл занятий «Разговоры о важном», в рамках которых проведены занятия по темам: «День российской науки», «Россия в мире», «День защитника Отечества», «Традиционные семейные ценности». </w:t>
      </w:r>
      <w:r>
        <w:rPr>
          <w:rFonts w:ascii="PT Astra Serif" w:hAnsi="PT Astra Serif" w:eastAsia="Times New Roman"/>
          <w:sz w:val="24"/>
          <w:szCs w:val="24"/>
        </w:rPr>
      </w:r>
      <w:r>
        <w:rPr>
          <w:rFonts w:ascii="PT Astra Serif" w:hAnsi="PT Astra Serif" w:eastAsia="Times New Roman"/>
          <w:sz w:val="24"/>
          <w:szCs w:val="24"/>
        </w:rPr>
      </w:r>
    </w:p>
    <w:p>
      <w:pPr>
        <w:ind w:firstLine="708"/>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С целью выявления лучших практик воспитательной работы проведены конкурсы профессионального мастерства «Классный руководитель» и «Воспитать человека».</w:t>
      </w:r>
      <w:r>
        <w:rPr>
          <w:rFonts w:ascii="PT Astra Serif" w:hAnsi="PT Astra Serif" w:eastAsia="Times New Roman"/>
          <w:sz w:val="24"/>
          <w:szCs w:val="24"/>
        </w:rPr>
      </w:r>
      <w:r>
        <w:rPr>
          <w:rFonts w:ascii="PT Astra Serif" w:hAnsi="PT Astra Serif" w:eastAsia="Times New Roman"/>
          <w:sz w:val="24"/>
          <w:szCs w:val="24"/>
        </w:rPr>
      </w:r>
    </w:p>
    <w:p>
      <w:pPr>
        <w:ind w:firstLine="708"/>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В области реализации</w:t>
      </w:r>
      <w:r>
        <w:rPr>
          <w:rFonts w:ascii="PT Astra Serif" w:hAnsi="PT Astra Serif" w:eastAsia="Times New Roman"/>
          <w:sz w:val="24"/>
          <w:szCs w:val="24"/>
        </w:rPr>
        <w:t xml:space="preserve"> программы воспитания в школе с целью совершенствования профессиональных компетенций ОГБУ ДПО «Томский областной институт повышения квалификации и переподготовки работников образования» проведены курсы повышения квалификации «Обучение и воспитание детей с </w:t>
      </w:r>
      <w:r>
        <w:rPr>
          <w:rFonts w:ascii="PT Astra Serif" w:hAnsi="PT Astra Serif" w:eastAsia="Times New Roman"/>
          <w:sz w:val="24"/>
          <w:szCs w:val="24"/>
        </w:rPr>
        <w:t xml:space="preserve">расстройствами аутистического спектра</w:t>
      </w:r>
      <w:r>
        <w:rPr>
          <w:rFonts w:ascii="PT Astra Serif" w:hAnsi="PT Astra Serif" w:eastAsia="Times New Roman"/>
          <w:sz w:val="24"/>
          <w:szCs w:val="24"/>
        </w:rPr>
        <w:t xml:space="preserve"> в условиях обновления образовательного пространства».</w:t>
      </w:r>
      <w:r>
        <w:rPr>
          <w:rFonts w:ascii="PT Astra Serif" w:hAnsi="PT Astra Serif" w:eastAsia="Times New Roman"/>
          <w:sz w:val="24"/>
          <w:szCs w:val="24"/>
        </w:rPr>
      </w:r>
      <w:r>
        <w:rPr>
          <w:rFonts w:ascii="PT Astra Serif" w:hAnsi="PT Astra Serif" w:eastAsia="Times New Roman"/>
          <w:sz w:val="24"/>
          <w:szCs w:val="24"/>
        </w:rPr>
      </w:r>
    </w:p>
    <w:p>
      <w:pPr>
        <w:ind w:firstLine="708"/>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8"/>
        <w:jc w:val="both"/>
        <w:spacing w:after="0" w:line="240" w:lineRule="auto"/>
        <w:rPr>
          <w:rFonts w:ascii="PT Astra Serif" w:hAnsi="PT Astra Serif"/>
          <w:sz w:val="24"/>
          <w:szCs w:val="24"/>
        </w:rPr>
      </w:pPr>
      <w:r>
        <w:rPr>
          <w:rFonts w:ascii="PT Astra Serif" w:hAnsi="PT Astra Serif"/>
          <w:sz w:val="24"/>
          <w:szCs w:val="24"/>
        </w:rPr>
        <w:t xml:space="preserve">1. Развитие профессионального мастерства педагогов дополнительного образования, развитие образовательной среды, в том числе на основе магистральных направлений проекта «Школа Минпросвещения».</w:t>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strike/>
          <w:sz w:val="24"/>
          <w:szCs w:val="24"/>
        </w:rPr>
      </w:pPr>
      <w:r>
        <w:rPr>
          <w:rFonts w:ascii="PT Astra Serif" w:hAnsi="PT Astra Serif"/>
          <w:sz w:val="24"/>
          <w:szCs w:val="24"/>
        </w:rPr>
        <w:t xml:space="preserve">2. Цифровая трансформация сферы дополнительного образования детей.</w:t>
      </w:r>
      <w:r>
        <w:rPr>
          <w:rFonts w:ascii="PT Astra Serif" w:hAnsi="PT Astra Serif"/>
          <w:strike/>
          <w:sz w:val="24"/>
          <w:szCs w:val="24"/>
        </w:rPr>
      </w:r>
      <w:r>
        <w:rPr>
          <w:rFonts w:ascii="PT Astra Serif" w:hAnsi="PT Astra Serif"/>
          <w:strike/>
          <w:sz w:val="24"/>
          <w:szCs w:val="24"/>
        </w:rPr>
      </w:r>
    </w:p>
    <w:p>
      <w:pPr>
        <w:ind w:firstLine="708"/>
        <w:jc w:val="both"/>
        <w:spacing w:after="0" w:line="240" w:lineRule="auto"/>
        <w:rPr>
          <w:rFonts w:ascii="PT Astra Serif" w:hAnsi="PT Astra Serif"/>
          <w:sz w:val="24"/>
          <w:szCs w:val="24"/>
        </w:rPr>
      </w:pPr>
      <w:r>
        <w:rPr>
          <w:rFonts w:ascii="PT Astra Serif" w:hAnsi="PT Astra Serif"/>
          <w:sz w:val="24"/>
          <w:szCs w:val="24"/>
        </w:rPr>
        <w:t xml:space="preserve">3. Поддержка сетевого взаимодействия организаций дополнительного образования с вузами, организациями реального сектора экономики по приоритетным направлениям развития экономики региона.</w:t>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sz w:val="24"/>
          <w:szCs w:val="24"/>
        </w:rPr>
      </w:pPr>
      <w:r>
        <w:rPr>
          <w:rFonts w:ascii="PT Astra Serif" w:hAnsi="PT Astra Serif"/>
          <w:sz w:val="24"/>
          <w:szCs w:val="24"/>
        </w:rPr>
        <w:t xml:space="preserve">4</w:t>
      </w:r>
      <w:r>
        <w:rPr>
          <w:rFonts w:ascii="PT Astra Serif" w:hAnsi="PT Astra Serif"/>
          <w:sz w:val="24"/>
          <w:szCs w:val="24"/>
        </w:rPr>
        <w:t xml:space="preserve">. Развитие современных моделей и форм дополнительного образования, в том числе реализация программ на базе организаций летнего отдыха, в дистанционном формате, в форме краткосрочных образовательных интенсивов, вовлечени</w:t>
      </w:r>
      <w:r>
        <w:rPr>
          <w:rFonts w:ascii="PT Astra Serif" w:hAnsi="PT Astra Serif"/>
          <w:sz w:val="24"/>
          <w:szCs w:val="24"/>
        </w:rPr>
        <w:t xml:space="preserve">е</w:t>
      </w:r>
      <w:r>
        <w:rPr>
          <w:rFonts w:ascii="PT Astra Serif" w:hAnsi="PT Astra Serif"/>
          <w:sz w:val="24"/>
          <w:szCs w:val="24"/>
        </w:rPr>
        <w:t xml:space="preserve"> детей в походную и экскурсионную деятельность</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shd w:val="clear" w:color="auto" w:fill="eaf1dd" w:themeFill="accent3" w:themeFillTint="33"/>
        <w:tabs>
          <w:tab w:val="left" w:pos="4962" w:leader="none"/>
        </w:tabs>
        <w:rPr>
          <w:rFonts w:ascii="PT Astra Serif" w:hAnsi="PT Astra Serif"/>
          <w:b/>
          <w:sz w:val="24"/>
          <w:szCs w:val="24"/>
        </w:rPr>
      </w:pPr>
      <w:r>
        <w:rPr>
          <w:rFonts w:ascii="PT Astra Serif" w:hAnsi="PT Astra Serif"/>
          <w:b/>
          <w:sz w:val="24"/>
          <w:szCs w:val="24"/>
          <w:shd w:val="clear" w:color="auto" w:fill="eaf1dd" w:themeFill="accent3" w:themeFillTint="33"/>
        </w:rPr>
        <w:t xml:space="preserve">Профессиональное образование</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условиях технологических и социально-экономических преобразований промышленности и инновационного развития экономики требуется трансформация содержания профессионального образования, в том числе для поддержания конкурентоспособности выпускников.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Потенциал системы профессионального образования Томской обла</w:t>
      </w:r>
      <w:r>
        <w:rPr>
          <w:rFonts w:ascii="PT Astra Serif" w:hAnsi="PT Astra Serif"/>
          <w:sz w:val="24"/>
          <w:szCs w:val="24"/>
        </w:rPr>
        <w:t xml:space="preserve">сти (СПО) в настоящее время позволяет обеспечивать ее развитие, решать следующие задачи, поставленные национальным проектом «Образование», федеральными проектами «Профессионалитет», «Кадры для цифровой экономики», «Кадры для беспилотных авиационных систем»</w:t>
      </w:r>
      <w:r>
        <w:rPr>
          <w:rFonts w:ascii="PT Astra Serif" w:hAnsi="PT Astra Serif"/>
          <w:sz w:val="24"/>
          <w:szCs w:val="24"/>
        </w:rPr>
        <w:t xml:space="preserve">, такие как</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возрастание роли человеческого капитала как основного фактора экономического развития;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обеспечение синхронизации системы подготовки кадров в СПО с потребностями экономики региона;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развитие кадрового потенциала профессионального образования;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расширение внедрения практикоорие</w:t>
      </w:r>
      <w:r>
        <w:rPr>
          <w:rFonts w:ascii="PT Astra Serif" w:hAnsi="PT Astra Serif"/>
          <w:sz w:val="24"/>
          <w:szCs w:val="24"/>
        </w:rPr>
        <w:t xml:space="preserve">нтированных подходов в реализации образовательных программ на разных уровнях образования, в том числе за счет разнообразных форм ранней профориентационной работы и построения индивидуальной образовательной траектории, практики проведения мероприятий во вза</w:t>
      </w:r>
      <w:r>
        <w:rPr>
          <w:rFonts w:ascii="PT Astra Serif" w:hAnsi="PT Astra Serif"/>
          <w:sz w:val="24"/>
          <w:szCs w:val="24"/>
        </w:rPr>
        <w:t xml:space="preserve">имодействии с ключевыми работодателями, привлечения их к участию в образовательном процессе и управлению образовательными организациями, а также перевода демонстрационного экзамена в статус основной формы итоговой аттестации в профессиональном образовании;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комплексной реструктуризации системы СПО на основе отраслевой модели подготовки квалифицированных кадров, востребованных на рынке труда.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подготовка кадров по программам среднего профессионального образования велась в 28 профессиональн</w:t>
      </w:r>
      <w:r>
        <w:rPr>
          <w:rFonts w:ascii="PT Astra Serif" w:hAnsi="PT Astra Serif"/>
          <w:sz w:val="24"/>
          <w:szCs w:val="24"/>
        </w:rPr>
        <w:t xml:space="preserve">ых образовательных организациях (25 областных государственных учреждений, 3 негосударственных), 9 филиалах, 1 филиале образовательной организации Жирновского нефтяного техникума (г. Волгоград), 5 структурных подразделениях организаций высшего образования.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Престиж системы профессионального образования Томской области возрастает, общий контингент обучающихся ежегодно растет и </w:t>
      </w:r>
      <w:r>
        <w:rPr>
          <w:rFonts w:ascii="PT Astra Serif" w:hAnsi="PT Astra Serif"/>
          <w:sz w:val="24"/>
          <w:szCs w:val="24"/>
        </w:rPr>
        <w:t xml:space="preserve">составляет</w:t>
      </w:r>
      <w:r>
        <w:rPr>
          <w:rFonts w:ascii="PT Astra Serif" w:hAnsi="PT Astra Serif"/>
          <w:sz w:val="24"/>
          <w:szCs w:val="24"/>
        </w:rPr>
        <w:t xml:space="preserve"> 29 069 человек.</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системе профессионального образования Томской области утверждены перечни приоритетных профессий и специальностей для подготовки кадров для экономики Томской области, требующих среднего </w:t>
      </w:r>
      <w:r>
        <w:rPr>
          <w:rFonts w:ascii="PT Astra Serif" w:hAnsi="PT Astra Serif"/>
          <w:sz w:val="24"/>
          <w:szCs w:val="24"/>
        </w:rPr>
        <w:t xml:space="preserve">профессионального образования (</w:t>
      </w:r>
      <w:r>
        <w:rPr>
          <w:rFonts w:ascii="PT Astra Serif" w:hAnsi="PT Astra Serif"/>
          <w:sz w:val="24"/>
          <w:szCs w:val="24"/>
        </w:rPr>
        <w:t xml:space="preserve">Т</w:t>
      </w:r>
      <w:r>
        <w:rPr>
          <w:rFonts w:ascii="PT Astra Serif" w:hAnsi="PT Astra Serif"/>
          <w:sz w:val="24"/>
          <w:szCs w:val="24"/>
        </w:rPr>
        <w:t xml:space="preserve">ОП</w:t>
      </w:r>
      <w:r>
        <w:rPr>
          <w:rFonts w:ascii="PT Astra Serif" w:hAnsi="PT Astra Serif"/>
          <w:sz w:val="24"/>
          <w:szCs w:val="24"/>
        </w:rPr>
        <w:t xml:space="preserve">-Регион)</w:t>
      </w:r>
      <w:r>
        <w:rPr>
          <w:rFonts w:ascii="PT Astra Serif" w:hAnsi="PT Astra Serif"/>
          <w:sz w:val="24"/>
          <w:szCs w:val="24"/>
        </w:rPr>
        <w:t xml:space="preserve">,</w:t>
      </w:r>
      <w:r>
        <w:rPr>
          <w:rFonts w:ascii="PT Astra Serif" w:hAnsi="PT Astra Serif"/>
          <w:sz w:val="24"/>
          <w:szCs w:val="24"/>
        </w:rPr>
        <w:t xml:space="preserve"> и перечни наиболее востребованных компетенций опережающей профессиональной подготовки, которые в условиях социально-экономического развития региона ежегодно актуализируются. Перечень вост</w:t>
      </w:r>
      <w:r>
        <w:rPr>
          <w:rFonts w:ascii="PT Astra Serif" w:hAnsi="PT Astra Serif"/>
          <w:sz w:val="24"/>
          <w:szCs w:val="24"/>
        </w:rPr>
        <w:t xml:space="preserve">ребованных компетенций опережающей профессиональной подготовки составляет 166 компетенций. В соответствии с данными перечнями проводится разработка практико-ориентированных программ и подготовка кадров в соответствии с заказом реального сектора экономики.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областных государственных профессиональных образовательных организациях подготовка кадров осуществляется по 20</w:t>
      </w:r>
      <w:r>
        <w:rPr>
          <w:rFonts w:ascii="PT Astra Serif" w:hAnsi="PT Astra Serif"/>
          <w:sz w:val="24"/>
          <w:szCs w:val="24"/>
        </w:rPr>
        <w:t xml:space="preserve">4</w:t>
      </w:r>
      <w:r>
        <w:rPr>
          <w:rFonts w:ascii="PT Astra Serif" w:hAnsi="PT Astra Serif"/>
          <w:sz w:val="24"/>
          <w:szCs w:val="24"/>
        </w:rPr>
        <w:t xml:space="preserve"> основным образовательным</w:t>
      </w:r>
      <w:r>
        <w:rPr>
          <w:rFonts w:ascii="PT Astra Serif" w:hAnsi="PT Astra Serif"/>
          <w:sz w:val="24"/>
          <w:szCs w:val="24"/>
        </w:rPr>
        <w:t xml:space="preserve"> программам</w:t>
      </w:r>
      <w:r>
        <w:rPr>
          <w:rFonts w:ascii="PT Astra Serif" w:hAnsi="PT Astra Serif"/>
          <w:sz w:val="24"/>
          <w:szCs w:val="24"/>
        </w:rPr>
        <w:t xml:space="preserve">, из них по 52 программам из перечня наиболее востребованных на рынке труда профессий и специальностей </w:t>
      </w:r>
      <w:r>
        <w:rPr>
          <w:rFonts w:ascii="PT Astra Serif" w:hAnsi="PT Astra Serif" w:cstheme="minorBidi"/>
          <w:sz w:val="24"/>
          <w:szCs w:val="24"/>
        </w:rPr>
        <w:t xml:space="preserve">–</w:t>
      </w:r>
      <w:r>
        <w:rPr>
          <w:rFonts w:ascii="PT Astra Serif" w:hAnsi="PT Astra Serif"/>
          <w:sz w:val="24"/>
          <w:szCs w:val="24"/>
        </w:rPr>
        <w:t xml:space="preserve"> ТОП-63 и по 76 программам из перечня приоритетных профессий и специальностей для экономики Томской области </w:t>
      </w:r>
      <w:r>
        <w:rPr>
          <w:rFonts w:ascii="PT Astra Serif" w:hAnsi="PT Astra Serif" w:cstheme="minorBidi"/>
          <w:sz w:val="24"/>
          <w:szCs w:val="24"/>
        </w:rPr>
        <w:t xml:space="preserve">– </w:t>
      </w:r>
      <w:r>
        <w:rPr>
          <w:rFonts w:ascii="PT Astra Serif" w:hAnsi="PT Astra Serif"/>
          <w:sz w:val="24"/>
          <w:szCs w:val="24"/>
        </w:rPr>
        <w:t xml:space="preserve">ТОП-Регион. Число обучающихся по направлению «Новая экономика» (ТОП-63 и ТОП-Регион) составляет </w:t>
      </w:r>
      <w:r>
        <w:rPr>
          <w:rFonts w:ascii="PT Astra Serif" w:hAnsi="PT Astra Serif"/>
          <w:sz w:val="24"/>
          <w:szCs w:val="24"/>
        </w:rPr>
        <w:t xml:space="preserve">22</w:t>
      </w:r>
      <w:r>
        <w:rPr>
          <w:rFonts w:ascii="PT Astra Serif" w:hAnsi="PT Astra Serif"/>
          <w:sz w:val="24"/>
          <w:szCs w:val="24"/>
        </w:rPr>
        <w:t xml:space="preserve">,3 тыс. студентов или </w:t>
      </w:r>
      <w:r>
        <w:rPr>
          <w:rFonts w:ascii="PT Astra Serif" w:hAnsi="PT Astra Serif"/>
          <w:sz w:val="24"/>
          <w:szCs w:val="24"/>
        </w:rPr>
        <w:t xml:space="preserve">76,83%.</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трудоустройство по программам подготовки специалистов среднего звена и по программам подготовки квалифицированных рабочих (служащих) составило 80,0% (выпуск 2022 года) (в 2022 году – 78,7% выпуск 2021 года). </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jc w:val="center"/>
        <w:spacing w:after="0" w:line="240" w:lineRule="auto"/>
        <w:tabs>
          <w:tab w:val="left" w:pos="4962" w:leader="none"/>
        </w:tabs>
        <w:rPr>
          <w:rFonts w:ascii="PT Astra Serif" w:hAnsi="PT Astra Serif" w:eastAsia="Times New Roman"/>
          <w:b/>
          <w:sz w:val="24"/>
          <w:szCs w:val="24"/>
        </w:rPr>
        <w:pBdr>
          <w:top w:val="single" w:color="00B050" w:sz="4" w:space="1"/>
          <w:left w:val="single" w:color="00B050" w:sz="4" w:space="4"/>
          <w:bottom w:val="single" w:color="00B050" w:sz="4" w:space="6"/>
          <w:right w:val="single" w:color="00B050" w:sz="4" w:space="4"/>
        </w:pBdr>
      </w:pPr>
      <w:r>
        <w:rPr>
          <w:rFonts w:ascii="PT Astra Serif" w:hAnsi="PT Astra Serif" w:eastAsia="Times New Roman"/>
          <w:b/>
          <w:sz w:val="24"/>
          <w:szCs w:val="24"/>
        </w:rPr>
        <w:t xml:space="preserve">Колпашевский социально-промышленный колледж занял 1</w:t>
      </w:r>
      <w:r>
        <w:rPr>
          <w:rFonts w:ascii="PT Astra Serif" w:hAnsi="PT Astra Serif" w:eastAsia="Times New Roman"/>
          <w:b/>
          <w:sz w:val="24"/>
          <w:szCs w:val="24"/>
        </w:rPr>
        <w:t xml:space="preserve">-е</w:t>
      </w:r>
      <w:r>
        <w:rPr>
          <w:rFonts w:ascii="PT Astra Serif" w:hAnsi="PT Astra Serif" w:eastAsia="Times New Roman"/>
          <w:b/>
          <w:sz w:val="24"/>
          <w:szCs w:val="24"/>
        </w:rPr>
        <w:t xml:space="preserve"> место в номинации «Адаптация, сопровождение и построение карьерной траектории молодого специалиста, в том числе в рамках наставничества» </w:t>
      </w:r>
      <w:r>
        <w:rPr>
          <w:rFonts w:ascii="PT Astra Serif" w:hAnsi="PT Astra Serif" w:eastAsia="Times New Roman"/>
          <w:b/>
          <w:sz w:val="24"/>
          <w:szCs w:val="24"/>
        </w:rPr>
      </w:r>
      <w:r>
        <w:rPr>
          <w:rFonts w:ascii="PT Astra Serif" w:hAnsi="PT Astra Serif" w:eastAsia="Times New Roman"/>
          <w:b/>
          <w:sz w:val="24"/>
          <w:szCs w:val="24"/>
        </w:rPr>
      </w:r>
    </w:p>
    <w:p>
      <w:pPr>
        <w:jc w:val="center"/>
        <w:spacing w:after="0" w:line="240" w:lineRule="auto"/>
        <w:tabs>
          <w:tab w:val="left" w:pos="4962" w:leader="none"/>
        </w:tabs>
        <w:rPr>
          <w:rFonts w:ascii="PT Astra Serif" w:hAnsi="PT Astra Serif" w:eastAsia="Times New Roman"/>
          <w:b/>
          <w:sz w:val="24"/>
          <w:szCs w:val="24"/>
        </w:rPr>
        <w:pBdr>
          <w:top w:val="single" w:color="00B050" w:sz="4" w:space="1"/>
          <w:left w:val="single" w:color="00B050" w:sz="4" w:space="4"/>
          <w:bottom w:val="single" w:color="00B050" w:sz="4" w:space="6"/>
          <w:right w:val="single" w:color="00B050" w:sz="4" w:space="4"/>
        </w:pBdr>
      </w:pPr>
      <w:r>
        <w:rPr>
          <w:rFonts w:ascii="PT Astra Serif" w:hAnsi="PT Astra Serif" w:eastAsia="Times New Roman"/>
          <w:b/>
          <w:sz w:val="24"/>
          <w:szCs w:val="24"/>
        </w:rPr>
        <w:t xml:space="preserve">во всероссийском конкурсе лучших практик трудоустройства молодежи </w:t>
      </w:r>
      <w:r>
        <w:rPr>
          <w:rFonts w:ascii="PT Astra Serif" w:hAnsi="PT Astra Serif" w:eastAsia="Times New Roman"/>
          <w:b/>
          <w:sz w:val="24"/>
          <w:szCs w:val="24"/>
        </w:rPr>
      </w:r>
      <w:r>
        <w:rPr>
          <w:rFonts w:ascii="PT Astra Serif" w:hAnsi="PT Astra Serif" w:eastAsia="Times New Roman"/>
          <w:b/>
          <w:sz w:val="24"/>
          <w:szCs w:val="24"/>
        </w:rPr>
      </w:r>
    </w:p>
    <w:p>
      <w:pPr>
        <w:jc w:val="center"/>
        <w:spacing w:after="0" w:line="240" w:lineRule="auto"/>
        <w:tabs>
          <w:tab w:val="left" w:pos="4962" w:leader="none"/>
        </w:tabs>
        <w:rPr>
          <w:rFonts w:ascii="PT Astra Serif" w:hAnsi="PT Astra Serif" w:eastAsia="Times New Roman"/>
          <w:b/>
          <w:sz w:val="24"/>
          <w:szCs w:val="24"/>
        </w:rPr>
        <w:pBdr>
          <w:top w:val="single" w:color="00B050" w:sz="4" w:space="1"/>
          <w:left w:val="single" w:color="00B050" w:sz="4" w:space="4"/>
          <w:bottom w:val="single" w:color="00B050" w:sz="4" w:space="6"/>
          <w:right w:val="single" w:color="00B050" w:sz="4" w:space="4"/>
        </w:pBdr>
      </w:pPr>
      <w:r>
        <w:rPr>
          <w:rFonts w:ascii="PT Astra Serif" w:hAnsi="PT Astra Serif" w:eastAsia="Times New Roman"/>
          <w:b/>
          <w:sz w:val="24"/>
          <w:szCs w:val="24"/>
        </w:rPr>
        <w:t xml:space="preserve">Минтруда России </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Продолжена модернизация системы профессионального образования Томской области для создания новой образовательной инфраструктуры подготовки рабочих кадров и формирования прикладных </w:t>
      </w:r>
      <w:r>
        <w:rPr>
          <w:rFonts w:ascii="PT Astra Serif" w:hAnsi="PT Astra Serif"/>
          <w:sz w:val="24"/>
          <w:szCs w:val="24"/>
        </w:rPr>
        <w:t xml:space="preserve">квалификаций, которая обеспечит:</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повышение качества образования в условиях, отвечающих современным требованиям, повышение престижа системы СПО, в том числе через повышение показателей трудоустройства выпускников;</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сокращение периода адаптации обучающихся и выпускников системы СПО на первом рабочем месте через практико-ориентированные инструменты;</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повышение патриотической осознанности и молодежной культуры;</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повышение инвестиционной привлекательности образовательных организаций</w:t>
      </w:r>
      <w:r>
        <w:rPr>
          <w:rFonts w:ascii="PT Astra Serif" w:hAnsi="PT Astra Serif"/>
          <w:sz w:val="24"/>
          <w:szCs w:val="24"/>
        </w:rPr>
        <w:t xml:space="preserve">,</w:t>
      </w:r>
      <w:r>
        <w:rPr>
          <w:rFonts w:ascii="PT Astra Serif" w:hAnsi="PT Astra Serif"/>
          <w:sz w:val="24"/>
          <w:szCs w:val="24"/>
        </w:rPr>
        <w:t xml:space="preserve"> их финансовой устойчивости;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модернизацию материальной базы в условиях цифровой трансформации.</w:t>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sz w:val="24"/>
          <w:szCs w:val="24"/>
        </w:rPr>
      </w:pPr>
      <w:r>
        <w:rPr>
          <w:rFonts w:ascii="PT Astra Serif" w:hAnsi="PT Astra Serif"/>
          <w:sz w:val="24"/>
          <w:szCs w:val="24"/>
        </w:rPr>
        <w:t xml:space="preserve">В рамках реализации государственной программы «Развитие образования Томской области» в 2023 году завершен выкуп нежилых зданий для ОГБПОУ «Томский государственный педагогический колледж» по адресам: г. Томск, пр. Фрунзе, д. 103</w:t>
      </w:r>
      <w:r>
        <w:rPr>
          <w:rFonts w:ascii="PT Astra Serif" w:hAnsi="PT Astra Serif"/>
          <w:sz w:val="24"/>
          <w:szCs w:val="24"/>
        </w:rPr>
        <w:t xml:space="preserve">,</w:t>
      </w:r>
      <w:r>
        <w:rPr>
          <w:rFonts w:ascii="PT Astra Serif" w:hAnsi="PT Astra Serif"/>
          <w:sz w:val="24"/>
          <w:szCs w:val="24"/>
        </w:rPr>
        <w:t xml:space="preserve"> строение 6; д. 103б, строение 1; д. 103/4, строение 1 для организации занятий по физической культуре и спорту, обеспечения условий и требований пожарной безопасности.</w:t>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sz w:val="24"/>
          <w:szCs w:val="24"/>
        </w:rPr>
      </w:pPr>
      <w:r>
        <w:rPr>
          <w:rFonts w:ascii="PT Astra Serif" w:hAnsi="PT Astra Serif"/>
          <w:sz w:val="24"/>
          <w:szCs w:val="24"/>
        </w:rPr>
        <w:t xml:space="preserve">В рамках мероприятий по капитальному ремонту:</w:t>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sz w:val="24"/>
          <w:szCs w:val="24"/>
        </w:rPr>
      </w:pPr>
      <w:r>
        <w:rPr>
          <w:rFonts w:ascii="PT Astra Serif" w:hAnsi="PT Astra Serif"/>
          <w:sz w:val="24"/>
          <w:szCs w:val="24"/>
        </w:rPr>
        <w:t xml:space="preserve">1) завершен капитальный ремонт:</w:t>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помещений учебного корпуса ОГБПОУ «Томский базовый медицинский колледж» (г. Колпашево);</w:t>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внешнего электроснабжения, вводно-распределительных устройств (ВРУ) объектов недвижимого имущества ОГБПОУ «Томский аграрный колледж»;</w:t>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автоматизированных пожарных сигнализаций и систем оповещения и управления эвакуацией людей при пожаре в общежитиях, учебных корпусах 10 профессиональных образовательных организаций.</w:t>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sz w:val="24"/>
          <w:szCs w:val="24"/>
        </w:rPr>
      </w:pPr>
      <w:r>
        <w:rPr>
          <w:rFonts w:ascii="PT Astra Serif" w:hAnsi="PT Astra Serif"/>
          <w:sz w:val="24"/>
          <w:szCs w:val="24"/>
        </w:rPr>
        <w:t xml:space="preserve">2) завершена разработка ПСД на капитальный ремонт:</w:t>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крыш зданий ОГБПОУ «Асиновский техникум промышленной индустрии и сервиса» (г. Асино, с. Зырянское)</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cstheme="minorBidi"/>
          <w:sz w:val="24"/>
          <w:szCs w:val="24"/>
        </w:rPr>
      </w:pPr>
      <w:r>
        <w:rPr>
          <w:rFonts w:ascii="PT Astra Serif" w:hAnsi="PT Astra Serif"/>
          <w:sz w:val="24"/>
          <w:szCs w:val="24"/>
        </w:rPr>
        <w:t xml:space="preserve">В 2023 году проведена </w:t>
      </w:r>
      <w:r>
        <w:rPr>
          <w:rFonts w:ascii="PT Astra Serif" w:hAnsi="PT Astra Serif"/>
          <w:sz w:val="24"/>
          <w:szCs w:val="24"/>
          <w:lang w:val="en-US"/>
        </w:rPr>
        <w:t xml:space="preserve">IV</w:t>
      </w:r>
      <w:r>
        <w:rPr>
          <w:rFonts w:ascii="PT Astra Serif" w:hAnsi="PT Astra Serif"/>
          <w:sz w:val="24"/>
          <w:szCs w:val="24"/>
        </w:rPr>
        <w:t xml:space="preserve"> Всероссийская научно-практическая конференция «Наставничество для профессион</w:t>
      </w:r>
      <w:r>
        <w:rPr>
          <w:rFonts w:ascii="PT Astra Serif" w:hAnsi="PT Astra Serif"/>
          <w:sz w:val="24"/>
          <w:szCs w:val="24"/>
        </w:rPr>
        <w:t xml:space="preserve">алов будущего» (далее – Конференция) с целью обсуждения концептуальных вопросов наставничества как практики развития человеческого потенциала. В Конференции приняли участие представители из 8 субъектов Российской Федерации в очном формате – 132 участника. </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trike/>
          <w:sz w:val="24"/>
          <w:szCs w:val="24"/>
        </w:rPr>
      </w:pPr>
      <w:r>
        <w:rPr>
          <w:rFonts w:ascii="PT Astra Serif" w:hAnsi="PT Astra Serif" w:cstheme="minorBidi"/>
          <w:sz w:val="24"/>
          <w:szCs w:val="24"/>
        </w:rPr>
        <w:t xml:space="preserve">В 2023 году Министерством просвещения Российской Федерации разработана новая концепция Всероссийского чемпионатного движения по профессиональному мастерству (далее - Чемпионатное движение), в целях содей</w:t>
      </w:r>
      <w:r>
        <w:rPr>
          <w:rFonts w:ascii="PT Astra Serif" w:hAnsi="PT Astra Serif" w:cstheme="minorBidi"/>
          <w:sz w:val="24"/>
          <w:szCs w:val="24"/>
        </w:rPr>
        <w:t xml:space="preserve">ствия оперативному и эффективному кадровому обеспечению различных отраслей экономики. Предусмотрено проведение региональных этапов в субъектах РФ с целью создания условий и системы мотивации, способствующих повышению значимости и престижа рабочих профессий</w:t>
      </w:r>
      <w:r>
        <w:rPr>
          <w:rFonts w:ascii="PT Astra Serif" w:hAnsi="PT Astra Serif" w:cstheme="minorBidi"/>
          <w:sz w:val="24"/>
          <w:szCs w:val="24"/>
        </w:rPr>
        <w:t xml:space="preserve">, профессиональному росту молоде</w:t>
      </w:r>
      <w:r>
        <w:rPr>
          <w:rFonts w:ascii="PT Astra Serif" w:hAnsi="PT Astra Serif" w:cstheme="minorBidi"/>
          <w:sz w:val="24"/>
          <w:szCs w:val="24"/>
        </w:rPr>
        <w:t xml:space="preserve">жи путем гармонизации лучших практик и профессиональных навыков.</w:t>
      </w:r>
      <w:r>
        <w:rPr>
          <w:rFonts w:ascii="PT Astra Serif" w:hAnsi="PT Astra Serif" w:cstheme="minorBidi"/>
          <w:strike/>
          <w:sz w:val="24"/>
          <w:szCs w:val="24"/>
        </w:rPr>
      </w:r>
      <w:r>
        <w:rPr>
          <w:rFonts w:ascii="PT Astra Serif" w:hAnsi="PT Astra Serif" w:cstheme="minorBidi"/>
          <w:strike/>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В 2023 году проведен региональный этап чемпионата «Профессионалы» и Чемпионата высоких технологий по 58 компетенциям с охватом 363 человек</w:t>
      </w:r>
      <w:r>
        <w:rPr>
          <w:rFonts w:ascii="PT Astra Serif" w:hAnsi="PT Astra Serif" w:cstheme="minorBidi"/>
          <w:sz w:val="24"/>
          <w:szCs w:val="24"/>
        </w:rPr>
        <w:t xml:space="preserve">а</w:t>
      </w:r>
      <w:r>
        <w:rPr>
          <w:rFonts w:ascii="PT Astra Serif" w:hAnsi="PT Astra Serif" w:cstheme="minorBidi"/>
          <w:sz w:val="24"/>
          <w:szCs w:val="24"/>
        </w:rPr>
        <w:t xml:space="preserve">, привлечено к оценке 557 экспертов. Конкурсные</w:t>
      </w:r>
      <w:r>
        <w:rPr>
          <w:rFonts w:ascii="PT Astra Serif" w:hAnsi="PT Astra Serif" w:cstheme="minorBidi"/>
          <w:sz w:val="24"/>
          <w:szCs w:val="24"/>
        </w:rPr>
        <w:t xml:space="preserve"> площадки организованы на базе 17 профессиональных образовательных организаций Томской области. Партнерами стали 114 организаций, в том числе 89 предоставили вакансии и/или стажировки для победителей и призеров. Предоставлена возможность трудоустройства/ст</w:t>
      </w:r>
      <w:r>
        <w:rPr>
          <w:rFonts w:ascii="PT Astra Serif" w:hAnsi="PT Astra Serif" w:cstheme="minorBidi"/>
          <w:sz w:val="24"/>
          <w:szCs w:val="24"/>
        </w:rPr>
        <w:t xml:space="preserve">ажировки 192 победителям и призе</w:t>
      </w:r>
      <w:r>
        <w:rPr>
          <w:rFonts w:ascii="PT Astra Serif" w:hAnsi="PT Astra Serif" w:cstheme="minorBidi"/>
          <w:sz w:val="24"/>
          <w:szCs w:val="24"/>
        </w:rPr>
        <w:t xml:space="preserve">рам Регионального этапа чемпионата.</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jc w:val="center"/>
        <w:spacing w:after="0" w:line="240" w:lineRule="auto"/>
        <w:tabs>
          <w:tab w:val="left" w:pos="4962" w:leader="none"/>
        </w:tabs>
        <w:rPr>
          <w:rFonts w:ascii="PT Astra Serif" w:hAnsi="PT Astra Serif" w:eastAsia="Times New Roman"/>
          <w:b/>
          <w:sz w:val="24"/>
          <w:szCs w:val="24"/>
        </w:rPr>
        <w:pBdr>
          <w:top w:val="single" w:color="00B050" w:sz="4" w:space="1"/>
          <w:left w:val="single" w:color="00B050" w:sz="4" w:space="4"/>
          <w:bottom w:val="single" w:color="00B050" w:sz="4" w:space="6"/>
          <w:right w:val="single" w:color="00B050" w:sz="4" w:space="4"/>
        </w:pBdr>
      </w:pPr>
      <w:r>
        <w:rPr>
          <w:rFonts w:ascii="PT Astra Serif" w:hAnsi="PT Astra Serif" w:eastAsia="Times New Roman"/>
          <w:b/>
          <w:sz w:val="24"/>
          <w:szCs w:val="24"/>
        </w:rPr>
        <w:t xml:space="preserve">Томская область вошла в ТОП-10 субъектов России по количеству</w:t>
      </w:r>
      <w:r>
        <w:rPr>
          <w:rFonts w:ascii="PT Astra Serif" w:hAnsi="PT Astra Serif" w:eastAsia="Times New Roman"/>
          <w:b/>
          <w:sz w:val="24"/>
          <w:szCs w:val="24"/>
        </w:rPr>
      </w:r>
      <w:r>
        <w:rPr>
          <w:rFonts w:ascii="PT Astra Serif" w:hAnsi="PT Astra Serif" w:eastAsia="Times New Roman"/>
          <w:b/>
          <w:sz w:val="24"/>
          <w:szCs w:val="24"/>
        </w:rPr>
      </w:r>
    </w:p>
    <w:p>
      <w:pPr>
        <w:jc w:val="center"/>
        <w:spacing w:after="0" w:line="240" w:lineRule="auto"/>
        <w:tabs>
          <w:tab w:val="left" w:pos="4962" w:leader="none"/>
        </w:tabs>
        <w:rPr>
          <w:rFonts w:ascii="PT Astra Serif" w:hAnsi="PT Astra Serif" w:eastAsia="Times New Roman"/>
          <w:b/>
          <w:sz w:val="24"/>
          <w:szCs w:val="24"/>
        </w:rPr>
        <w:pBdr>
          <w:top w:val="single" w:color="00B050" w:sz="4" w:space="1"/>
          <w:left w:val="single" w:color="00B050" w:sz="4" w:space="4"/>
          <w:bottom w:val="single" w:color="00B050" w:sz="4" w:space="6"/>
          <w:right w:val="single" w:color="00B050" w:sz="4" w:space="4"/>
        </w:pBdr>
      </w:pPr>
      <w:r>
        <w:rPr>
          <w:rFonts w:ascii="PT Astra Serif" w:hAnsi="PT Astra Serif" w:eastAsia="Times New Roman"/>
          <w:b/>
          <w:sz w:val="24"/>
          <w:szCs w:val="24"/>
        </w:rPr>
        <w:t xml:space="preserve">предприятий-</w:t>
      </w:r>
      <w:r>
        <w:rPr>
          <w:rFonts w:ascii="PT Astra Serif" w:hAnsi="PT Astra Serif" w:eastAsia="Times New Roman"/>
          <w:b/>
          <w:sz w:val="24"/>
          <w:szCs w:val="24"/>
        </w:rPr>
        <w:t xml:space="preserve">партне</w:t>
      </w:r>
      <w:r>
        <w:rPr>
          <w:rFonts w:ascii="PT Astra Serif" w:hAnsi="PT Astra Serif" w:eastAsia="Times New Roman"/>
          <w:b/>
          <w:sz w:val="24"/>
          <w:szCs w:val="24"/>
        </w:rPr>
        <w:t xml:space="preserve">ров на компетенцию и заняла 5</w:t>
      </w:r>
      <w:r>
        <w:rPr>
          <w:rFonts w:ascii="PT Astra Serif" w:hAnsi="PT Astra Serif" w:eastAsia="Times New Roman"/>
          <w:b/>
          <w:sz w:val="24"/>
          <w:szCs w:val="24"/>
        </w:rPr>
        <w:t xml:space="preserve">-е</w:t>
      </w:r>
      <w:r>
        <w:rPr>
          <w:rFonts w:ascii="PT Astra Serif" w:hAnsi="PT Astra Serif" w:eastAsia="Times New Roman"/>
          <w:b/>
          <w:sz w:val="24"/>
          <w:szCs w:val="24"/>
        </w:rPr>
        <w:t xml:space="preserve"> место</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Крупными партнерами Чемпионата высоких технологий стали: АО «СИБАГРО», ООО «Томлесдрев», ОАО «РЖД», АО «НП</w:t>
      </w:r>
      <w:r>
        <w:rPr>
          <w:rFonts w:ascii="PT Astra Serif" w:hAnsi="PT Astra Serif" w:cstheme="minorBidi"/>
          <w:sz w:val="24"/>
          <w:szCs w:val="24"/>
        </w:rPr>
        <w:t xml:space="preserve">Ф «Микран», АО «НПЦ «Полюс», АО </w:t>
      </w:r>
      <w:r>
        <w:rPr>
          <w:rFonts w:ascii="PT Astra Serif" w:hAnsi="PT Astra Serif" w:cstheme="minorBidi"/>
          <w:sz w:val="24"/>
          <w:szCs w:val="24"/>
        </w:rPr>
        <w:t xml:space="preserve">«Томская судоходная компания», ОАО «Томская </w:t>
      </w:r>
      <w:r>
        <w:rPr>
          <w:rFonts w:ascii="PT Astra Serif" w:hAnsi="PT Astra Serif" w:cstheme="minorBidi"/>
          <w:sz w:val="24"/>
          <w:szCs w:val="24"/>
        </w:rPr>
        <w:t xml:space="preserve">домостроительная компания», ООО </w:t>
      </w:r>
      <w:r>
        <w:rPr>
          <w:rFonts w:ascii="PT Astra Serif" w:hAnsi="PT Astra Serif" w:cstheme="minorBidi"/>
          <w:sz w:val="24"/>
          <w:szCs w:val="24"/>
        </w:rPr>
        <w:t xml:space="preserve">«ТЭСС-Сибирь», ОАО «Манотомь», ООО «Электроскай».</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Победители регионального этапа приняли участие в Отборочном межрегиональном этапе, по результатам которого по компетенциям, не вошедшим в Финал, Томская область имеет 1 золотую, 3 серебряных, 2 бронзовы</w:t>
      </w:r>
      <w:r>
        <w:rPr>
          <w:rFonts w:ascii="PT Astra Serif" w:hAnsi="PT Astra Serif" w:cstheme="minorBidi"/>
          <w:sz w:val="24"/>
          <w:szCs w:val="24"/>
        </w:rPr>
        <w:t xml:space="preserve">е</w:t>
      </w:r>
      <w:r>
        <w:rPr>
          <w:rFonts w:ascii="PT Astra Serif" w:hAnsi="PT Astra Serif" w:cstheme="minorBidi"/>
          <w:sz w:val="24"/>
          <w:szCs w:val="24"/>
        </w:rPr>
        <w:t xml:space="preserve"> медали. Активная подготовка к данным соревнованиям велась как на площадках предприятий-партн</w:t>
      </w:r>
      <w:r>
        <w:rPr>
          <w:rFonts w:ascii="PT Astra Serif" w:hAnsi="PT Astra Serif" w:cstheme="minorBidi"/>
          <w:sz w:val="24"/>
          <w:szCs w:val="24"/>
        </w:rPr>
        <w:t xml:space="preserve">е</w:t>
      </w:r>
      <w:r>
        <w:rPr>
          <w:rFonts w:ascii="PT Astra Serif" w:hAnsi="PT Astra Serif" w:cstheme="minorBidi"/>
          <w:sz w:val="24"/>
          <w:szCs w:val="24"/>
        </w:rPr>
        <w:t xml:space="preserve">ров, так и на базе профессиональных образовательных организаций в учебно-производственных центрах</w:t>
      </w:r>
      <w:r>
        <w:rPr>
          <w:rFonts w:ascii="PT Astra Serif" w:hAnsi="PT Astra Serif" w:cstheme="minorBidi"/>
          <w:sz w:val="24"/>
          <w:szCs w:val="24"/>
        </w:rPr>
        <w:t xml:space="preserve">,</w:t>
      </w:r>
      <w:r>
        <w:rPr>
          <w:rFonts w:ascii="PT Astra Serif" w:hAnsi="PT Astra Serif" w:cstheme="minorBidi"/>
          <w:strike/>
          <w:sz w:val="24"/>
          <w:szCs w:val="24"/>
        </w:rPr>
        <w:t xml:space="preserve"> </w:t>
      </w:r>
      <w:r>
        <w:rPr>
          <w:rFonts w:ascii="PT Astra Serif" w:hAnsi="PT Astra Serif" w:cstheme="minorBidi"/>
          <w:sz w:val="24"/>
          <w:szCs w:val="24"/>
        </w:rPr>
        <w:t xml:space="preserve">которые сегодня созданы в 5 </w:t>
      </w:r>
      <w:r>
        <w:rPr>
          <w:rFonts w:ascii="PT Astra Serif" w:hAnsi="PT Astra Serif" w:cstheme="minorBidi"/>
          <w:sz w:val="24"/>
          <w:szCs w:val="24"/>
        </w:rPr>
        <w:t xml:space="preserve">образовательных организациях и призваны обеспечить студента первым рабочим местом без отрыва от учебного процесса. По результатам финала чемпионата профессионального мастерства «Профессионалы» (г. Санкт-Петербург) Томская область получила бронзовую медаль.</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Проводились региональные конкурсы профессионального мастерства в сфере воспитания, молодых </w:t>
      </w:r>
      <w:r>
        <w:rPr>
          <w:rFonts w:ascii="PT Astra Serif" w:hAnsi="PT Astra Serif" w:cstheme="minorBidi"/>
          <w:sz w:val="24"/>
          <w:szCs w:val="24"/>
        </w:rPr>
        <w:t xml:space="preserve">педагогов, педагогов психологов, руководителей организаций, региональные этапы всероссийских конкурсов «Мастер года», «Педагог года», «Педагогический дебют», «Педагог-психолог системы СПО и т.д. Победители были отмечены премией Губернатора Томской области.</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рамках реализации регионального проекта «Молодые профессионалы» национального проекта «Образование» организ</w:t>
      </w:r>
      <w:r>
        <w:rPr>
          <w:rFonts w:ascii="PT Astra Serif" w:hAnsi="PT Astra Serif"/>
          <w:sz w:val="24"/>
          <w:szCs w:val="24"/>
        </w:rPr>
        <w:t xml:space="preserve">овано повышение квалификации 44 </w:t>
      </w:r>
      <w:r>
        <w:rPr>
          <w:rFonts w:ascii="PT Astra Serif" w:hAnsi="PT Astra Serif"/>
          <w:sz w:val="24"/>
          <w:szCs w:val="24"/>
        </w:rPr>
        <w:t xml:space="preserve">преподавателей и мастеров производственного обучения по программе повышения квалификации «Практическая подготовка обучающихся в соответствии с современными стандартами и передовыми технологиями»</w:t>
      </w:r>
      <w:r>
        <w:rPr>
          <w:rFonts w:ascii="PT Astra Serif" w:hAnsi="PT Astra Serif"/>
          <w:sz w:val="24"/>
          <w:szCs w:val="24"/>
        </w:rPr>
        <w:t xml:space="preserve">.</w:t>
      </w:r>
      <w:r>
        <w:rPr>
          <w:rFonts w:ascii="PT Astra Serif" w:hAnsi="PT Astra Serif"/>
          <w:sz w:val="24"/>
          <w:szCs w:val="24"/>
        </w:rPr>
        <w:t xml:space="preserve"> В Томской области 2</w:t>
      </w:r>
      <w:r>
        <w:rPr>
          <w:rFonts w:ascii="PT Astra Serif" w:hAnsi="PT Astra Serif"/>
          <w:sz w:val="24"/>
          <w:szCs w:val="24"/>
        </w:rPr>
        <w:t xml:space="preserve">1 мастерская из 54, созданных за счет</w:t>
      </w:r>
      <w:r>
        <w:rPr>
          <w:rFonts w:ascii="PT Astra Serif" w:hAnsi="PT Astra Serif"/>
          <w:sz w:val="24"/>
          <w:szCs w:val="24"/>
        </w:rPr>
        <w:t xml:space="preserve"> областного бюджета, признаны созданными в рамках национального проекта с учетом созданной (обновленной) материально-технической базы. Всего в рамках национального проекта «Образование» в регионе создано 70 мастерских.</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Arial" w:cs="PT Astra Serif"/>
          <w:sz w:val="24"/>
          <w:szCs w:val="24"/>
        </w:rPr>
      </w:pPr>
      <w:r>
        <w:rPr>
          <w:rFonts w:ascii="PT Astra Serif" w:hAnsi="PT Astra Serif" w:eastAsia="Arial" w:cs="PT Astra Serif"/>
          <w:sz w:val="24"/>
          <w:szCs w:val="24"/>
        </w:rPr>
        <w:t xml:space="preserve">В 2023 году проходили государственную итоговую аттестацию в формате демонстрационного экзамена 3303 выпускника из 27 профессиональных образовательных организаций по 31 компетенци</w:t>
      </w:r>
      <w:r>
        <w:rPr>
          <w:rFonts w:ascii="PT Astra Serif" w:hAnsi="PT Astra Serif" w:eastAsia="Arial" w:cs="PT Astra Serif"/>
          <w:sz w:val="24"/>
          <w:szCs w:val="24"/>
        </w:rPr>
        <w:t xml:space="preserve">и</w:t>
      </w:r>
      <w:r>
        <w:rPr>
          <w:rFonts w:ascii="PT Astra Serif" w:hAnsi="PT Astra Serif" w:eastAsia="Arial" w:cs="PT Astra Serif"/>
          <w:sz w:val="24"/>
          <w:szCs w:val="24"/>
        </w:rPr>
        <w:t xml:space="preserve"> и 55 профессиям с </w:t>
      </w:r>
      <w:r>
        <w:rPr>
          <w:rFonts w:ascii="PT Astra Serif" w:hAnsi="PT Astra Serif" w:eastAsia="Arial" w:cs="PT Astra Serif"/>
          <w:sz w:val="24"/>
          <w:szCs w:val="24"/>
        </w:rPr>
        <w:t xml:space="preserve">привлечением к оценке более 554 </w:t>
      </w:r>
      <w:r>
        <w:rPr>
          <w:rFonts w:ascii="PT Astra Serif" w:hAnsi="PT Astra Serif" w:eastAsia="Arial" w:cs="PT Astra Serif"/>
          <w:sz w:val="24"/>
          <w:szCs w:val="24"/>
        </w:rPr>
        <w:t xml:space="preserve">экспертов, из них 437 представителей работодателя. 44,1% сдали профильный уровень (план – 20%). </w:t>
      </w:r>
      <w:r>
        <w:rPr>
          <w:rFonts w:ascii="PT Astra Serif" w:hAnsi="PT Astra Serif" w:eastAsia="Arial" w:cs="PT Astra Serif"/>
          <w:sz w:val="24"/>
          <w:szCs w:val="24"/>
        </w:rPr>
      </w:r>
      <w:r>
        <w:rPr>
          <w:rFonts w:ascii="PT Astra Serif" w:hAnsi="PT Astra Serif" w:eastAsia="Arial" w:cs="PT Astra Serif"/>
          <w:sz w:val="24"/>
          <w:szCs w:val="24"/>
        </w:rPr>
      </w:r>
    </w:p>
    <w:p>
      <w:pPr>
        <w:ind w:firstLine="709"/>
        <w:jc w:val="both"/>
        <w:spacing w:after="0" w:line="240" w:lineRule="auto"/>
        <w:rPr>
          <w:rFonts w:ascii="PT Astra Serif" w:hAnsi="PT Astra Serif" w:eastAsia="Arial" w:cs="PT Astra Serif"/>
          <w:sz w:val="24"/>
          <w:szCs w:val="24"/>
        </w:rPr>
      </w:pPr>
      <w:r>
        <w:rPr>
          <w:rFonts w:ascii="PT Astra Serif" w:hAnsi="PT Astra Serif" w:eastAsia="Arial" w:cs="PT Astra Serif"/>
          <w:sz w:val="24"/>
          <w:szCs w:val="24"/>
        </w:rPr>
        <w:t xml:space="preserve">На базе Центра опережающей профессиональной </w:t>
      </w:r>
      <w:r>
        <w:rPr>
          <w:rFonts w:ascii="PT Astra Serif" w:hAnsi="PT Astra Serif" w:eastAsia="Arial" w:cs="PT Astra Serif"/>
          <w:sz w:val="24"/>
          <w:szCs w:val="24"/>
        </w:rPr>
        <w:t xml:space="preserve">подготовки </w:t>
      </w:r>
      <w:r>
        <w:rPr>
          <w:rFonts w:ascii="PT Astra Serif" w:hAnsi="PT Astra Serif" w:eastAsia="Arial" w:cs="PT Astra Serif"/>
          <w:sz w:val="24"/>
          <w:szCs w:val="24"/>
        </w:rPr>
        <w:t xml:space="preserve">Томской области (далее – ЦОПП) за 4 года его функциониров</w:t>
      </w:r>
      <w:r>
        <w:rPr>
          <w:rFonts w:ascii="PT Astra Serif" w:hAnsi="PT Astra Serif" w:eastAsia="Arial" w:cs="PT Astra Serif"/>
          <w:sz w:val="24"/>
          <w:szCs w:val="24"/>
        </w:rPr>
        <w:t xml:space="preserve">ания прошли обучение более 38,6 </w:t>
      </w:r>
      <w:r>
        <w:rPr>
          <w:rFonts w:ascii="PT Astra Serif" w:hAnsi="PT Astra Serif" w:eastAsia="Arial" w:cs="PT Astra Serif"/>
          <w:sz w:val="24"/>
          <w:szCs w:val="24"/>
        </w:rPr>
        <w:t xml:space="preserve">тыс.</w:t>
      </w:r>
      <w:r>
        <w:rPr>
          <w:rFonts w:ascii="PT Astra Serif" w:hAnsi="PT Astra Serif" w:eastAsia="Arial" w:cs="PT Astra Serif"/>
          <w:sz w:val="24"/>
          <w:szCs w:val="24"/>
        </w:rPr>
        <w:t xml:space="preserve"> </w:t>
      </w:r>
      <w:r>
        <w:rPr>
          <w:rFonts w:ascii="PT Astra Serif" w:hAnsi="PT Astra Serif" w:eastAsia="Arial" w:cs="PT Astra Serif"/>
          <w:sz w:val="24"/>
          <w:szCs w:val="24"/>
        </w:rPr>
        <w:t xml:space="preserve">граждан различных категорий, в том числе в 2023 году – 10,0 тыс. граждан. </w:t>
      </w:r>
      <w:r>
        <w:rPr>
          <w:rFonts w:ascii="PT Astra Serif" w:hAnsi="PT Astra Serif" w:eastAsia="Arial" w:cs="PT Astra Serif"/>
          <w:sz w:val="24"/>
          <w:szCs w:val="24"/>
        </w:rPr>
      </w:r>
      <w:r>
        <w:rPr>
          <w:rFonts w:ascii="PT Astra Serif" w:hAnsi="PT Astra Serif" w:eastAsia="Arial" w:cs="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рамках реализации регионального проекта «Цифровая образовательная среда»: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Arial" w:cs="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w:t>
      </w:r>
      <w:r>
        <w:rPr>
          <w:rFonts w:ascii="PT Astra Serif" w:hAnsi="PT Astra Serif" w:eastAsia="Arial" w:cs="PT Astra Serif"/>
          <w:sz w:val="24"/>
          <w:szCs w:val="24"/>
        </w:rPr>
        <w:t xml:space="preserve">в 3 профессиональных образовательных организациях (ОГБПОУ «Асиновский техникум промышленной индустрии и сервиса», ОГБПОУ «Томский лесотехнический техникум», ОГБПОУ «Томский промышленно-гуманитарный колле</w:t>
      </w:r>
      <w:r>
        <w:rPr>
          <w:rFonts w:ascii="PT Astra Serif" w:hAnsi="PT Astra Serif" w:eastAsia="Arial" w:cs="PT Astra Serif"/>
          <w:sz w:val="24"/>
          <w:szCs w:val="24"/>
        </w:rPr>
        <w:t xml:space="preserve">дж») оборудованы 12 </w:t>
      </w:r>
      <w:r>
        <w:rPr>
          <w:rFonts w:ascii="PT Astra Serif" w:hAnsi="PT Astra Serif" w:eastAsia="Arial" w:cs="PT Astra Serif"/>
          <w:sz w:val="24"/>
          <w:szCs w:val="24"/>
        </w:rPr>
        <w:t xml:space="preserve">лабораторий;</w:t>
      </w:r>
      <w:r>
        <w:rPr>
          <w:rFonts w:ascii="PT Astra Serif" w:hAnsi="PT Astra Serif" w:eastAsia="Arial" w:cs="PT Astra Serif"/>
          <w:sz w:val="24"/>
          <w:szCs w:val="24"/>
        </w:rPr>
      </w:r>
      <w:r>
        <w:rPr>
          <w:rFonts w:ascii="PT Astra Serif" w:hAnsi="PT Astra Serif" w:eastAsia="Arial" w:cs="PT Astra Serif"/>
          <w:sz w:val="24"/>
          <w:szCs w:val="24"/>
        </w:rPr>
      </w:r>
    </w:p>
    <w:p>
      <w:pPr>
        <w:pStyle w:val="1149"/>
        <w:ind w:firstLine="709"/>
        <w:jc w:val="both"/>
        <w:spacing w:before="0" w:beforeAutospacing="0" w:after="0" w:afterAutospacing="0"/>
        <w:rPr>
          <w:rFonts w:ascii="PT Astra Serif" w:hAnsi="PT Astra Serif" w:eastAsia="Calibri"/>
          <w:strike/>
        </w:rPr>
      </w:pPr>
      <w:r>
        <w:rPr>
          <w:rFonts w:ascii="PT Astra Serif" w:hAnsi="PT Astra Serif" w:cstheme="minorBidi"/>
        </w:rPr>
        <w:t xml:space="preserve">–</w:t>
      </w:r>
      <w:r>
        <w:rPr>
          <w:rFonts w:ascii="PT Astra Serif" w:hAnsi="PT Astra Serif" w:eastAsia="Calibri"/>
        </w:rPr>
        <w:t xml:space="preserve"> прошли повышение квалификации 19 сотрудников профессиональных образовательных организаций.</w:t>
      </w:r>
      <w:r>
        <w:rPr>
          <w:rFonts w:ascii="PT Astra Serif" w:hAnsi="PT Astra Serif" w:eastAsia="Calibri"/>
          <w:strike/>
        </w:rPr>
      </w:r>
      <w:r>
        <w:rPr>
          <w:rFonts w:ascii="PT Astra Serif" w:hAnsi="PT Astra Serif" w:eastAsia="Calibri"/>
          <w:strike/>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в Томской области 148 052 обучающихся общеобразовательных и профессионал</w:t>
      </w:r>
      <w:r>
        <w:rPr>
          <w:rFonts w:ascii="PT Astra Serif" w:hAnsi="PT Astra Serif"/>
          <w:sz w:val="24"/>
          <w:szCs w:val="24"/>
        </w:rPr>
        <w:t xml:space="preserve">ьных образовательных организаций</w:t>
      </w:r>
      <w:r>
        <w:rPr>
          <w:rFonts w:ascii="PT Astra Serif" w:hAnsi="PT Astra Serif"/>
          <w:sz w:val="24"/>
          <w:szCs w:val="24"/>
        </w:rPr>
        <w:t xml:space="preserve"> Томской области приняли участие в мероприятиях регионального проекта «Патриотическое воспитание граждан Российской Федерации» национального проекта «Образование»: Всероссийско</w:t>
      </w:r>
      <w:r>
        <w:rPr>
          <w:rFonts w:ascii="PT Astra Serif" w:hAnsi="PT Astra Serif"/>
          <w:sz w:val="24"/>
          <w:szCs w:val="24"/>
        </w:rPr>
        <w:t xml:space="preserve">м</w:t>
      </w:r>
      <w:r>
        <w:rPr>
          <w:rFonts w:ascii="PT Astra Serif" w:hAnsi="PT Astra Serif"/>
          <w:sz w:val="24"/>
          <w:szCs w:val="24"/>
        </w:rPr>
        <w:t xml:space="preserve"> проект</w:t>
      </w:r>
      <w:r>
        <w:rPr>
          <w:rFonts w:ascii="PT Astra Serif" w:hAnsi="PT Astra Serif"/>
          <w:sz w:val="24"/>
          <w:szCs w:val="24"/>
        </w:rPr>
        <w:t xml:space="preserve">е</w:t>
      </w:r>
      <w:r>
        <w:rPr>
          <w:rFonts w:ascii="PT Astra Serif" w:hAnsi="PT Astra Serif"/>
          <w:sz w:val="24"/>
          <w:szCs w:val="24"/>
        </w:rPr>
        <w:t xml:space="preserve"> «Без срока давности», патриотической акции «Красный обоз. Томск </w:t>
      </w:r>
      <w:r>
        <w:rPr>
          <w:rFonts w:ascii="PT Astra Serif" w:hAnsi="PT Astra Serif" w:cstheme="minorBidi"/>
          <w:sz w:val="24"/>
          <w:szCs w:val="24"/>
        </w:rPr>
        <w:t xml:space="preserve">–</w:t>
      </w:r>
      <w:r>
        <w:rPr>
          <w:rFonts w:ascii="PT Astra Serif" w:hAnsi="PT Astra Serif"/>
          <w:sz w:val="24"/>
          <w:szCs w:val="24"/>
        </w:rPr>
        <w:t xml:space="preserve"> фронту», Межрегиональной патриотической акции «Песня тоже воевала», Открытых региональных соревновани</w:t>
      </w:r>
      <w:r>
        <w:rPr>
          <w:rFonts w:ascii="PT Astra Serif" w:hAnsi="PT Astra Serif"/>
          <w:sz w:val="24"/>
          <w:szCs w:val="24"/>
        </w:rPr>
        <w:t xml:space="preserve">ях</w:t>
      </w:r>
      <w:r>
        <w:rPr>
          <w:rFonts w:ascii="PT Astra Serif" w:hAnsi="PT Astra Serif"/>
          <w:sz w:val="24"/>
          <w:szCs w:val="24"/>
        </w:rPr>
        <w:t xml:space="preserve"> по первой помощи на Кубок «Научись спасать жизнь», областных патриотических конференци</w:t>
      </w:r>
      <w:r>
        <w:rPr>
          <w:rFonts w:ascii="PT Astra Serif" w:hAnsi="PT Astra Serif"/>
          <w:sz w:val="24"/>
          <w:szCs w:val="24"/>
        </w:rPr>
        <w:t xml:space="preserve">ях</w:t>
      </w:r>
      <w:r>
        <w:rPr>
          <w:rFonts w:ascii="PT Astra Serif" w:hAnsi="PT Astra Serif"/>
          <w:sz w:val="24"/>
          <w:szCs w:val="24"/>
        </w:rPr>
        <w:t xml:space="preserve">, военно-спортивных соревновани</w:t>
      </w:r>
      <w:r>
        <w:rPr>
          <w:rFonts w:ascii="PT Astra Serif" w:hAnsi="PT Astra Serif"/>
          <w:sz w:val="24"/>
          <w:szCs w:val="24"/>
        </w:rPr>
        <w:t xml:space="preserve">ях</w:t>
      </w:r>
      <w:r>
        <w:rPr>
          <w:rFonts w:ascii="PT Astra Serif" w:hAnsi="PT Astra Serif"/>
          <w:sz w:val="24"/>
          <w:szCs w:val="24"/>
        </w:rPr>
        <w:t xml:space="preserve">, проектах реконструкций и поисковой деятельности, Всероссийских патриотических акци</w:t>
      </w:r>
      <w:r>
        <w:rPr>
          <w:rFonts w:ascii="PT Astra Serif" w:hAnsi="PT Astra Serif"/>
          <w:sz w:val="24"/>
          <w:szCs w:val="24"/>
        </w:rPr>
        <w:t xml:space="preserve">ях</w:t>
      </w:r>
      <w:r>
        <w:rPr>
          <w:rFonts w:ascii="PT Astra Serif" w:hAnsi="PT Astra Serif"/>
          <w:sz w:val="24"/>
          <w:szCs w:val="24"/>
        </w:rPr>
        <w:t xml:space="preserve"> и проект</w:t>
      </w:r>
      <w:r>
        <w:rPr>
          <w:rFonts w:ascii="PT Astra Serif" w:hAnsi="PT Astra Serif"/>
          <w:sz w:val="24"/>
          <w:szCs w:val="24"/>
        </w:rPr>
        <w:t xml:space="preserve">ах</w:t>
      </w:r>
      <w:r>
        <w:rPr>
          <w:rFonts w:ascii="PT Astra Serif" w:hAnsi="PT Astra Serif"/>
          <w:sz w:val="24"/>
          <w:szCs w:val="24"/>
        </w:rPr>
        <w:t xml:space="preserve">, посвященных Дням воинской славы России и государственным праздникам, объединились для помощи фронту в рамках проекта «МЫ ВМЕСТЕ» и многих других.</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профессиональных образовательных организациях Томской области созданы 17 отрядов Всероссийского военно-патриот</w:t>
      </w:r>
      <w:r>
        <w:rPr>
          <w:rFonts w:ascii="PT Astra Serif" w:hAnsi="PT Astra Serif"/>
          <w:sz w:val="24"/>
          <w:szCs w:val="24"/>
        </w:rPr>
        <w:t xml:space="preserve">ического движения «Юнармия», 4 поисковых отряда, 5 патриотических клубов, 1 отряд ТРО ВОМО «Всероссийский студенческий корпус спасателей», 1 штаб ВОД «Волонтеры-медики», в каждом колледже и техникуме создан студенческий патриотический центр, штаб здоровья.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рамках реализации регионального проекта «Успех каждого ребенка» в образовательных организациях, реализующих основные общеобразовательные программы, внедрена Единая модель профессиональной ориентации </w:t>
      </w:r>
      <w:r>
        <w:rPr>
          <w:rFonts w:ascii="PT Astra Serif" w:hAnsi="PT Astra Serif" w:cstheme="minorBidi"/>
          <w:sz w:val="24"/>
          <w:szCs w:val="24"/>
        </w:rPr>
        <w:t xml:space="preserve">–</w:t>
      </w:r>
      <w:r>
        <w:rPr>
          <w:rFonts w:ascii="PT Astra Serif" w:hAnsi="PT Astra Serif"/>
          <w:sz w:val="24"/>
          <w:szCs w:val="24"/>
        </w:rPr>
        <w:t xml:space="preserve"> профориентационный минимум </w:t>
      </w:r>
      <w:r>
        <w:rPr>
          <w:rFonts w:ascii="PT Astra Serif" w:hAnsi="PT Astra Serif" w:cstheme="minorBidi"/>
          <w:sz w:val="24"/>
          <w:szCs w:val="24"/>
        </w:rPr>
        <w:t xml:space="preserve">–</w:t>
      </w:r>
      <w:r>
        <w:rPr>
          <w:rFonts w:ascii="PT Astra Serif" w:hAnsi="PT Astra Serif"/>
          <w:sz w:val="24"/>
          <w:szCs w:val="24"/>
        </w:rPr>
        <w:t xml:space="preserve"> курс по профориентации «Россия </w:t>
      </w:r>
      <w:r>
        <w:rPr>
          <w:rFonts w:ascii="PT Astra Serif" w:hAnsi="PT Astra Serif" w:cstheme="minorBidi"/>
          <w:sz w:val="24"/>
          <w:szCs w:val="24"/>
        </w:rPr>
        <w:t xml:space="preserve">–</w:t>
      </w:r>
      <w:r>
        <w:rPr>
          <w:rFonts w:ascii="PT Astra Serif" w:hAnsi="PT Astra Serif"/>
          <w:sz w:val="24"/>
          <w:szCs w:val="24"/>
        </w:rPr>
        <w:t xml:space="preserve"> мои горизонты» (далее - Профминимум).</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Охвачено мероприятиями Профминимума 51 тыс. учащихся 6</w:t>
      </w:r>
      <w:r>
        <w:rPr>
          <w:rFonts w:ascii="PT Astra Serif" w:hAnsi="PT Astra Serif" w:cstheme="minorBidi"/>
          <w:sz w:val="24"/>
          <w:szCs w:val="24"/>
        </w:rPr>
        <w:t xml:space="preserve">–</w:t>
      </w:r>
      <w:r>
        <w:rPr>
          <w:rFonts w:ascii="PT Astra Serif" w:hAnsi="PT Astra Serif"/>
          <w:sz w:val="24"/>
          <w:szCs w:val="24"/>
        </w:rPr>
        <w:t xml:space="preserve">11 </w:t>
      </w:r>
      <w:r>
        <w:rPr>
          <w:rFonts w:ascii="PT Astra Serif" w:hAnsi="PT Astra Serif"/>
          <w:sz w:val="24"/>
          <w:szCs w:val="24"/>
        </w:rPr>
        <w:t xml:space="preserve">классов Томской области. В проекте «Билет в будущее» принимает участие 220 общеобразователь</w:t>
      </w:r>
      <w:r>
        <w:rPr>
          <w:rFonts w:ascii="PT Astra Serif" w:hAnsi="PT Astra Serif"/>
          <w:sz w:val="24"/>
          <w:szCs w:val="24"/>
        </w:rPr>
        <w:t xml:space="preserve">ных учреждений Томской области, охват составит более 10 тыс. обучающихся. Партнерами проекта стали 9 крупных предприятий реального сектора экономики Томской области, на базе которых предусмотрены экскурсии, профпробы, тематические лекции, профильные смены.</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В ходе реализации регионального проекта «Кадры для цифровой экономики» национальной прогр</w:t>
      </w:r>
      <w:r>
        <w:rPr>
          <w:rFonts w:ascii="PT Astra Serif" w:hAnsi="PT Astra Serif" w:eastAsia="Times New Roman"/>
          <w:sz w:val="24"/>
          <w:szCs w:val="24"/>
        </w:rPr>
        <w:t xml:space="preserve">аммы «Цифровая экономика» в 2023 году продолжилось обучение выпускников профессиональных образовательных организаций Томской области по программе дополнительного образования детей и взрослых «Ключевые компетенции цифровой экономики» на базе ЦОПП. Обучение </w:t>
      </w:r>
      <w:r>
        <w:rPr>
          <w:rFonts w:ascii="PT Astra Serif" w:hAnsi="PT Astra Serif" w:eastAsia="Times New Roman"/>
          <w:sz w:val="24"/>
          <w:szCs w:val="24"/>
          <w:shd w:val="clear" w:color="auto" w:fill="ffffff" w:themeFill="background1"/>
        </w:rPr>
        <w:t xml:space="preserve">3 262 </w:t>
      </w:r>
      <w:r>
        <w:rPr>
          <w:rFonts w:ascii="PT Astra Serif" w:hAnsi="PT Astra Serif" w:eastAsia="Times New Roman"/>
          <w:sz w:val="24"/>
          <w:szCs w:val="24"/>
        </w:rPr>
        <w:t xml:space="preserve">студентов выпускных групп проходило в формате онлайн на платформе ЦОПП с учетом сроков прохождения ими производственной практики.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Ответственным за организацию профессионального обучения и дополнительного профессионального о</w:t>
      </w:r>
      <w:r>
        <w:rPr>
          <w:rFonts w:ascii="PT Astra Serif" w:hAnsi="PT Astra Serif" w:eastAsia="Times New Roman"/>
          <w:sz w:val="24"/>
          <w:szCs w:val="24"/>
        </w:rPr>
        <w:t xml:space="preserve">бразования отдельных категорий граждан в рамках федерального проекта «Содействие занятости» национального проекта «Демография» на территории Томской области назначен ЦООП, на базе которого в 2023 году обучено 206 человек, из них трудоустроено 172 человека.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рамках реализации федерального проекта «Профессионалитет» создается аутентичная производственная среда в СПО: </w:t>
      </w:r>
      <w:r>
        <w:rPr>
          <w:rFonts w:ascii="PT Astra Serif" w:hAnsi="PT Astra Serif"/>
          <w:sz w:val="24"/>
          <w:szCs w:val="24"/>
        </w:rPr>
        <w:t xml:space="preserve">формируется новый дизайн инфраструктуры сети профессионального образования Томской области на основе комплексной реструктуризации среднего профессионального образования во взаимодействии с реальным сектором экономики, отраслевой подход к подготовке кадров </w:t>
      </w:r>
      <w:r>
        <w:rPr>
          <w:rFonts w:ascii="PT Astra Serif" w:hAnsi="PT Astra Serif" w:cstheme="minorBidi"/>
          <w:sz w:val="24"/>
          <w:szCs w:val="24"/>
        </w:rPr>
        <w:t xml:space="preserve">–</w:t>
      </w:r>
      <w:r>
        <w:rPr>
          <w:rFonts w:ascii="PT Astra Serif" w:hAnsi="PT Astra Serif"/>
          <w:sz w:val="24"/>
          <w:szCs w:val="24"/>
        </w:rPr>
        <w:t xml:space="preserve"> кластеризация экономики и реализация инвестиционных проектов (создан полный технологический цикл и оснащение под требования работодателя), будут сокращаться сроки обучения.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Дополнительно к 2 образовательно-производственны</w:t>
      </w:r>
      <w:r>
        <w:rPr>
          <w:rFonts w:ascii="PT Astra Serif" w:hAnsi="PT Astra Serif"/>
          <w:sz w:val="24"/>
          <w:szCs w:val="24"/>
        </w:rPr>
        <w:t xml:space="preserve">м</w:t>
      </w:r>
      <w:r>
        <w:rPr>
          <w:rFonts w:ascii="PT Astra Serif" w:hAnsi="PT Astra Serif"/>
          <w:sz w:val="24"/>
          <w:szCs w:val="24"/>
        </w:rPr>
        <w:t xml:space="preserve"> центрам (кластерам) в Томской области: для сельскохозяйственной отрасли на базе ОГБПОУ «Томский аграрный колледж» </w:t>
      </w:r>
      <w:r>
        <w:rPr>
          <w:rFonts w:ascii="PT Astra Serif" w:hAnsi="PT Astra Serif"/>
          <w:sz w:val="24"/>
          <w:szCs w:val="24"/>
        </w:rPr>
        <w:t xml:space="preserve">с опорным работодателем АО «Сибагро» и для железнодорожного транспорта на базе филиала СГУПС «Томский техникум железнодорожного транспорта» с ОАО «РЖД» в 2023 году создан образовательный кластер среднего профессионального образования для отрасли «Туризм и </w:t>
      </w:r>
      <w:r>
        <w:rPr>
          <w:rFonts w:ascii="PT Astra Serif" w:hAnsi="PT Astra Serif"/>
          <w:sz w:val="24"/>
          <w:szCs w:val="24"/>
        </w:rPr>
        <w:t xml:space="preserve">сфера услуг» на базе ОГБПОУ «Колледж индустрии питания, торговли и сферы услуг». В образовательный кластер входят 9 представителей бизнеса («Аркада», «ТОРТА», «Спар – Томск», швейная фабрика «Тайга», студия Image professional, ресторан «Гости», сеть пиццер</w:t>
      </w:r>
      <w:r>
        <w:rPr>
          <w:rFonts w:ascii="PT Astra Serif" w:hAnsi="PT Astra Serif"/>
          <w:sz w:val="24"/>
          <w:szCs w:val="24"/>
        </w:rPr>
        <w:t xml:space="preserve">ий Maya Pizza и «ПиццеРио») и 3 </w:t>
      </w:r>
      <w:r>
        <w:rPr>
          <w:rFonts w:ascii="PT Astra Serif" w:hAnsi="PT Astra Serif"/>
          <w:sz w:val="24"/>
          <w:szCs w:val="24"/>
        </w:rPr>
        <w:t xml:space="preserve">профессиональны</w:t>
      </w:r>
      <w:r>
        <w:rPr>
          <w:rFonts w:ascii="PT Astra Serif" w:hAnsi="PT Astra Serif"/>
          <w:sz w:val="24"/>
          <w:szCs w:val="24"/>
        </w:rPr>
        <w:t xml:space="preserve">е</w:t>
      </w:r>
      <w:r>
        <w:rPr>
          <w:rFonts w:ascii="PT Astra Serif" w:hAnsi="PT Astra Serif"/>
          <w:sz w:val="24"/>
          <w:szCs w:val="24"/>
        </w:rPr>
        <w:t xml:space="preserve"> образовательны</w:t>
      </w:r>
      <w:r>
        <w:rPr>
          <w:rFonts w:ascii="PT Astra Serif" w:hAnsi="PT Astra Serif"/>
          <w:sz w:val="24"/>
          <w:szCs w:val="24"/>
        </w:rPr>
        <w:t xml:space="preserve">е</w:t>
      </w:r>
      <w:r>
        <w:rPr>
          <w:rFonts w:ascii="PT Astra Serif" w:hAnsi="PT Astra Serif"/>
          <w:sz w:val="24"/>
          <w:szCs w:val="24"/>
        </w:rPr>
        <w:t xml:space="preserve"> организаци</w:t>
      </w:r>
      <w:r>
        <w:rPr>
          <w:rFonts w:ascii="PT Astra Serif" w:hAnsi="PT Astra Serif"/>
          <w:sz w:val="24"/>
          <w:szCs w:val="24"/>
        </w:rPr>
        <w:t xml:space="preserve">и</w:t>
      </w:r>
      <w:r>
        <w:rPr>
          <w:rFonts w:ascii="PT Astra Serif" w:hAnsi="PT Astra Serif"/>
          <w:sz w:val="24"/>
          <w:szCs w:val="24"/>
        </w:rPr>
        <w:t xml:space="preserve">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Участие </w:t>
      </w:r>
      <w:r>
        <w:rPr>
          <w:rFonts w:ascii="PT Astra Serif" w:hAnsi="PT Astra Serif"/>
          <w:sz w:val="24"/>
          <w:szCs w:val="24"/>
        </w:rPr>
        <w:t xml:space="preserve">в проекте позволило провести перезагрузку процесса подготовки профессиональных кадров, реализации программы государственно-частного партнерства, участие опорного работодателя в проекте от согласования перечня и закупки оборудования для лабораторий колледжа</w:t>
      </w:r>
      <w:r>
        <w:rPr>
          <w:rFonts w:ascii="PT Astra Serif" w:hAnsi="PT Astra Serif"/>
          <w:sz w:val="24"/>
          <w:szCs w:val="24"/>
        </w:rPr>
        <w:t xml:space="preserve"> до полного погружения в образовательный и воспитательный процессы. Оснащение зон современной инфраструктурой позволяет вести подготовку высококвалифицированных специалистов и рабочих кадров в соответствии с современными стандартами и передовыми технология</w:t>
      </w:r>
      <w:r>
        <w:rPr>
          <w:rFonts w:ascii="PT Astra Serif" w:hAnsi="PT Astra Serif"/>
          <w:sz w:val="24"/>
          <w:szCs w:val="24"/>
        </w:rPr>
        <w:t xml:space="preserve">ми. В рамках проекта создано 33 </w:t>
      </w:r>
      <w:r>
        <w:rPr>
          <w:rFonts w:ascii="PT Astra Serif" w:hAnsi="PT Astra Serif"/>
          <w:sz w:val="24"/>
          <w:szCs w:val="24"/>
        </w:rPr>
        <w:t xml:space="preserve">новых производственных комплексов по 5 отраслевым направлениям.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С 1 сентября 2023 года приступили к обучению 915 студентов по образовательным программа «Профессионалитет», из них заключено 325 договоров о целевом обучении с опорными работодателями АО «Сибагро», ОАО «РЖД» и ГК «ЛАМА».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соответствии с Мониторингом качества образования, проводимого Министерством просвещения Российской Федерации</w:t>
      </w:r>
      <w:r>
        <w:rPr>
          <w:rFonts w:ascii="PT Astra Serif" w:hAnsi="PT Astra Serif"/>
          <w:sz w:val="24"/>
          <w:szCs w:val="24"/>
        </w:rPr>
        <w:t xml:space="preserve">,</w:t>
      </w:r>
      <w:r>
        <w:rPr>
          <w:rFonts w:ascii="PT Astra Serif" w:hAnsi="PT Astra Serif"/>
          <w:sz w:val="24"/>
          <w:szCs w:val="24"/>
        </w:rPr>
        <w:t xml:space="preserve"> удельный вес численности студентов, обучающихся с применением практико-ориентированной (дуальной) модели обучения в профессиональных образовательных организациях</w:t>
      </w:r>
      <w:r>
        <w:rPr>
          <w:rFonts w:ascii="PT Astra Serif" w:hAnsi="PT Astra Serif"/>
          <w:sz w:val="24"/>
          <w:szCs w:val="24"/>
        </w:rPr>
        <w:t xml:space="preserve">,</w:t>
      </w:r>
      <w:r>
        <w:rPr>
          <w:rFonts w:ascii="PT Astra Serif" w:hAnsi="PT Astra Serif"/>
          <w:sz w:val="24"/>
          <w:szCs w:val="24"/>
        </w:rPr>
        <w:t xml:space="preserve"> составляет 3,93% (РФ – 4,32%).</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Формируются у студентов новые или дополнительные компетенции, доля студентов профессиональных образовательных организаций, у которых формируются такие компетенции, составляет 15,7% от численности обучающихся.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В Томской области продолжается развитие чемпионатного движения «Абилимпикс». Проведен восьм</w:t>
      </w:r>
      <w:r>
        <w:rPr>
          <w:rFonts w:ascii="PT Astra Serif" w:hAnsi="PT Astra Serif" w:cstheme="minorBidi"/>
          <w:sz w:val="24"/>
          <w:szCs w:val="24"/>
        </w:rPr>
        <w:t xml:space="preserve">ой Региональный чемпионат профессионального мастерства среди инвалидов и лиц с ограниченными возможностями здоровья «Абилимпикс», в котором приняли участие 255 конкурсантов. В реестр национальных экспертов «Абилимпикс» от Томской области включены 14 экспер</w:t>
      </w:r>
      <w:r>
        <w:rPr>
          <w:rFonts w:ascii="PT Astra Serif" w:hAnsi="PT Astra Serif" w:cstheme="minorBidi"/>
          <w:sz w:val="24"/>
          <w:szCs w:val="24"/>
        </w:rPr>
        <w:t xml:space="preserve">тов по 12 компетенциям: «Портной», «Ремонт обуви», «Массажист», «Роспись по шелку», «Обработка текста, «Медицинский и социальный уход», «Швея», «Студийный фотограф», «Сити-фермерство», «Поварское дело», «Учитель начальных классов», «Дошкольное воспитание».</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cstheme="minorBidi"/>
          <w:sz w:val="24"/>
          <w:szCs w:val="24"/>
        </w:rPr>
      </w:pPr>
      <w:r>
        <w:rPr>
          <w:rFonts w:ascii="PT Astra Serif" w:hAnsi="PT Astra Serif" w:cstheme="minorBidi"/>
          <w:sz w:val="24"/>
          <w:szCs w:val="24"/>
        </w:rPr>
        <w:t xml:space="preserve">По результатам участия сборной Томской области в IХ Национальном чемпионате «Абилимпикс» в г. Москва Томская область завоевала 6 медалей по 5 компетенциям («Швея», «Массажист», «Портной», «Экономика и бухгалтерский учет», «Администрирование баз данных»).</w:t>
      </w:r>
      <w:r>
        <w:rPr>
          <w:rFonts w:ascii="PT Astra Serif" w:hAnsi="PT Astra Serif" w:cstheme="minorBidi"/>
          <w:sz w:val="24"/>
          <w:szCs w:val="24"/>
        </w:rPr>
      </w:r>
      <w:r>
        <w:rPr>
          <w:rFonts w:ascii="PT Astra Serif" w:hAnsi="PT Astra Serif" w:cstheme="minorBidi"/>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В системе СПО на базе Томского техникума социальных технологий реализует свою деятельность Базовая профессиональная образовательная организация, обеспечив</w:t>
      </w:r>
      <w:r>
        <w:rPr>
          <w:rFonts w:ascii="PT Astra Serif" w:hAnsi="PT Astra Serif" w:eastAsia="Times New Roman"/>
          <w:sz w:val="24"/>
          <w:szCs w:val="24"/>
        </w:rPr>
        <w:t xml:space="preserve">ающая поддержку функционирования региональной системы профессионального образования инвалидов и лиц с ограниченными возможностями здоровья в Томской области (далее – БПОО). БПОО является автором различных инклюзивных практик, в 2023 году приняла участие в </w:t>
      </w:r>
      <w:r>
        <w:rPr>
          <w:rFonts w:ascii="PT Astra Serif" w:hAnsi="PT Astra Serif" w:eastAsia="Times New Roman"/>
          <w:sz w:val="24"/>
          <w:szCs w:val="24"/>
        </w:rPr>
        <w:t xml:space="preserve">четырех</w:t>
      </w:r>
      <w:r>
        <w:rPr>
          <w:rFonts w:ascii="PT Astra Serif" w:hAnsi="PT Astra Serif" w:eastAsia="Times New Roman"/>
          <w:sz w:val="24"/>
          <w:szCs w:val="24"/>
        </w:rPr>
        <w:t xml:space="preserve"> всероссийских конкурсах и получила призовые места.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jc w:val="center"/>
        <w:spacing w:after="0" w:line="240" w:lineRule="auto"/>
        <w:tabs>
          <w:tab w:val="left" w:pos="4962" w:leader="none"/>
        </w:tabs>
        <w:rPr>
          <w:rFonts w:ascii="PT Astra Serif" w:hAnsi="PT Astra Serif" w:eastAsia="Times New Roman"/>
          <w:b/>
          <w:sz w:val="24"/>
          <w:szCs w:val="24"/>
        </w:rPr>
        <w:pBdr>
          <w:top w:val="single" w:color="00B050" w:sz="4" w:space="1"/>
          <w:left w:val="single" w:color="00B050" w:sz="4" w:space="4"/>
          <w:bottom w:val="single" w:color="00B050" w:sz="4" w:space="6"/>
          <w:right w:val="single" w:color="00B050" w:sz="4" w:space="4"/>
        </w:pBdr>
      </w:pPr>
      <w:r>
        <w:rPr>
          <w:rFonts w:ascii="PT Astra Serif" w:hAnsi="PT Astra Serif" w:eastAsia="Times New Roman"/>
          <w:b/>
          <w:sz w:val="24"/>
          <w:szCs w:val="24"/>
        </w:rPr>
        <w:t xml:space="preserve">1</w:t>
      </w:r>
      <w:r>
        <w:rPr>
          <w:rFonts w:ascii="PT Astra Serif" w:hAnsi="PT Astra Serif" w:eastAsia="Times New Roman"/>
          <w:b/>
          <w:sz w:val="24"/>
          <w:szCs w:val="24"/>
        </w:rPr>
        <w:t xml:space="preserve">-е</w:t>
      </w:r>
      <w:r>
        <w:rPr>
          <w:rFonts w:ascii="PT Astra Serif" w:hAnsi="PT Astra Serif" w:eastAsia="Times New Roman"/>
          <w:b/>
          <w:sz w:val="24"/>
          <w:szCs w:val="24"/>
        </w:rPr>
        <w:t xml:space="preserve"> место в номинации «Лучшие практики сопровождения от образовательной организации до рабочего места</w:t>
      </w:r>
      <w:r>
        <w:rPr>
          <w:rFonts w:ascii="PT Astra Serif" w:hAnsi="PT Astra Serif" w:eastAsia="Times New Roman"/>
          <w:b/>
          <w:sz w:val="24"/>
          <w:szCs w:val="24"/>
        </w:rPr>
        <w:t xml:space="preserve">»</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tabs>
          <w:tab w:val="left" w:pos="4962"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jc w:val="center"/>
        <w:spacing w:after="0" w:line="240" w:lineRule="auto"/>
        <w:tabs>
          <w:tab w:val="left" w:pos="4962" w:leader="none"/>
        </w:tabs>
        <w:rPr>
          <w:rFonts w:ascii="PT Astra Serif" w:hAnsi="PT Astra Serif" w:eastAsia="Times New Roman"/>
          <w:b/>
          <w:sz w:val="24"/>
          <w:szCs w:val="24"/>
        </w:rPr>
        <w:pBdr>
          <w:top w:val="single" w:color="00B050" w:sz="4" w:space="1"/>
          <w:left w:val="single" w:color="00B050" w:sz="4" w:space="4"/>
          <w:bottom w:val="single" w:color="00B050" w:sz="4" w:space="6"/>
          <w:right w:val="single" w:color="00B050" w:sz="4" w:space="4"/>
        </w:pBdr>
      </w:pPr>
      <w:r>
        <w:rPr>
          <w:rFonts w:ascii="PT Astra Serif" w:hAnsi="PT Astra Serif" w:eastAsia="Times New Roman"/>
          <w:b/>
          <w:sz w:val="24"/>
          <w:szCs w:val="24"/>
        </w:rPr>
        <w:t xml:space="preserve">1</w:t>
      </w:r>
      <w:r>
        <w:rPr>
          <w:rFonts w:ascii="PT Astra Serif" w:hAnsi="PT Astra Serif" w:eastAsia="Times New Roman"/>
          <w:b/>
          <w:sz w:val="24"/>
          <w:szCs w:val="24"/>
        </w:rPr>
        <w:t xml:space="preserve">-е</w:t>
      </w:r>
      <w:r>
        <w:rPr>
          <w:rFonts w:ascii="PT Astra Serif" w:hAnsi="PT Astra Serif" w:eastAsia="Times New Roman"/>
          <w:b/>
          <w:sz w:val="24"/>
          <w:szCs w:val="24"/>
        </w:rPr>
        <w:t xml:space="preserve"> место в номинации «Взаимодействие с работодателями по вопросам трудоустройства выпускников с инвалидностью»</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jc w:val="center"/>
        <w:spacing w:after="0" w:line="240" w:lineRule="auto"/>
        <w:tabs>
          <w:tab w:val="left" w:pos="4962" w:leader="none"/>
        </w:tabs>
        <w:rPr>
          <w:rFonts w:ascii="PT Astra Serif" w:hAnsi="PT Astra Serif" w:eastAsia="Times New Roman"/>
          <w:b/>
          <w:sz w:val="24"/>
          <w:szCs w:val="24"/>
        </w:rPr>
        <w:pBdr>
          <w:top w:val="single" w:color="00B050" w:sz="4" w:space="1"/>
          <w:left w:val="single" w:color="00B050" w:sz="4" w:space="4"/>
          <w:bottom w:val="single" w:color="00B050" w:sz="4" w:space="6"/>
          <w:right w:val="single" w:color="00B050" w:sz="4" w:space="4"/>
        </w:pBdr>
      </w:pPr>
      <w:r>
        <w:rPr>
          <w:rFonts w:ascii="PT Astra Serif" w:hAnsi="PT Astra Serif" w:eastAsia="Times New Roman"/>
          <w:b/>
          <w:sz w:val="24"/>
          <w:szCs w:val="24"/>
        </w:rPr>
        <w:t xml:space="preserve">1</w:t>
      </w:r>
      <w:r>
        <w:rPr>
          <w:rFonts w:ascii="PT Astra Serif" w:hAnsi="PT Astra Serif" w:eastAsia="Times New Roman"/>
          <w:b/>
          <w:sz w:val="24"/>
          <w:szCs w:val="24"/>
        </w:rPr>
        <w:t xml:space="preserve">-е</w:t>
      </w:r>
      <w:r>
        <w:rPr>
          <w:rFonts w:ascii="PT Astra Serif" w:hAnsi="PT Astra Serif" w:eastAsia="Times New Roman"/>
          <w:b/>
          <w:sz w:val="24"/>
          <w:szCs w:val="24"/>
        </w:rPr>
        <w:t xml:space="preserve"> место в конкурсе </w:t>
      </w:r>
      <w:r>
        <w:rPr>
          <w:rFonts w:ascii="PT Astra Serif" w:hAnsi="PT Astra Serif" w:eastAsia="Times New Roman"/>
          <w:b/>
          <w:sz w:val="24"/>
          <w:szCs w:val="24"/>
        </w:rPr>
        <w:t xml:space="preserve">на создание г</w:t>
      </w:r>
      <w:r>
        <w:rPr>
          <w:rFonts w:ascii="PT Astra Serif" w:hAnsi="PT Astra Serif" w:eastAsia="Times New Roman"/>
          <w:b/>
          <w:sz w:val="24"/>
          <w:szCs w:val="24"/>
        </w:rPr>
        <w:t xml:space="preserve">имн</w:t>
      </w:r>
      <w:r>
        <w:rPr>
          <w:rFonts w:ascii="PT Astra Serif" w:hAnsi="PT Astra Serif" w:eastAsia="Times New Roman"/>
          <w:b/>
          <w:sz w:val="24"/>
          <w:szCs w:val="24"/>
        </w:rPr>
        <w:t xml:space="preserve">а</w:t>
      </w:r>
      <w:r>
        <w:rPr>
          <w:rFonts w:ascii="PT Astra Serif" w:hAnsi="PT Astra Serif" w:eastAsia="Times New Roman"/>
          <w:b/>
          <w:sz w:val="24"/>
          <w:szCs w:val="24"/>
        </w:rPr>
        <w:t xml:space="preserve"> «Абилимпикса» </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sz w:val="24"/>
        </w:rPr>
      </w:pPr>
      <w:r>
        <w:rPr>
          <w:rFonts w:ascii="PT Astra Serif" w:hAnsi="PT Astra Serif" w:eastAsia="Times New Roman"/>
          <w:sz w:val="24"/>
          <w:szCs w:val="24"/>
        </w:rPr>
        <w:t xml:space="preserve">В рамках реализации регионального проекта «Шко</w:t>
      </w:r>
      <w:r>
        <w:rPr>
          <w:rFonts w:ascii="PT Astra Serif" w:hAnsi="PT Astra Serif" w:eastAsia="Times New Roman"/>
          <w:sz w:val="24"/>
          <w:szCs w:val="24"/>
        </w:rPr>
        <w:t xml:space="preserve">ла предпринимательских навыков»</w:t>
      </w:r>
      <w:r>
        <w:rPr>
          <w:rFonts w:ascii="PT Astra Serif" w:hAnsi="PT Astra Serif" w:eastAsia="Times New Roman"/>
          <w:sz w:val="24"/>
          <w:szCs w:val="24"/>
        </w:rPr>
        <w:t xml:space="preserve"> разработан социальный предпринимательский проект Песоцент «Друг», ТЭПК (направленный на популяризацию кинологии среди населения города Томска и как следствие обеспечение жителям безопасной городской среды).</w:t>
      </w:r>
      <w:r>
        <w:rPr>
          <w:rFonts w:ascii="PT Astra Serif" w:hAnsi="PT Astra Serif"/>
          <w:sz w:val="24"/>
        </w:rPr>
        <w:t xml:space="preserve"> </w:t>
      </w:r>
      <w:r>
        <w:rPr>
          <w:rFonts w:ascii="PT Astra Serif" w:hAnsi="PT Astra Serif"/>
          <w:sz w:val="24"/>
        </w:rPr>
      </w:r>
      <w:r>
        <w:rPr>
          <w:rFonts w:ascii="PT Astra Serif" w:hAnsi="PT Astra Serif"/>
          <w:sz w:val="24"/>
        </w:rPr>
      </w:r>
    </w:p>
    <w:p>
      <w:pPr>
        <w:ind w:firstLine="709"/>
        <w:jc w:val="both"/>
        <w:spacing w:after="0" w:line="240" w:lineRule="auto"/>
        <w:rPr>
          <w:rFonts w:ascii="PT Astra Serif" w:hAnsi="PT Astra Serif"/>
          <w:sz w:val="24"/>
        </w:rPr>
      </w:pPr>
      <w:r>
        <w:rPr>
          <w:rFonts w:ascii="PT Astra Serif" w:hAnsi="PT Astra Serif"/>
          <w:sz w:val="24"/>
        </w:rPr>
        <w:t xml:space="preserve">В 2023 году выплату за классное руководство (кураторство) получили 664 педагогических работника (в 2022 году – 651 педагогический работник).</w:t>
      </w:r>
      <w:r>
        <w:rPr>
          <w:rFonts w:ascii="PT Astra Serif" w:hAnsi="PT Astra Serif"/>
          <w:sz w:val="24"/>
        </w:rPr>
      </w:r>
      <w:r>
        <w:rPr>
          <w:rFonts w:ascii="PT Astra Serif" w:hAnsi="PT Astra Serif"/>
          <w:sz w:val="24"/>
        </w:rPr>
      </w:r>
    </w:p>
    <w:p>
      <w:pPr>
        <w:ind w:firstLine="567"/>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1. Проведение модернизации материально-технической базы СПО – оснащение современным оборудованием не менее 5 мастерских и лабораторий.</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2. Развитие СПО Томской области на основе кластерной политики и реализации федерального проекта «Профессионалитет».</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3. Участие в национальных чемпионатах профессионального мастерства среди инвалидов и лиц с ограниченными возможностями здоровья «Абилимпикс» и «Профессионалы».</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trike/>
          <w:sz w:val="24"/>
          <w:szCs w:val="24"/>
        </w:rPr>
      </w:pPr>
      <w:r>
        <w:rPr>
          <w:rFonts w:ascii="PT Astra Serif" w:hAnsi="PT Astra Serif"/>
          <w:sz w:val="24"/>
          <w:szCs w:val="24"/>
        </w:rPr>
        <w:t xml:space="preserve">4. Создание условий для развития системы межпоколенческого взаимодействия и обеспечения преемственности поколений, поддержки общественных инициатив и проектов, направленных на гражданское и патриотическое воспитание молодежи.</w:t>
      </w:r>
      <w:r>
        <w:rPr>
          <w:rFonts w:ascii="PT Astra Serif" w:hAnsi="PT Astra Serif"/>
          <w:strike/>
          <w:sz w:val="24"/>
          <w:szCs w:val="24"/>
        </w:rPr>
      </w:r>
      <w:r>
        <w:rPr>
          <w:rFonts w:ascii="PT Astra Serif" w:hAnsi="PT Astra Serif"/>
          <w:strike/>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5. Создание образовательно-производственных кластеров:</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для отрасли «Средства массовой информации и коммуникационные технологии» на базе ОГБПОУ «Томский индустриальный техникум» с привлечением профессиональных образовательных организаций и предприятий;</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для атомной отрасли на базе ОГБПОУ «Северский промышленный колледж» с участием ведущих предприятий АО «Сибирский химический комбинат» и АО «ТВЭЛ».</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851" w:leader="none"/>
        </w:tabs>
        <w:rPr>
          <w:rFonts w:ascii="PT Astra Serif" w:hAnsi="PT Astra Serif" w:eastAsiaTheme="minorEastAsia"/>
          <w:sz w:val="24"/>
          <w:szCs w:val="24"/>
        </w:rPr>
      </w:pPr>
      <w:r>
        <w:rPr>
          <w:rFonts w:ascii="PT Astra Serif" w:hAnsi="PT Astra Serif" w:eastAsiaTheme="minorEastAsia"/>
          <w:sz w:val="24"/>
          <w:szCs w:val="24"/>
        </w:rPr>
      </w:r>
      <w:r>
        <w:rPr>
          <w:rFonts w:ascii="PT Astra Serif" w:hAnsi="PT Astra Serif" w:eastAsiaTheme="minorEastAsia"/>
          <w:sz w:val="24"/>
          <w:szCs w:val="24"/>
        </w:rPr>
      </w:r>
      <w:r>
        <w:rPr>
          <w:rFonts w:ascii="PT Astra Serif" w:hAnsi="PT Astra Serif" w:eastAsiaTheme="minorEastAsia"/>
          <w:sz w:val="24"/>
          <w:szCs w:val="24"/>
        </w:rPr>
      </w:r>
    </w:p>
    <w:p>
      <w:pPr>
        <w:jc w:val="both"/>
        <w:spacing w:after="0" w:line="240" w:lineRule="auto"/>
        <w:shd w:val="clear" w:color="auto" w:fill="eaf1dd" w:themeFill="accent3" w:themeFillTint="33"/>
        <w:tabs>
          <w:tab w:val="left" w:pos="4962" w:leader="none"/>
        </w:tabs>
        <w:rPr>
          <w:rFonts w:ascii="PT Astra Serif" w:hAnsi="PT Astra Serif"/>
          <w:b/>
          <w:sz w:val="24"/>
          <w:szCs w:val="24"/>
        </w:rPr>
      </w:pPr>
      <w:r>
        <w:rPr>
          <w:rFonts w:ascii="PT Astra Serif" w:hAnsi="PT Astra Serif"/>
          <w:b/>
          <w:sz w:val="24"/>
          <w:szCs w:val="24"/>
        </w:rPr>
        <w:t xml:space="preserve">Высшее образование</w:t>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4962" w:leader="none"/>
        </w:tabs>
        <w:rPr>
          <w:rFonts w:ascii="PT Astra Serif" w:hAnsi="PT Astra Serif"/>
          <w:sz w:val="24"/>
          <w:szCs w:val="24"/>
        </w:rPr>
      </w:pPr>
      <w:r>
        <w:rPr>
          <w:rFonts w:ascii="PT Astra Serif" w:hAnsi="PT Astra Serif"/>
          <w:sz w:val="24"/>
          <w:szCs w:val="24"/>
        </w:rPr>
        <w:t xml:space="preserve">Томская область играет важную роль в повышении качества российского высшего образования и продвижении его на м</w:t>
      </w:r>
      <w:r>
        <w:rPr>
          <w:rFonts w:ascii="PT Astra Serif" w:hAnsi="PT Astra Serif"/>
          <w:sz w:val="24"/>
          <w:szCs w:val="24"/>
        </w:rPr>
        <w:t xml:space="preserve">еждународных рынках. Томские вуз</w:t>
      </w:r>
      <w:r>
        <w:rPr>
          <w:rFonts w:ascii="PT Astra Serif" w:hAnsi="PT Astra Serif"/>
          <w:sz w:val="24"/>
          <w:szCs w:val="24"/>
        </w:rPr>
        <w:t xml:space="preserve">ы составляют основу научно-образовательного комплекса региона.</w:t>
      </w:r>
      <w:r>
        <w:rPr>
          <w:rFonts w:ascii="PT Astra Serif" w:hAnsi="PT Astra Serif"/>
          <w:sz w:val="24"/>
          <w:szCs w:val="24"/>
        </w:rPr>
      </w:r>
      <w:r>
        <w:rPr>
          <w:rFonts w:ascii="PT Astra Serif" w:hAnsi="PT Astra Serif"/>
          <w:sz w:val="24"/>
          <w:szCs w:val="24"/>
        </w:rPr>
      </w:r>
    </w:p>
    <w:p>
      <w:pPr>
        <w:pStyle w:val="1154"/>
        <w:ind w:firstLine="709"/>
        <w:jc w:val="both"/>
        <w:rPr>
          <w:rFonts w:ascii="PT Astra Serif" w:hAnsi="PT Astra Serif"/>
        </w:rPr>
      </w:pPr>
      <w:r>
        <w:rPr>
          <w:rFonts w:ascii="PT Astra Serif" w:hAnsi="PT Astra Serif"/>
          <w:lang w:eastAsia="en-US"/>
        </w:rPr>
        <w:t xml:space="preserve">В 6 томских университетах и 3 филиалах ин</w:t>
      </w:r>
      <w:r>
        <w:rPr>
          <w:rFonts w:ascii="PT Astra Serif" w:hAnsi="PT Astra Serif"/>
          <w:lang w:eastAsia="en-US"/>
        </w:rPr>
        <w:t xml:space="preserve">огородних вузов реализуются 139 </w:t>
      </w:r>
      <w:r>
        <w:rPr>
          <w:rFonts w:ascii="PT Astra Serif" w:hAnsi="PT Astra Serif"/>
          <w:lang w:eastAsia="en-US"/>
        </w:rPr>
        <w:t xml:space="preserve">образовательных программ бакалавриата, специалитета, магистратуры. С 2023/2024 учебного года открыты новые направления подготовки: </w:t>
      </w:r>
      <w:r>
        <w:rPr>
          <w:rFonts w:ascii="PT Astra Serif" w:hAnsi="PT Astra Serif"/>
          <w:lang w:eastAsia="en-US"/>
        </w:rPr>
        <w:t xml:space="preserve">в</w:t>
      </w:r>
      <w:r>
        <w:rPr>
          <w:rFonts w:ascii="PT Astra Serif" w:hAnsi="PT Astra Serif"/>
          <w:lang w:eastAsia="en-US"/>
        </w:rPr>
        <w:t xml:space="preserve"> СибГМУ (магистратура, платные места) «Промышленная фармация», в</w:t>
      </w:r>
      <w:r>
        <w:rPr>
          <w:rFonts w:ascii="PT Astra Serif" w:hAnsi="PT Astra Serif"/>
        </w:rPr>
        <w:t xml:space="preserve"> ТГАСУ </w:t>
      </w:r>
      <w:r>
        <w:rPr>
          <w:rFonts w:ascii="PT Astra Serif" w:hAnsi="PT Astra Serif" w:cstheme="minorBidi"/>
        </w:rPr>
        <w:t xml:space="preserve">–</w:t>
      </w:r>
      <w:r>
        <w:rPr>
          <w:rFonts w:ascii="PT Astra Serif" w:hAnsi="PT Astra Serif"/>
        </w:rPr>
        <w:t xml:space="preserve"> «Дизайн» (бакалавриат по профилю «Графический дизайн»).</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По состоянию на конец 2023 года в образовательных организациях высшего образования, расположенных на территории Томск</w:t>
      </w:r>
      <w:r>
        <w:rPr>
          <w:rFonts w:ascii="PT Astra Serif" w:hAnsi="PT Astra Serif"/>
        </w:rPr>
        <w:t xml:space="preserve">ой области, работает более 12,2 </w:t>
      </w:r>
      <w:r>
        <w:rPr>
          <w:rFonts w:ascii="PT Astra Serif" w:hAnsi="PT Astra Serif"/>
        </w:rPr>
        <w:t xml:space="preserve">тыс.</w:t>
      </w:r>
      <w:r>
        <w:rPr>
          <w:rFonts w:ascii="PT Astra Serif" w:hAnsi="PT Astra Serif"/>
        </w:rPr>
        <w:t xml:space="preserve"> </w:t>
      </w:r>
      <w:r>
        <w:rPr>
          <w:rFonts w:ascii="PT Astra Serif" w:hAnsi="PT Astra Serif"/>
        </w:rPr>
        <w:t xml:space="preserve">сотрудников (2022 год – 12,4 тыс. сотрудников), из них численность профессорско-преподават</w:t>
      </w:r>
      <w:r>
        <w:rPr>
          <w:rFonts w:ascii="PT Astra Serif" w:hAnsi="PT Astra Serif"/>
        </w:rPr>
        <w:t xml:space="preserve">ельского состава – 3,5 тыс. человек (2022 год – 3,6 тыс. человек</w:t>
      </w:r>
      <w:r>
        <w:rPr>
          <w:rFonts w:ascii="PT Astra Serif" w:hAnsi="PT Astra Serif"/>
        </w:rPr>
        <w:t xml:space="preserve">). Томская область имеет высокие показатели по наличию ученых степеней у сотрудников вузов. </w:t>
      </w:r>
      <w:r>
        <w:rPr>
          <w:rFonts w:ascii="PT Astra Serif" w:hAnsi="PT Astra Serif"/>
        </w:rPr>
        <w:t xml:space="preserve">Ч</w:t>
      </w:r>
      <w:r>
        <w:rPr>
          <w:rFonts w:ascii="PT Astra Serif" w:hAnsi="PT Astra Serif"/>
        </w:rPr>
        <w:t xml:space="preserve">исленность </w:t>
      </w:r>
      <w:r>
        <w:rPr>
          <w:rFonts w:ascii="PT Astra Serif" w:hAnsi="PT Astra Serif"/>
        </w:rPr>
        <w:t xml:space="preserve">профессорско-преподавательского состава до 39 лет составляе</w:t>
      </w:r>
      <w:r>
        <w:rPr>
          <w:rFonts w:ascii="PT Astra Serif" w:hAnsi="PT Astra Serif"/>
        </w:rPr>
        <w:t xml:space="preserve">т 936 </w:t>
      </w:r>
      <w:r>
        <w:rPr>
          <w:rFonts w:ascii="PT Astra Serif" w:hAnsi="PT Astra Serif"/>
        </w:rPr>
        <w:t xml:space="preserve">человек</w:t>
      </w:r>
      <w:r>
        <w:rPr>
          <w:rFonts w:ascii="PT Astra Serif" w:hAnsi="PT Astra Serif"/>
        </w:rPr>
        <w:t xml:space="preserve"> (26% от общего числа ППС). Почти половин</w:t>
      </w:r>
      <w:r>
        <w:rPr>
          <w:rFonts w:ascii="PT Astra Serif" w:hAnsi="PT Astra Serif"/>
        </w:rPr>
        <w:t xml:space="preserve">а молодых преподавателей (до 39 </w:t>
      </w:r>
      <w:r>
        <w:rPr>
          <w:rFonts w:ascii="PT Astra Serif" w:hAnsi="PT Astra Serif"/>
        </w:rPr>
        <w:t xml:space="preserve">лет) имеют ученые степени.</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регионе акцентировано внимание на высшее инженерное образов</w:t>
      </w:r>
      <w:r>
        <w:rPr>
          <w:rFonts w:ascii="PT Astra Serif" w:hAnsi="PT Astra Serif"/>
        </w:rPr>
        <w:t xml:space="preserve">ание по  перспективным направлениям: «Химия и новые материалы», «Микроэлектроника», «Большие данные и искусственный интеллект», «Энергетика», «Инженерная биология и агробиотехнологии», «Фармацевтические разработки», «Беспилотные авиационные системы». Разви</w:t>
      </w:r>
      <w:r>
        <w:rPr>
          <w:rFonts w:ascii="PT Astra Serif" w:hAnsi="PT Astra Serif"/>
        </w:rPr>
        <w:t xml:space="preserve">тие этих направлений связано с созданием «Передовых инженерных школ» на базе вузов. Вузы осуществляют сетевое взаимодействие с партнерами с целью совместной подготовки инженерных кадров в интересах оборонно-промышленного комплекса страны и других отраслей.</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С 2023 года ТГУ участвует в пилотном проекте по совершенствованию системы высшего образования, который предусматривает подготовку обучающихся в рамках следующих уровней образования:</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cstheme="minorBidi"/>
        </w:rPr>
        <w:t xml:space="preserve">–</w:t>
      </w:r>
      <w:r>
        <w:rPr>
          <w:rFonts w:ascii="PT Astra Serif" w:hAnsi="PT Astra Serif"/>
        </w:rPr>
        <w:t xml:space="preserve"> единого базового уровня высшего образования со сроком обучения 4</w:t>
      </w:r>
      <w:r>
        <w:rPr>
          <w:rFonts w:ascii="PT Astra Serif" w:hAnsi="PT Astra Serif" w:cstheme="minorBidi"/>
        </w:rPr>
        <w:t xml:space="preserve">–</w:t>
      </w:r>
      <w:r>
        <w:rPr>
          <w:rFonts w:ascii="PT Astra Serif" w:hAnsi="PT Astra Serif"/>
        </w:rPr>
        <w:t xml:space="preserve">6 лет;</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cstheme="minorBidi"/>
        </w:rPr>
        <w:t xml:space="preserve">–</w:t>
      </w:r>
      <w:r>
        <w:rPr>
          <w:rFonts w:ascii="PT Astra Serif" w:hAnsi="PT Astra Serif"/>
        </w:rPr>
        <w:t xml:space="preserve"> специализированного высшего образования (магистратура, ординатура, ассистентура-стажировка) для лиц</w:t>
      </w:r>
      <w:r>
        <w:rPr>
          <w:rFonts w:ascii="PT Astra Serif" w:hAnsi="PT Astra Serif"/>
        </w:rPr>
        <w:t xml:space="preserve">,</w:t>
      </w:r>
      <w:r>
        <w:rPr>
          <w:rFonts w:ascii="PT Astra Serif" w:hAnsi="PT Astra Serif"/>
        </w:rPr>
        <w:t xml:space="preserve"> имеющих диплом бакалавра или диплом специалиста;</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cstheme="minorBidi"/>
        </w:rPr>
        <w:t xml:space="preserve">–</w:t>
      </w:r>
      <w:r>
        <w:rPr>
          <w:rFonts w:ascii="PT Astra Serif" w:hAnsi="PT Astra Serif"/>
        </w:rPr>
        <w:t xml:space="preserve"> аспирантуры </w:t>
      </w:r>
      <w:r>
        <w:rPr>
          <w:rFonts w:ascii="PT Astra Serif" w:hAnsi="PT Astra Serif" w:cstheme="minorBidi"/>
        </w:rPr>
        <w:t xml:space="preserve">–</w:t>
      </w:r>
      <w:r>
        <w:rPr>
          <w:rFonts w:ascii="PT Astra Serif" w:hAnsi="PT Astra Serif"/>
        </w:rPr>
        <w:t xml:space="preserve"> отдельно выделенного уровня профессионального образования, направленного на подготовку научных и научно-педагогических кадров.</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Осуществляется набор на 13 пилотных образовательных программ базового и специализированного высшего образования. </w:t>
      </w:r>
      <w:r>
        <w:rPr>
          <w:rFonts w:ascii="PT Astra Serif" w:hAnsi="PT Astra Serif"/>
        </w:rPr>
      </w:r>
      <w:r>
        <w:rPr>
          <w:rFonts w:ascii="PT Astra Serif" w:hAnsi="PT Astra Serif"/>
        </w:rPr>
      </w:r>
    </w:p>
    <w:p>
      <w:pPr>
        <w:ind w:firstLine="709"/>
        <w:jc w:val="both"/>
        <w:spacing w:after="0" w:line="240" w:lineRule="auto"/>
        <w:tabs>
          <w:tab w:val="left" w:pos="4962" w:leader="none"/>
        </w:tabs>
        <w:rPr>
          <w:rFonts w:ascii="PT Astra Serif" w:hAnsi="PT Astra Serif"/>
          <w:strike/>
          <w:sz w:val="24"/>
          <w:szCs w:val="24"/>
        </w:rPr>
      </w:pPr>
      <w:r>
        <w:rPr>
          <w:rFonts w:ascii="PT Astra Serif" w:hAnsi="PT Astra Serif"/>
          <w:strike/>
          <w:sz w:val="24"/>
          <w:szCs w:val="24"/>
        </w:rPr>
      </w:r>
      <w:r>
        <w:rPr>
          <w:rFonts w:ascii="PT Astra Serif" w:hAnsi="PT Astra Serif"/>
          <w:strike/>
          <w:sz w:val="24"/>
          <w:szCs w:val="24"/>
        </w:rPr>
      </w:r>
      <w:r>
        <w:rPr>
          <w:rFonts w:ascii="PT Astra Serif" w:hAnsi="PT Astra Serif"/>
          <w:strike/>
          <w:sz w:val="24"/>
          <w:szCs w:val="24"/>
        </w:rPr>
      </w:r>
    </w:p>
    <w:p>
      <w:pPr>
        <w:ind w:firstLine="709"/>
        <w:jc w:val="center"/>
        <w:spacing w:after="0" w:line="240" w:lineRule="auto"/>
        <w:tabs>
          <w:tab w:val="left" w:pos="4962" w:leader="none"/>
        </w:tabs>
        <w:rPr>
          <w:rFonts w:ascii="PT Astra Serif" w:hAnsi="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Томская область по итогам 2022/2023 учебного года занимает 2</w:t>
      </w:r>
      <w:r>
        <w:rPr>
          <w:rFonts w:ascii="PT Astra Serif" w:hAnsi="PT Astra Serif"/>
          <w:b/>
          <w:sz w:val="24"/>
          <w:szCs w:val="24"/>
        </w:rPr>
        <w:t xml:space="preserve">-е</w:t>
      </w:r>
      <w:r>
        <w:rPr>
          <w:rFonts w:ascii="PT Astra Serif" w:hAnsi="PT Astra Serif"/>
          <w:b/>
          <w:sz w:val="24"/>
          <w:szCs w:val="24"/>
        </w:rPr>
        <w:t xml:space="preserve"> место в России по численности студентов, обучающихся по образовательным программам высшего образования - программам бакалавриата, специалитета, магистратуры, в расчете на 10 тыс. населения (587 человек). Лидер по показателю г. Москва (622</w:t>
      </w:r>
      <w:r>
        <w:rPr>
          <w:rFonts w:ascii="PT Astra Serif" w:hAnsi="PT Astra Serif"/>
          <w:b/>
          <w:sz w:val="24"/>
          <w:szCs w:val="24"/>
        </w:rPr>
        <w:t xml:space="preserve"> </w:t>
      </w:r>
      <w:r>
        <w:rPr>
          <w:rFonts w:ascii="PT Astra Serif" w:hAnsi="PT Astra Serif"/>
          <w:b/>
          <w:sz w:val="24"/>
          <w:szCs w:val="24"/>
        </w:rPr>
        <w:t xml:space="preserve">человек</w:t>
      </w:r>
      <w:r>
        <w:rPr>
          <w:rFonts w:ascii="PT Astra Serif" w:hAnsi="PT Astra Serif"/>
          <w:b/>
          <w:sz w:val="24"/>
          <w:szCs w:val="24"/>
        </w:rPr>
        <w:t xml:space="preserve">а</w:t>
      </w:r>
      <w:r>
        <w:rPr>
          <w:rFonts w:ascii="PT Astra Serif" w:hAnsi="PT Astra Serif"/>
          <w:b/>
          <w:sz w:val="24"/>
          <w:szCs w:val="24"/>
        </w:rPr>
        <w:t xml:space="preserve">), на 3</w:t>
      </w:r>
      <w:r>
        <w:rPr>
          <w:rFonts w:ascii="PT Astra Serif" w:hAnsi="PT Astra Serif"/>
          <w:b/>
          <w:sz w:val="24"/>
          <w:szCs w:val="24"/>
        </w:rPr>
        <w:t xml:space="preserve">-м</w:t>
      </w:r>
      <w:r>
        <w:rPr>
          <w:rFonts w:ascii="PT Astra Serif" w:hAnsi="PT Astra Serif"/>
          <w:b/>
          <w:sz w:val="24"/>
          <w:szCs w:val="24"/>
        </w:rPr>
        <w:t xml:space="preserve"> месте г. Санкт-Петербург (577 человек)</w:t>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4962"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pStyle w:val="1154"/>
        <w:ind w:firstLine="709"/>
        <w:jc w:val="both"/>
        <w:rPr>
          <w:rFonts w:ascii="PT Astra Serif" w:hAnsi="PT Astra Serif"/>
        </w:rPr>
      </w:pPr>
      <w:r>
        <w:rPr>
          <w:rFonts w:ascii="PT Astra Serif" w:hAnsi="PT Astra Serif"/>
        </w:rPr>
        <w:t xml:space="preserve">Численность студентов вузов, расположенных на территории Томской области, в 2022/2023 учебном году составляла 62,3 тыс. студентов, в том числе по очной форме обучения </w:t>
      </w:r>
      <w:r>
        <w:rPr>
          <w:rFonts w:ascii="PT Astra Serif" w:hAnsi="PT Astra Serif" w:cstheme="minorBidi"/>
        </w:rPr>
        <w:t xml:space="preserve">–</w:t>
      </w:r>
      <w:r>
        <w:rPr>
          <w:rFonts w:ascii="PT Astra Serif" w:hAnsi="PT Astra Serif"/>
        </w:rPr>
        <w:t xml:space="preserve"> </w:t>
      </w:r>
      <w:r>
        <w:rPr>
          <w:rFonts w:ascii="PT Astra Serif" w:hAnsi="PT Astra Serif"/>
        </w:rPr>
        <w:t xml:space="preserve">43,5 тыс. человек. Число иностранных студентов из 88 стран выросло до 11,4 тыс. человек.</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2023/2024 учебном году число студентов вузов увеличил</w:t>
      </w:r>
      <w:r>
        <w:rPr>
          <w:rFonts w:ascii="PT Astra Serif" w:hAnsi="PT Astra Serif"/>
        </w:rPr>
        <w:t xml:space="preserve">о</w:t>
      </w:r>
      <w:r>
        <w:rPr>
          <w:rFonts w:ascii="PT Astra Serif" w:hAnsi="PT Astra Serif"/>
        </w:rPr>
        <w:t xml:space="preserve">сь на 3,4 тыс. человек и составило 65,7 тыс. человек, в том числе по очной форме обучения </w:t>
      </w:r>
      <w:r>
        <w:rPr>
          <w:rFonts w:ascii="PT Astra Serif" w:hAnsi="PT Astra Serif" w:cstheme="minorBidi"/>
        </w:rPr>
        <w:t xml:space="preserve">–</w:t>
      </w:r>
      <w:r>
        <w:rPr>
          <w:rFonts w:ascii="PT Astra Serif" w:hAnsi="PT Astra Serif"/>
        </w:rPr>
        <w:t xml:space="preserve"> 45,5 тыс. человек. На бюджетной основе высшее образование получают 62,3% от общего числа студентов. Отмечается рост числа иностранных студентов до 11,6 тыс. человек. Д</w:t>
      </w:r>
      <w:r>
        <w:rPr>
          <w:rFonts w:ascii="PT Astra Serif" w:hAnsi="PT Astra Serif"/>
        </w:rPr>
        <w:t xml:space="preserve">оля иностранных граждан из 97 стран в общей численности студентов составляет 18%, по очной форме обучения – 22%. По сравнению с предыдущим годом география поступивших в томские вузы расширилась на 9 стран, впервые поступили граждане Аргентины и Мавритании.</w:t>
      </w:r>
      <w:r>
        <w:rPr>
          <w:rFonts w:ascii="PT Astra Serif" w:hAnsi="PT Astra Serif"/>
        </w:rPr>
      </w:r>
      <w:r>
        <w:rPr>
          <w:rFonts w:ascii="PT Astra Serif" w:hAnsi="PT Astra Serif"/>
        </w:rPr>
      </w:r>
    </w:p>
    <w:p>
      <w:pPr>
        <w:contextualSpacing/>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contextualSpacing/>
        <w:jc w:val="center"/>
        <w:spacing w:after="0" w:line="240" w:lineRule="auto"/>
        <w:rPr>
          <w:rFonts w:ascii="PT Astra Serif" w:hAnsi="PT Astra Serif"/>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Томская область входит в тройку регионов Российской Федерации (после Москвы и Санкт-Петербурга) с наиболее высоким качеством приема в вузы по результатам исследования Высшей школы экономики</w:t>
      </w:r>
      <w:r>
        <w:rPr>
          <w:rFonts w:ascii="PT Astra Serif" w:hAnsi="PT Astra Serif"/>
          <w:sz w:val="24"/>
          <w:szCs w:val="24"/>
        </w:rPr>
      </w:r>
      <w:r>
        <w:rPr>
          <w:rFonts w:ascii="PT Astra Serif" w:hAnsi="PT Astra Serif"/>
          <w:sz w:val="24"/>
          <w:szCs w:val="24"/>
        </w:rPr>
      </w:r>
    </w:p>
    <w:p>
      <w:pPr>
        <w:pStyle w:val="1154"/>
        <w:ind w:firstLine="709"/>
        <w:jc w:val="both"/>
        <w:rPr>
          <w:rFonts w:ascii="PT Astra Serif" w:hAnsi="PT Astra Serif"/>
        </w:rPr>
      </w:pPr>
      <w:r>
        <w:rPr>
          <w:rFonts w:ascii="PT Astra Serif" w:hAnsi="PT Astra Serif"/>
        </w:rPr>
      </w:r>
      <w:r>
        <w:rPr>
          <w:rFonts w:ascii="PT Astra Serif" w:hAnsi="PT Astra Serif"/>
        </w:rPr>
      </w:r>
      <w:r>
        <w:rPr>
          <w:rFonts w:ascii="PT Astra Serif" w:hAnsi="PT Astra Serif"/>
        </w:rPr>
      </w:r>
    </w:p>
    <w:p>
      <w:pPr>
        <w:contextualSpacing/>
        <w:jc w:val="center"/>
        <w:spacing w:after="0" w:line="240" w:lineRule="auto"/>
        <w:rPr>
          <w:rFonts w:ascii="PT Astra Serif" w:hAnsi="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По количеству победителей призеров и олимпиад Томская область занимает </w:t>
      </w:r>
      <w:r>
        <w:rPr>
          <w:rFonts w:ascii="PT Astra Serif" w:hAnsi="PT Astra Serif"/>
          <w:b/>
          <w:sz w:val="24"/>
          <w:szCs w:val="24"/>
        </w:rPr>
      </w:r>
      <w:r>
        <w:rPr>
          <w:rFonts w:ascii="PT Astra Serif" w:hAnsi="PT Astra Serif"/>
          <w:b/>
          <w:sz w:val="24"/>
          <w:szCs w:val="24"/>
        </w:rPr>
      </w:r>
    </w:p>
    <w:p>
      <w:pPr>
        <w:contextualSpacing/>
        <w:jc w:val="center"/>
        <w:spacing w:after="0" w:line="240" w:lineRule="auto"/>
        <w:rPr>
          <w:rFonts w:ascii="PT Astra Serif" w:hAnsi="PT Astra Serif"/>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3-е место в Российской Федерации (после Москвы и Санкт-Петербурга)</w:t>
      </w:r>
      <w:r>
        <w:rPr>
          <w:rFonts w:ascii="PT Astra Serif" w:hAnsi="PT Astra Serif"/>
          <w:sz w:val="24"/>
          <w:szCs w:val="24"/>
        </w:rPr>
      </w:r>
      <w:r>
        <w:rPr>
          <w:rFonts w:ascii="PT Astra Serif" w:hAnsi="PT Astra Serif"/>
          <w:sz w:val="24"/>
          <w:szCs w:val="24"/>
        </w:rPr>
      </w:r>
    </w:p>
    <w:p>
      <w:pPr>
        <w:pStyle w:val="1154"/>
        <w:ind w:firstLine="709"/>
        <w:jc w:val="both"/>
        <w:rPr>
          <w:rFonts w:ascii="PT Astra Serif" w:hAnsi="PT Astra Serif"/>
        </w:rPr>
      </w:pPr>
      <w:r>
        <w:rPr>
          <w:rFonts w:ascii="PT Astra Serif" w:hAnsi="PT Astra Serif"/>
        </w:rPr>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вузы Томской области поступило 233 победителя и призера олимпиад, 87</w:t>
      </w:r>
      <w:r>
        <w:rPr>
          <w:rFonts w:ascii="PT Astra Serif" w:hAnsi="PT Astra Serif"/>
        </w:rPr>
        <w:t xml:space="preserve"> </w:t>
      </w:r>
      <w:r>
        <w:rPr>
          <w:rFonts w:ascii="PT Astra Serif" w:hAnsi="PT Astra Serif"/>
        </w:rPr>
        <w:t xml:space="preserve">абитуриентов, набравших 100 балов по ЕГЭ.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томских вузах </w:t>
      </w:r>
      <w:r>
        <w:rPr>
          <w:rFonts w:ascii="PT Astra Serif" w:hAnsi="PT Astra Serif"/>
        </w:rPr>
        <w:t xml:space="preserve">более</w:t>
      </w:r>
      <w:r>
        <w:rPr>
          <w:rFonts w:ascii="PT Astra Serif" w:hAnsi="PT Astra Serif"/>
        </w:rPr>
        <w:t xml:space="preserve"> 6</w:t>
      </w:r>
      <w:r>
        <w:rPr>
          <w:rFonts w:ascii="PT Astra Serif" w:hAnsi="PT Astra Serif"/>
        </w:rPr>
        <w:t xml:space="preserve">00</w:t>
      </w:r>
      <w:r>
        <w:rPr>
          <w:rFonts w:ascii="PT Astra Serif" w:hAnsi="PT Astra Serif"/>
        </w:rPr>
        <w:t xml:space="preserve"> человек обучаются в рамках квоты Правительства Российской Федерации для иностранных студ</w:t>
      </w:r>
      <w:r>
        <w:rPr>
          <w:rFonts w:ascii="PT Astra Serif" w:hAnsi="PT Astra Serif"/>
        </w:rPr>
        <w:t xml:space="preserve">ентов, в 2022 году </w:t>
      </w:r>
      <w:r>
        <w:rPr>
          <w:rFonts w:ascii="PT Astra Serif" w:hAnsi="PT Astra Serif" w:cstheme="minorBidi"/>
        </w:rPr>
        <w:t xml:space="preserve">–</w:t>
      </w:r>
      <w:r>
        <w:rPr>
          <w:rFonts w:ascii="PT Astra Serif" w:hAnsi="PT Astra Serif"/>
        </w:rPr>
        <w:t xml:space="preserve"> 592 квоты, 112 человек</w:t>
      </w:r>
      <w:r>
        <w:rPr>
          <w:rFonts w:ascii="PT Astra Serif" w:hAnsi="PT Astra Serif"/>
        </w:rPr>
        <w:t xml:space="preserve">а</w:t>
      </w:r>
      <w:r>
        <w:rPr>
          <w:rFonts w:ascii="PT Astra Serif" w:hAnsi="PT Astra Serif"/>
        </w:rPr>
        <w:t xml:space="preserve"> обучаются в рамках квоты для участников СВО/детей участников СВО.</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Динамика контрольных цифр приема (КЦП) на бюджетные места, выделяемые вузам со стороны ФОИВ, складывается следующим образом: с 2014 по 2023 годы их число возросло с 8,7 тыс. до 12,5 тыс., из них 8,7 тыс. </w:t>
      </w:r>
      <w:r>
        <w:rPr>
          <w:rFonts w:ascii="PT Astra Serif" w:hAnsi="PT Astra Serif" w:cstheme="minorBidi"/>
        </w:rPr>
        <w:t xml:space="preserve">–</w:t>
      </w:r>
      <w:r>
        <w:rPr>
          <w:rFonts w:ascii="PT Astra Serif" w:hAnsi="PT Astra Serif"/>
        </w:rPr>
        <w:t xml:space="preserve"> бакалавриат и специалитет,  </w:t>
      </w:r>
      <w:r>
        <w:rPr>
          <w:rFonts w:ascii="PT Astra Serif" w:hAnsi="PT Astra Serif"/>
        </w:rPr>
        <w:t xml:space="preserve">3</w:t>
      </w:r>
      <w:r>
        <w:rPr>
          <w:rFonts w:ascii="PT Astra Serif" w:hAnsi="PT Astra Serif"/>
        </w:rPr>
        <w:t xml:space="preserve">,8</w:t>
      </w:r>
      <w:r>
        <w:rPr>
          <w:rFonts w:ascii="PT Astra Serif" w:hAnsi="PT Astra Serif"/>
        </w:rPr>
        <w:t xml:space="preserve"> тыс.</w:t>
      </w:r>
      <w:r>
        <w:rPr>
          <w:rFonts w:ascii="PT Astra Serif" w:hAnsi="PT Astra Serif"/>
        </w:rPr>
        <w:t xml:space="preserve"> – магистратура. </w:t>
      </w:r>
      <w:r>
        <w:rPr>
          <w:rFonts w:ascii="PT Astra Serif" w:hAnsi="PT Astra Serif"/>
        </w:rPr>
      </w:r>
      <w:r>
        <w:rPr>
          <w:rFonts w:ascii="PT Astra Serif" w:hAnsi="PT Astra Serif"/>
        </w:rPr>
      </w:r>
    </w:p>
    <w:p>
      <w:pPr>
        <w:pStyle w:val="1154"/>
        <w:ind w:firstLine="709"/>
        <w:jc w:val="both"/>
        <w:rPr>
          <w:rFonts w:ascii="PT Astra Serif" w:hAnsi="PT Astra Serif" w:eastAsia="PT Astra Serif"/>
          <w:bCs/>
        </w:rPr>
      </w:pPr>
      <w:r>
        <w:rPr>
          <w:rFonts w:ascii="PT Astra Serif" w:hAnsi="PT Astra Serif" w:eastAsia="PT Astra Serif"/>
          <w:bCs/>
        </w:rPr>
      </w:r>
      <w:r>
        <w:rPr>
          <w:rFonts w:ascii="PT Astra Serif" w:hAnsi="PT Astra Serif" w:eastAsia="PT Astra Serif"/>
          <w:bCs/>
        </w:rPr>
      </w:r>
      <w:r>
        <w:rPr>
          <w:rFonts w:ascii="PT Astra Serif" w:hAnsi="PT Astra Serif" w:eastAsia="PT Astra Serif"/>
          <w:bCs/>
        </w:rPr>
      </w:r>
    </w:p>
    <w:p>
      <w:pPr>
        <w:contextualSpacing/>
        <w:jc w:val="center"/>
        <w:spacing w:after="0" w:line="240" w:lineRule="auto"/>
        <w:rPr>
          <w:rFonts w:ascii="PT Astra Serif" w:hAnsi="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По численности студентов на 10 тыс. населения Томская область занимает </w:t>
      </w:r>
      <w:r>
        <w:rPr>
          <w:rFonts w:ascii="PT Astra Serif" w:hAnsi="PT Astra Serif"/>
          <w:b/>
          <w:sz w:val="24"/>
          <w:szCs w:val="24"/>
        </w:rPr>
      </w:r>
      <w:r>
        <w:rPr>
          <w:rFonts w:ascii="PT Astra Serif" w:hAnsi="PT Astra Serif"/>
          <w:b/>
          <w:sz w:val="24"/>
          <w:szCs w:val="24"/>
        </w:rPr>
      </w:r>
    </w:p>
    <w:p>
      <w:pPr>
        <w:contextualSpacing/>
        <w:jc w:val="center"/>
        <w:spacing w:after="0" w:line="240" w:lineRule="auto"/>
        <w:rPr>
          <w:rFonts w:ascii="PT Astra Serif" w:hAnsi="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3-е место в Российской Федерации </w:t>
      </w:r>
      <w:r>
        <w:rPr>
          <w:rFonts w:ascii="PT Astra Serif" w:hAnsi="PT Astra Serif"/>
          <w:b/>
          <w:sz w:val="24"/>
          <w:szCs w:val="24"/>
        </w:rPr>
      </w:r>
      <w:r>
        <w:rPr>
          <w:rFonts w:ascii="PT Astra Serif" w:hAnsi="PT Astra Serif"/>
          <w:b/>
          <w:sz w:val="24"/>
          <w:szCs w:val="24"/>
        </w:rPr>
      </w:r>
    </w:p>
    <w:p>
      <w:pPr>
        <w:pStyle w:val="1154"/>
        <w:ind w:firstLine="709"/>
        <w:jc w:val="both"/>
        <w:rPr>
          <w:rFonts w:ascii="PT Astra Serif" w:hAnsi="PT Astra Serif"/>
        </w:rPr>
      </w:pPr>
      <w:r>
        <w:rPr>
          <w:rFonts w:ascii="PT Astra Serif" w:hAnsi="PT Astra Serif"/>
        </w:rPr>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2023 году зачислено студентов - 20 074 человек</w:t>
      </w:r>
      <w:r>
        <w:rPr>
          <w:rFonts w:ascii="PT Astra Serif" w:hAnsi="PT Astra Serif"/>
        </w:rPr>
        <w:t xml:space="preserve">а</w:t>
      </w:r>
      <w:r>
        <w:rPr>
          <w:rFonts w:ascii="PT Astra Serif" w:hAnsi="PT Astra Serif"/>
        </w:rPr>
        <w:t xml:space="preserve"> (2022 год – 19 766), из них по очной форме – 13 748 человек, из них на бюджетной основе </w:t>
      </w:r>
      <w:r>
        <w:rPr>
          <w:rFonts w:ascii="PT Astra Serif" w:hAnsi="PT Astra Serif" w:cstheme="minorBidi"/>
        </w:rPr>
        <w:t xml:space="preserve">–</w:t>
      </w:r>
      <w:r>
        <w:rPr>
          <w:rFonts w:ascii="PT Astra Serif" w:hAnsi="PT Astra Serif"/>
        </w:rPr>
        <w:t xml:space="preserve"> 11 731 человек, платно 2 017 человек.</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2023 году численность выпускников очной формы обучения 6 томских государственных вузов составила 10 647 человек.</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вузах по программам аспирантуры обучаются 2,3 тыс. человек, по программам ординатуры около 1 тыс. человек. По очной форме получают образование более 10 тыс. иностранцев, в том числе около 2,6 тыс. человек из дальнего зарубежья.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Проведен конкурс на соискание премий Томской области в сфере образования, науки, здравоохранения и культуры (более 6</w:t>
      </w:r>
      <w:r>
        <w:rPr>
          <w:rFonts w:ascii="PT Astra Serif" w:hAnsi="PT Astra Serif"/>
        </w:rPr>
        <w:t xml:space="preserve">5</w:t>
      </w:r>
      <w:r>
        <w:rPr>
          <w:rFonts w:ascii="PT Astra Serif" w:hAnsi="PT Astra Serif"/>
        </w:rPr>
        <w:t xml:space="preserve">0 соискателей, претендующих на 184 премии по 16 номинациям на общую сумму 6 690 тыс. рублей).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рамках регионального проекта «Социальные лифты для каждого» НП «Наука и университеты» в 2023 году были проведены следующие ежегодные мероприятия: </w:t>
      </w:r>
      <w:r>
        <w:rPr>
          <w:rFonts w:ascii="PT Astra Serif" w:hAnsi="PT Astra Serif"/>
        </w:rPr>
      </w:r>
      <w:r>
        <w:rPr>
          <w:rFonts w:ascii="PT Astra Serif" w:hAnsi="PT Astra Serif"/>
        </w:rPr>
      </w:r>
    </w:p>
    <w:p>
      <w:pPr>
        <w:pStyle w:val="1154"/>
        <w:ind w:firstLine="709"/>
        <w:jc w:val="both"/>
        <w:rPr>
          <w:rFonts w:ascii="PT Astra Serif" w:hAnsi="PT Astra Serif"/>
          <w:strike/>
        </w:rPr>
      </w:pPr>
      <w:r>
        <w:rPr>
          <w:rFonts w:ascii="PT Astra Serif" w:hAnsi="PT Astra Serif" w:cstheme="minorBidi"/>
        </w:rPr>
        <w:t xml:space="preserve">–</w:t>
      </w:r>
      <w:r>
        <w:rPr>
          <w:rFonts w:ascii="PT Astra Serif" w:hAnsi="PT Astra Serif"/>
        </w:rPr>
        <w:t xml:space="preserve"> международный инженерный чемпионат «CASE-IN» (более 600 человек);</w:t>
      </w:r>
      <w:r>
        <w:rPr>
          <w:rFonts w:ascii="PT Astra Serif" w:hAnsi="PT Astra Serif"/>
          <w:strike/>
        </w:rPr>
      </w:r>
      <w:r>
        <w:rPr>
          <w:rFonts w:ascii="PT Astra Serif" w:hAnsi="PT Astra Serif"/>
          <w:strike/>
        </w:rPr>
      </w:r>
    </w:p>
    <w:p>
      <w:pPr>
        <w:pStyle w:val="1154"/>
        <w:ind w:firstLine="709"/>
        <w:jc w:val="both"/>
        <w:rPr>
          <w:rFonts w:ascii="PT Astra Serif" w:hAnsi="PT Astra Serif"/>
        </w:rPr>
      </w:pPr>
      <w:r>
        <w:rPr>
          <w:rFonts w:ascii="PT Astra Serif" w:hAnsi="PT Astra Serif" w:cstheme="minorBidi"/>
        </w:rPr>
        <w:t xml:space="preserve">–</w:t>
      </w:r>
      <w:r>
        <w:rPr>
          <w:rFonts w:ascii="PT Astra Serif" w:hAnsi="PT Astra Serif"/>
        </w:rPr>
        <w:t xml:space="preserve"> студенческая олимпиада «Я – профессионал» (более 10 600 человек);</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cstheme="minorBidi"/>
        </w:rPr>
        <w:t xml:space="preserve">–</w:t>
      </w:r>
      <w:r>
        <w:rPr>
          <w:rFonts w:ascii="PT Astra Serif" w:hAnsi="PT Astra Serif"/>
        </w:rPr>
        <w:t xml:space="preserve"> всероссийский конкурс «Флагманы образования. Студенты» (более 30 участников);</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cstheme="minorBidi"/>
        </w:rPr>
        <w:t xml:space="preserve">–</w:t>
      </w:r>
      <w:r>
        <w:rPr>
          <w:rFonts w:ascii="PT Astra Serif" w:hAnsi="PT Astra Serif"/>
        </w:rPr>
        <w:t xml:space="preserve"> всероссийский конкурс «Твой Ход» (более 3 000 участников, из них от Томской области участвовало около 1000 человек);</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cstheme="minorBidi"/>
        </w:rPr>
        <w:t xml:space="preserve">–</w:t>
      </w:r>
      <w:r>
        <w:rPr>
          <w:rFonts w:ascii="PT Astra Serif" w:hAnsi="PT Astra Serif"/>
        </w:rPr>
        <w:t xml:space="preserve"> проект «Больше, чем путешествие» (более 3 000 участников);</w:t>
      </w:r>
      <w:r>
        <w:rPr>
          <w:rFonts w:ascii="PT Astra Serif" w:hAnsi="PT Astra Serif"/>
        </w:rPr>
      </w:r>
      <w:r>
        <w:rPr>
          <w:rFonts w:ascii="PT Astra Serif" w:hAnsi="PT Astra Serif"/>
        </w:rPr>
      </w:r>
    </w:p>
    <w:p>
      <w:pPr>
        <w:ind w:firstLine="709"/>
        <w:jc w:val="both"/>
        <w:spacing w:after="0" w:line="240" w:lineRule="auto"/>
        <w:tabs>
          <w:tab w:val="left" w:pos="4962" w:leader="none"/>
        </w:tabs>
        <w:rPr>
          <w:rFonts w:ascii="PT Astra Serif" w:hAnsi="PT Astra Serif"/>
          <w:strike/>
          <w:sz w:val="24"/>
          <w:szCs w:val="24"/>
        </w:rPr>
      </w:pPr>
      <w:r>
        <w:rPr>
          <w:rFonts w:ascii="PT Astra Serif" w:hAnsi="PT Astra Serif" w:cstheme="minorBidi"/>
          <w:sz w:val="24"/>
          <w:szCs w:val="24"/>
        </w:rPr>
        <w:t xml:space="preserve">–</w:t>
      </w:r>
      <w:r>
        <w:rPr>
          <w:rFonts w:ascii="PT Astra Serif" w:hAnsi="PT Astra Serif"/>
          <w:sz w:val="24"/>
          <w:szCs w:val="24"/>
        </w:rPr>
        <w:t xml:space="preserve"> программа развития «Другое дело» (более 300 участников).</w:t>
      </w:r>
      <w:r>
        <w:rPr>
          <w:rFonts w:ascii="PT Astra Serif" w:hAnsi="PT Astra Serif"/>
          <w:strike/>
          <w:sz w:val="24"/>
          <w:szCs w:val="24"/>
        </w:rPr>
      </w:r>
      <w:r>
        <w:rPr>
          <w:rFonts w:ascii="PT Astra Serif" w:hAnsi="PT Astra Serif"/>
          <w:strike/>
          <w:sz w:val="24"/>
          <w:szCs w:val="24"/>
        </w:rPr>
      </w:r>
    </w:p>
    <w:p>
      <w:pPr>
        <w:pStyle w:val="1154"/>
        <w:ind w:firstLine="709"/>
        <w:jc w:val="both"/>
        <w:rPr>
          <w:rFonts w:ascii="PT Astra Serif" w:hAnsi="PT Astra Serif"/>
          <w:strike/>
        </w:rPr>
      </w:pPr>
      <w:r>
        <w:rPr>
          <w:rFonts w:ascii="PT Astra Serif" w:hAnsi="PT Astra Serif"/>
        </w:rPr>
        <w:t xml:space="preserve">В целя</w:t>
      </w:r>
      <w:r>
        <w:rPr>
          <w:rFonts w:ascii="PT Astra Serif" w:hAnsi="PT Astra Serif"/>
        </w:rPr>
        <w:t xml:space="preserve">х привлечения талантливых абитуриентов и студентов проведен проект «Учись в Томске!», включающий образовательные миссии в районах Томской области, российских регионах и зарубежных странах, форум молодых ученых U-NOVUS, подготовку информационных материалов.</w:t>
      </w:r>
      <w:r>
        <w:rPr>
          <w:rFonts w:ascii="PT Astra Serif" w:hAnsi="PT Astra Serif"/>
          <w:strike/>
        </w:rPr>
      </w:r>
      <w:r>
        <w:rPr>
          <w:rFonts w:ascii="PT Astra Serif" w:hAnsi="PT Astra Serif"/>
          <w:strike/>
        </w:rPr>
      </w:r>
    </w:p>
    <w:p>
      <w:pPr>
        <w:pStyle w:val="1154"/>
        <w:ind w:firstLine="709"/>
        <w:jc w:val="both"/>
        <w:rPr>
          <w:rFonts w:ascii="PT Astra Serif" w:hAnsi="PT Astra Serif"/>
        </w:rPr>
      </w:pPr>
      <w:r>
        <w:rPr>
          <w:rFonts w:ascii="PT Astra Serif" w:hAnsi="PT Astra Serif"/>
        </w:rPr>
        <w:t xml:space="preserve">В 2023 году образовательные семинары проведены для старшеклассников Асиновского, Зырянского, Кривошеинского, Молчановского, Чаинского, Кожевниковского, Шегарского и Колпаш</w:t>
      </w:r>
      <w:r>
        <w:rPr>
          <w:rFonts w:ascii="PT Astra Serif" w:hAnsi="PT Astra Serif"/>
        </w:rPr>
        <w:t xml:space="preserve">евского районов Томской области</w:t>
      </w:r>
      <w:r>
        <w:rPr>
          <w:rFonts w:ascii="PT Astra Serif" w:hAnsi="PT Astra Serif"/>
        </w:rPr>
        <w:t xml:space="preserve"> в целях</w:t>
      </w:r>
      <w:r>
        <w:rPr>
          <w:rFonts w:ascii="PT Astra Serif" w:hAnsi="PT Astra Serif"/>
          <w:strike/>
        </w:rPr>
        <w:t xml:space="preserve"> </w:t>
      </w:r>
      <w:r>
        <w:rPr>
          <w:rFonts w:ascii="PT Astra Serif" w:hAnsi="PT Astra Serif"/>
        </w:rPr>
        <w:t xml:space="preserve">содействия профессиональной ориентации старшеклассников в системе высшего образования, развити</w:t>
      </w:r>
      <w:r>
        <w:rPr>
          <w:rFonts w:ascii="PT Astra Serif" w:hAnsi="PT Astra Serif"/>
        </w:rPr>
        <w:t xml:space="preserve">я</w:t>
      </w:r>
      <w:r>
        <w:rPr>
          <w:rFonts w:ascii="PT Astra Serif" w:hAnsi="PT Astra Serif"/>
        </w:rPr>
        <w:t xml:space="preserve"> у школьников интереса к изучению науки, повышени</w:t>
      </w:r>
      <w:r>
        <w:rPr>
          <w:rFonts w:ascii="PT Astra Serif" w:hAnsi="PT Astra Serif"/>
        </w:rPr>
        <w:t xml:space="preserve">я</w:t>
      </w:r>
      <w:r>
        <w:rPr>
          <w:rFonts w:ascii="PT Astra Serif" w:hAnsi="PT Astra Serif"/>
        </w:rPr>
        <w:t xml:space="preserve"> кадрового потенциала в социально значимых отраслях экономики Томской области (проведены</w:t>
      </w:r>
      <w:r>
        <w:rPr>
          <w:rFonts w:ascii="PT Astra Serif" w:hAnsi="PT Astra Serif"/>
        </w:rPr>
        <w:t xml:space="preserve"> профориентационные мероприятия, </w:t>
      </w:r>
      <w:r>
        <w:rPr>
          <w:rFonts w:ascii="PT Astra Serif" w:hAnsi="PT Astra Serif"/>
        </w:rPr>
        <w:t xml:space="preserve">индивидуальные консультации по вопросам поступления, научные мастер-классы и т.д.).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Проведен конкурс видеороликов на тему «Самые востребованные профессии на рынке труда Томской области».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Совместно с томскими вуз</w:t>
      </w:r>
      <w:r>
        <w:rPr>
          <w:rFonts w:ascii="PT Astra Serif" w:hAnsi="PT Astra Serif"/>
        </w:rPr>
        <w:t xml:space="preserve">ами проведены мероприятия по обеспечению возможностей для профессионального и карьерного роста студентов и молодых ученых:</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1. Студенческая олимпиада «Я – профессионал» по 7</w:t>
      </w:r>
      <w:r>
        <w:rPr>
          <w:rFonts w:ascii="PT Astra Serif" w:hAnsi="PT Astra Serif"/>
        </w:rPr>
        <w:t xml:space="preserve">3 направлениям. Для студентов Томской области лидирующими направлениями стали «Нефтегазовое дело», «Биотехнологии», «Геология», «Психология» и «Химическая технология». Среди учебных заведений Томской области по числу дипломантов лидируют ТГУ, ТПУ и СибГМУ.</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r>
      <w:r>
        <w:rPr>
          <w:rFonts w:ascii="PT Astra Serif" w:hAnsi="PT Astra Serif"/>
        </w:rPr>
      </w:r>
      <w:r>
        <w:rPr>
          <w:rFonts w:ascii="PT Astra Serif" w:hAnsi="PT Astra Serif"/>
        </w:rPr>
      </w:r>
    </w:p>
    <w:p>
      <w:pPr>
        <w:ind w:firstLine="709"/>
        <w:jc w:val="center"/>
        <w:spacing w:after="0" w:line="240" w:lineRule="auto"/>
        <w:tabs>
          <w:tab w:val="left" w:pos="4962" w:leader="none"/>
        </w:tabs>
        <w:rPr>
          <w:rFonts w:ascii="PT Astra Serif" w:hAnsi="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По числу дипломантов шестого сезона олимпиады </w:t>
      </w:r>
      <w:r>
        <w:rPr>
          <w:rFonts w:ascii="PT Astra Serif" w:hAnsi="PT Astra Serif"/>
          <w:b/>
          <w:sz w:val="24"/>
          <w:szCs w:val="24"/>
        </w:rPr>
      </w:r>
      <w:r>
        <w:rPr>
          <w:rFonts w:ascii="PT Astra Serif" w:hAnsi="PT Astra Serif"/>
          <w:b/>
          <w:sz w:val="24"/>
          <w:szCs w:val="24"/>
        </w:rPr>
      </w:r>
    </w:p>
    <w:p>
      <w:pPr>
        <w:ind w:firstLine="709"/>
        <w:jc w:val="center"/>
        <w:spacing w:after="0" w:line="240" w:lineRule="auto"/>
        <w:tabs>
          <w:tab w:val="left" w:pos="4962" w:leader="none"/>
        </w:tabs>
        <w:rPr>
          <w:rFonts w:ascii="PT Astra Serif" w:hAnsi="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Томская область вошла в </w:t>
      </w:r>
      <w:r>
        <w:rPr>
          <w:rFonts w:ascii="PT Astra Serif" w:hAnsi="PT Astra Serif"/>
          <w:b/>
          <w:sz w:val="24"/>
          <w:szCs w:val="24"/>
        </w:rPr>
        <w:t xml:space="preserve">ТОП</w:t>
      </w:r>
      <w:r>
        <w:rPr>
          <w:rFonts w:ascii="PT Astra Serif" w:hAnsi="PT Astra Serif"/>
          <w:b/>
          <w:sz w:val="24"/>
          <w:szCs w:val="24"/>
        </w:rPr>
        <w:t xml:space="preserve">-5</w:t>
      </w:r>
      <w:r>
        <w:rPr>
          <w:rFonts w:ascii="PT Astra Serif" w:hAnsi="PT Astra Serif"/>
          <w:b/>
          <w:sz w:val="24"/>
          <w:szCs w:val="24"/>
        </w:rPr>
      </w:r>
      <w:r>
        <w:rPr>
          <w:rFonts w:ascii="PT Astra Serif" w:hAnsi="PT Astra Serif"/>
          <w:b/>
          <w:sz w:val="24"/>
          <w:szCs w:val="24"/>
        </w:rPr>
      </w:r>
    </w:p>
    <w:p>
      <w:pPr>
        <w:pStyle w:val="1154"/>
        <w:ind w:firstLine="709"/>
        <w:jc w:val="both"/>
        <w:rPr>
          <w:rFonts w:ascii="PT Astra Serif" w:hAnsi="PT Astra Serif"/>
        </w:rPr>
      </w:pPr>
      <w:r>
        <w:rPr>
          <w:rFonts w:ascii="PT Astra Serif" w:hAnsi="PT Astra Serif"/>
        </w:rPr>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Дипломанты получают льготы при поступлении в магистратуру, аспирантуру и ординатуру ведущих российских вузов, а также возможность пройти стажировку в крупной профильной компании.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Участникам предложено более 350 вакансий от ведущих работодателей страны и партнеров олимпиады, таких как Сбер, Нор</w:t>
      </w:r>
      <w:r>
        <w:rPr>
          <w:rFonts w:ascii="PT Astra Serif" w:hAnsi="PT Astra Serif"/>
        </w:rPr>
        <w:t xml:space="preserve">ильский никель, Банк ВТБ, ГК «Росатом», «Газпромбанк», Российские железные дороги, ПАО «Полюс», Трубная металлургическая компания, Альянс в сфере искусственного интеллекта, Московский центр инновационных технологий в здравоохранении, ГК «Русагро» и других.</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2. Международный инженерный чемпионат «CASE-IN» с участием 600 человек по решению инженерных кейсов для школьников, студентов и молодых специалистов топливно-энергетического и минерально-сырьевого комплексов, атомной промышленности и смежных отраслей.</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3. Конкурс проектов молодых ученых Томской области, целью которого является повышение научной, изобретательской и инновационной активности в сферах науки, образования и импортозамещения, выявлени</w:t>
      </w:r>
      <w:r>
        <w:rPr>
          <w:rFonts w:ascii="PT Astra Serif" w:hAnsi="PT Astra Serif"/>
        </w:rPr>
        <w:t xml:space="preserve">е</w:t>
      </w:r>
      <w:r>
        <w:rPr>
          <w:rFonts w:ascii="PT Astra Serif" w:hAnsi="PT Astra Serif"/>
        </w:rPr>
        <w:t xml:space="preserve"> и эффективно</w:t>
      </w:r>
      <w:r>
        <w:rPr>
          <w:rFonts w:ascii="PT Astra Serif" w:hAnsi="PT Astra Serif"/>
        </w:rPr>
        <w:t xml:space="preserve">е</w:t>
      </w:r>
      <w:r>
        <w:rPr>
          <w:rFonts w:ascii="PT Astra Serif" w:hAnsi="PT Astra Serif"/>
        </w:rPr>
        <w:t xml:space="preserve"> использовани</w:t>
      </w:r>
      <w:r>
        <w:rPr>
          <w:rFonts w:ascii="PT Astra Serif" w:hAnsi="PT Astra Serif"/>
        </w:rPr>
        <w:t xml:space="preserve">е</w:t>
      </w:r>
      <w:r>
        <w:rPr>
          <w:rFonts w:ascii="PT Astra Serif" w:hAnsi="PT Astra Serif"/>
        </w:rPr>
        <w:t xml:space="preserve"> интеллектуального потенциала для решения задач социально-эконом</w:t>
      </w:r>
      <w:r>
        <w:rPr>
          <w:rFonts w:ascii="PT Astra Serif" w:hAnsi="PT Astra Serif"/>
        </w:rPr>
        <w:t xml:space="preserve">ического развития Томской области на основе применения высокотехнологичных решений. Из организаций ТНОК поступило 72 заявки, 12 участников прошли в очный этап. По итогам конкурса определено 6 победителей, вручены  сертификаты на 300, 200 и 100 тыс. рублей.</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4. Конкурс на соискание премий Администрации Томской области «Профессор года» и «Студент года» с участием 93 соискателей на получение 37 премий.</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5</w:t>
      </w:r>
      <w:r>
        <w:rPr>
          <w:rFonts w:ascii="PT Astra Serif" w:hAnsi="PT Astra Serif"/>
        </w:rPr>
        <w:t xml:space="preserve">. Фестиваль науки с участием более 4 000 участников.</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С целью развития межрегионального сотрудничества проведена VIII</w:t>
      </w:r>
      <w:r>
        <w:rPr>
          <w:rFonts w:ascii="PT Astra Serif" w:hAnsi="PT Astra Serif"/>
        </w:rPr>
        <w:t xml:space="preserve"> </w:t>
      </w:r>
      <w:r>
        <w:rPr>
          <w:rFonts w:ascii="PT Astra Serif" w:hAnsi="PT Astra Serif"/>
        </w:rPr>
        <w:t xml:space="preserve">Межрегиональная научно-практическая студенческая конференция, посвященная Дню Российской науки</w:t>
      </w:r>
      <w:r>
        <w:rPr>
          <w:rFonts w:ascii="PT Astra Serif" w:hAnsi="PT Astra Serif"/>
        </w:rPr>
        <w:t xml:space="preserve">,</w:t>
      </w:r>
      <w:r>
        <w:rPr>
          <w:rFonts w:ascii="PT Astra Serif" w:hAnsi="PT Astra Serif"/>
        </w:rPr>
        <w:t xml:space="preserve"> с участием студентов из образовательных организаций Республики Беларусь: УО «Бор</w:t>
      </w:r>
      <w:r>
        <w:rPr>
          <w:rFonts w:ascii="PT Astra Serif" w:hAnsi="PT Astra Serif"/>
        </w:rPr>
        <w:t xml:space="preserve">исовский государственный медицинский колледж»; УО «Минский государственный медицинский колледж»; УО «Оршанский государственный медицинский колледж»; УО «Слонимский государственный медицинский колледж»; УО «Могилевский государственный медицинский колледж».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В 2023 году</w:t>
      </w:r>
      <w:r>
        <w:rPr>
          <w:rFonts w:ascii="PT Astra Serif" w:hAnsi="PT Astra Serif"/>
        </w:rPr>
        <w:t xml:space="preserve"> в</w:t>
      </w:r>
      <w:r>
        <w:rPr>
          <w:rFonts w:ascii="PT Astra Serif" w:hAnsi="PT Astra Serif"/>
        </w:rPr>
        <w:t xml:space="preserve"> </w:t>
      </w:r>
      <w:r>
        <w:rPr>
          <w:rFonts w:ascii="PT Astra Serif" w:hAnsi="PT Astra Serif"/>
        </w:rPr>
        <w:t xml:space="preserve">г. Сурабая на базе Sepuluh Nopember Institute of Technology (ITS) состоялось официальное открытие представительства «Большого университета Томска». Это первое представительство российских вузов в Индонезии, которое обеспечит информационную, документальную </w:t>
      </w:r>
      <w:r>
        <w:rPr>
          <w:rFonts w:ascii="PT Astra Serif" w:hAnsi="PT Astra Serif"/>
        </w:rPr>
        <w:t xml:space="preserve">и академическую поддержку, развитие технологического сотрудничества между университетами. Например, в ТГУ одним из перспективных направлений  сотрудничества является создание технологий очистки и восстановления экосистем с применением «Аэрощупа», в ТУСУРе </w:t>
      </w:r>
      <w:r>
        <w:rPr>
          <w:rFonts w:ascii="PT Astra Serif" w:hAnsi="PT Astra Serif" w:cstheme="minorBidi"/>
        </w:rPr>
        <w:t xml:space="preserve">–</w:t>
      </w:r>
      <w:r>
        <w:rPr>
          <w:rFonts w:ascii="PT Astra Serif" w:hAnsi="PT Astra Serif"/>
        </w:rPr>
        <w:t xml:space="preserve"> продвижение собственных IT-решений, а ТПУ </w:t>
      </w:r>
      <w:r>
        <w:rPr>
          <w:rFonts w:ascii="PT Astra Serif" w:hAnsi="PT Astra Serif" w:cstheme="minorBidi"/>
        </w:rPr>
        <w:t xml:space="preserve">–</w:t>
      </w:r>
      <w:r>
        <w:rPr>
          <w:rFonts w:ascii="PT Astra Serif" w:hAnsi="PT Astra Serif"/>
        </w:rPr>
        <w:t xml:space="preserve"> программа повышения квалификации в нефтегазовой отрасли. </w:t>
      </w:r>
      <w:r>
        <w:rPr>
          <w:rFonts w:ascii="PT Astra Serif" w:hAnsi="PT Astra Serif"/>
        </w:rPr>
      </w:r>
      <w:r>
        <w:rPr>
          <w:rFonts w:ascii="PT Astra Serif" w:hAnsi="PT Astra Serif"/>
        </w:rPr>
      </w:r>
    </w:p>
    <w:p>
      <w:pPr>
        <w:pStyle w:val="1154"/>
        <w:ind w:firstLine="709"/>
        <w:jc w:val="both"/>
        <w:rPr>
          <w:rFonts w:ascii="PT Astra Serif" w:hAnsi="PT Astra Serif"/>
        </w:rPr>
      </w:pPr>
      <w:r>
        <w:rPr>
          <w:rFonts w:ascii="PT Astra Serif" w:hAnsi="PT Astra Serif"/>
        </w:rPr>
        <w:t xml:space="preserve">Кроме того, на базе представительства индонезийцы смогут осваивать русский язык как иностранный. Для решения зада</w:t>
      </w:r>
      <w:r>
        <w:rPr>
          <w:rFonts w:ascii="PT Astra Serif" w:hAnsi="PT Astra Serif"/>
        </w:rPr>
        <w:t xml:space="preserve">ч в представительстве на ротационной основе будет обеспечено постоянное присутствие сотрудников томских вузов. В будущем посетители представительства «Большого университета Томска» смогут иметь доступ к электронным библиотекам и базам данных вузов Томска. </w:t>
      </w:r>
      <w:r>
        <w:rPr>
          <w:rFonts w:ascii="PT Astra Serif" w:hAnsi="PT Astra Serif"/>
        </w:rPr>
      </w:r>
      <w:r>
        <w:rPr>
          <w:rFonts w:ascii="PT Astra Serif" w:hAnsi="PT Astra Serif"/>
        </w:rPr>
      </w:r>
    </w:p>
    <w:p>
      <w:pPr>
        <w:ind w:firstLine="567"/>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567"/>
        <w:jc w:val="both"/>
        <w:spacing w:after="0" w:line="240" w:lineRule="auto"/>
        <w:tabs>
          <w:tab w:val="left" w:pos="4962" w:leader="none"/>
        </w:tabs>
        <w:rPr>
          <w:rFonts w:ascii="PT Astra Serif" w:hAnsi="PT Astra Serif"/>
          <w:sz w:val="24"/>
          <w:szCs w:val="24"/>
        </w:rPr>
      </w:pPr>
      <w:r>
        <w:rPr>
          <w:rFonts w:ascii="PT Astra Serif" w:hAnsi="PT Astra Serif"/>
          <w:sz w:val="24"/>
          <w:szCs w:val="24"/>
        </w:rPr>
        <w:t xml:space="preserve">1. Формирование кадрового и научного потенциала для развития Томской области и Российской Федерации за счет реализации проекта «Большой университет</w:t>
      </w:r>
      <w:r>
        <w:rPr>
          <w:rFonts w:ascii="PT Astra Serif" w:hAnsi="PT Astra Serif"/>
          <w:sz w:val="24"/>
          <w:szCs w:val="24"/>
        </w:rPr>
        <w:t xml:space="preserve"> Томска</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567"/>
        <w:jc w:val="both"/>
        <w:spacing w:after="0" w:line="240" w:lineRule="auto"/>
        <w:tabs>
          <w:tab w:val="left" w:pos="4962" w:leader="none"/>
        </w:tabs>
        <w:rPr>
          <w:rFonts w:ascii="PT Astra Serif" w:hAnsi="PT Astra Serif"/>
          <w:sz w:val="24"/>
          <w:szCs w:val="24"/>
        </w:rPr>
      </w:pPr>
      <w:r>
        <w:rPr>
          <w:rFonts w:ascii="PT Astra Serif" w:hAnsi="PT Astra Serif"/>
          <w:sz w:val="24"/>
          <w:szCs w:val="24"/>
        </w:rPr>
        <w:t xml:space="preserve">2. Привлечение талантливой молодежи в сферу исследований и разработок.</w:t>
      </w:r>
      <w:r>
        <w:rPr>
          <w:rFonts w:ascii="PT Astra Serif" w:hAnsi="PT Astra Serif"/>
          <w:sz w:val="24"/>
          <w:szCs w:val="24"/>
        </w:rPr>
      </w:r>
      <w:r>
        <w:rPr>
          <w:rFonts w:ascii="PT Astra Serif" w:hAnsi="PT Astra Serif"/>
          <w:sz w:val="24"/>
          <w:szCs w:val="24"/>
        </w:rPr>
      </w:r>
    </w:p>
    <w:p>
      <w:pPr>
        <w:ind w:firstLine="567"/>
        <w:jc w:val="both"/>
        <w:spacing w:after="0" w:line="240" w:lineRule="auto"/>
        <w:tabs>
          <w:tab w:val="left" w:pos="4962" w:leader="none"/>
        </w:tabs>
        <w:rPr>
          <w:rFonts w:ascii="PT Astra Serif" w:hAnsi="PT Astra Serif"/>
          <w:sz w:val="24"/>
          <w:szCs w:val="24"/>
        </w:rPr>
      </w:pPr>
      <w:r>
        <w:rPr>
          <w:rFonts w:ascii="PT Astra Serif" w:hAnsi="PT Astra Serif"/>
          <w:sz w:val="24"/>
          <w:szCs w:val="24"/>
        </w:rPr>
        <w:t xml:space="preserve">3. Выстраивание новых рынков образовательных услуг под воздействием внешней геополитической ситуации.</w:t>
      </w:r>
      <w:r>
        <w:rPr>
          <w:rFonts w:ascii="PT Astra Serif" w:hAnsi="PT Astra Serif"/>
          <w:sz w:val="24"/>
          <w:szCs w:val="24"/>
        </w:rPr>
      </w:r>
      <w:r>
        <w:rPr>
          <w:rFonts w:ascii="PT Astra Serif" w:hAnsi="PT Astra Serif"/>
          <w:sz w:val="24"/>
          <w:szCs w:val="24"/>
        </w:rPr>
      </w:r>
    </w:p>
    <w:p>
      <w:pPr>
        <w:pStyle w:val="1146"/>
        <w:outlineLvl w:val="1"/>
      </w:pPr>
      <w:r/>
      <w:bookmarkStart w:id="15" w:name="_Toc134630405"/>
      <w:r/>
      <w:r/>
    </w:p>
    <w:p>
      <w:pPr>
        <w:pStyle w:val="1146"/>
        <w:outlineLvl w:val="1"/>
      </w:pPr>
      <w:r/>
      <w:r/>
    </w:p>
    <w:p>
      <w:pPr>
        <w:pStyle w:val="1146"/>
        <w:outlineLvl w:val="1"/>
      </w:pPr>
      <w:r>
        <w:t xml:space="preserve">3.3. Содействие развитию строительного комплекса, повышению качества жилищных условий, доступности жилья и качества городской среды</w:t>
      </w:r>
      <w:bookmarkEnd w:id="15"/>
      <w:r/>
      <w:r/>
    </w:p>
    <w:p>
      <w:pPr>
        <w:jc w:val="both"/>
        <w:spacing w:after="0" w:line="240" w:lineRule="auto"/>
        <w:tabs>
          <w:tab w:val="left" w:pos="4962" w:leader="none"/>
        </w:tabs>
        <w:rPr>
          <w:rFonts w:ascii="PT Astra Serif" w:hAnsi="PT Astra Serif" w:eastAsia="Times New Roman"/>
          <w:b/>
          <w:sz w:val="24"/>
          <w:szCs w:val="24"/>
        </w:rPr>
      </w:pPr>
      <w:r>
        <w:rPr>
          <w:rFonts w:ascii="PT Astra Serif" w:hAnsi="PT Astra Serif" w:eastAsia="Times New Roman"/>
          <w:b/>
          <w:sz w:val="24"/>
          <w:szCs w:val="24"/>
        </w:rPr>
      </w:r>
      <w:r>
        <w:rPr>
          <w:rFonts w:ascii="PT Astra Serif" w:hAnsi="PT Astra Serif" w:eastAsia="Times New Roman"/>
          <w:b/>
          <w:sz w:val="24"/>
          <w:szCs w:val="24"/>
        </w:rPr>
      </w:r>
      <w:r>
        <w:rPr>
          <w:rFonts w:ascii="PT Astra Serif" w:hAnsi="PT Astra Serif" w:eastAsia="Times New Roman"/>
          <w:b/>
          <w:sz w:val="24"/>
          <w:szCs w:val="24"/>
        </w:rPr>
      </w:r>
    </w:p>
    <w:p>
      <w:pPr>
        <w:jc w:val="both"/>
        <w:spacing w:after="0" w:line="240" w:lineRule="auto"/>
        <w:shd w:val="clear" w:color="auto" w:fill="eaf1dd" w:themeFill="accent3" w:themeFillTint="33"/>
        <w:tabs>
          <w:tab w:val="left" w:pos="0" w:leader="none"/>
        </w:tabs>
        <w:rPr>
          <w:rFonts w:ascii="PT Astra Serif" w:hAnsi="PT Astra Serif" w:eastAsia="Times New Roman"/>
          <w:b/>
          <w:sz w:val="24"/>
          <w:szCs w:val="24"/>
        </w:rPr>
      </w:pPr>
      <w:r>
        <w:rPr>
          <w:rFonts w:ascii="PT Astra Serif" w:hAnsi="PT Astra Serif" w:eastAsia="Times New Roman"/>
          <w:b/>
          <w:sz w:val="24"/>
          <w:szCs w:val="24"/>
        </w:rPr>
        <w:t xml:space="preserve">Строительство</w:t>
      </w:r>
      <w:r>
        <w:rPr>
          <w:rStyle w:val="1138"/>
          <w:rFonts w:ascii="PT Astra Serif" w:hAnsi="PT Astra Serif" w:eastAsia="Times New Roman"/>
          <w:b/>
          <w:sz w:val="24"/>
          <w:szCs w:val="24"/>
        </w:rPr>
        <w:footnoteReference w:id="6"/>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Строительная отрасль Томской области носит стратегический, обеспечивающий характер и является локомотивом развития смежных отраслей экономики региона.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Ключевыми задачами отрасли являются обеспечение населения качественным, доступным жильем и </w:t>
      </w:r>
      <w:r>
        <w:rPr>
          <w:rFonts w:ascii="PT Astra Serif" w:hAnsi="PT Astra Serif" w:eastAsia="Times New Roman"/>
          <w:sz w:val="24"/>
          <w:szCs w:val="24"/>
        </w:rPr>
        <w:t xml:space="preserve">современной недвижимостью, стимулирование развития новых технологий и поддержка местного бизнеса в переходе на новую технологическую базу на всех стадиях жизненного цикла строительных объектов, позволяющую качественно и в срок вводить строительные объекты.</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sz w:val="24"/>
          <w:szCs w:val="24"/>
          <w:lang w:eastAsia="ru-RU"/>
        </w:rPr>
      </w:pPr>
      <w:r>
        <w:rPr>
          <w:rFonts w:ascii="PT Astra Serif" w:hAnsi="PT Astra Serif"/>
          <w:sz w:val="24"/>
          <w:szCs w:val="24"/>
          <w:lang w:eastAsia="ru-RU"/>
        </w:rPr>
        <w:drawing>
          <wp:anchor xmlns:wp="http://schemas.openxmlformats.org/drawingml/2006/wordprocessingDrawing" xmlns:wp14="http://schemas.microsoft.com/office/word/2010/wordprocessingDrawing" distT="0" distB="0" distL="114300" distR="114300" simplePos="0" relativeHeight="251759616" behindDoc="1" locked="0" layoutInCell="1" allowOverlap="1">
            <wp:simplePos x="0" y="0"/>
            <wp:positionH relativeFrom="column">
              <wp:posOffset>62865</wp:posOffset>
            </wp:positionH>
            <wp:positionV relativeFrom="paragraph">
              <wp:posOffset>1153160</wp:posOffset>
            </wp:positionV>
            <wp:extent cx="2691130" cy="2261870"/>
            <wp:effectExtent l="0" t="0" r="0" b="0"/>
            <wp:wrapSquare wrapText="bothSides"/>
            <wp:docPr id="47" name="Диаграмма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14:sizeRelH relativeFrom="page">
              <wp14:pctWidth>0</wp14:pctWidth>
            </wp14:sizeRelH>
            <wp14:sizeRelV relativeFrom="page">
              <wp14:pctHeight>0</wp14:pctHeight>
            </wp14:sizeRelV>
          </wp:anchor>
        </w:drawing>
      </w:r>
      <w:r>
        <w:rPr>
          <w:rFonts w:ascii="PT Astra Serif" w:hAnsi="PT Astra Serif" w:eastAsia="Times New Roman"/>
          <w:sz w:val="24"/>
          <w:szCs w:val="24"/>
        </w:rPr>
        <w:t xml:space="preserve">По итогам 2023 года объем работ по виду деятельности «Строительство» составил 76,3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 превысив по</w:t>
      </w:r>
      <w:r>
        <w:rPr>
          <w:rFonts w:ascii="PT Astra Serif" w:hAnsi="PT Astra Serif" w:eastAsia="Times New Roman"/>
          <w:sz w:val="24"/>
          <w:szCs w:val="24"/>
        </w:rPr>
        <w:t xml:space="preserve">казатель 2022 года в текущих ценах на 9,1%, при этом в сопоставимых ценах зафиксировано увеличение ИФО – 101,6%. Основное влияние на формирование показателя после отрицательной динамики 2022 года (ИФО – 82,0%) оказало увеличение ввода многоквартирных домов</w:t>
      </w:r>
      <w:r>
        <w:rPr>
          <w:sz w:val="24"/>
          <w:szCs w:val="24"/>
          <w:lang w:eastAsia="ru-RU"/>
        </w:rPr>
        <w:t xml:space="preserve">.</w:t>
      </w:r>
      <w:r>
        <w:rPr>
          <w:rFonts w:ascii="PT Astra Serif" w:hAnsi="PT Astra Serif" w:eastAsia="Times New Roman"/>
          <w:sz w:val="24"/>
          <w:szCs w:val="24"/>
        </w:rPr>
        <w:t xml:space="preserve"> В 2023 построено 535,3 тыс. кв.</w:t>
      </w:r>
      <w:r>
        <w:rPr>
          <w:rFonts w:ascii="PT Astra Serif" w:hAnsi="PT Astra Serif" w:eastAsia="Times New Roman"/>
          <w:sz w:val="24"/>
          <w:szCs w:val="24"/>
        </w:rPr>
        <w:t xml:space="preserve"> </w:t>
      </w:r>
      <w:r>
        <w:rPr>
          <w:rFonts w:ascii="PT Astra Serif" w:hAnsi="PT Astra Serif" w:eastAsia="Times New Roman"/>
          <w:sz w:val="24"/>
          <w:szCs w:val="24"/>
        </w:rPr>
        <w:t xml:space="preserve">м. жилья, что на </w:t>
      </w:r>
      <w:r>
        <w:rPr>
          <w:rFonts w:ascii="PT Astra Serif" w:hAnsi="PT Astra Serif" w:eastAsia="Times New Roman"/>
          <w:sz w:val="24"/>
          <w:szCs w:val="24"/>
        </w:rPr>
        <w:t xml:space="preserve">4</w:t>
      </w:r>
      <w:r>
        <w:rPr>
          <w:rFonts w:ascii="PT Astra Serif" w:hAnsi="PT Astra Serif" w:eastAsia="Times New Roman"/>
          <w:sz w:val="24"/>
          <w:szCs w:val="24"/>
        </w:rPr>
        <w:t xml:space="preserve">7,</w:t>
      </w:r>
      <w:r>
        <w:rPr>
          <w:rFonts w:ascii="PT Astra Serif" w:hAnsi="PT Astra Serif" w:eastAsia="Times New Roman"/>
          <w:sz w:val="24"/>
          <w:szCs w:val="24"/>
        </w:rPr>
        <w:t xml:space="preserve">0</w:t>
      </w:r>
      <w:r>
        <w:rPr>
          <w:rFonts w:ascii="PT Astra Serif" w:hAnsi="PT Astra Serif" w:eastAsia="Times New Roman"/>
          <w:sz w:val="24"/>
          <w:szCs w:val="24"/>
        </w:rPr>
        <w:t xml:space="preserve">% больше чем в 2022 году.</w:t>
      </w:r>
      <w:r>
        <w:rPr>
          <w:sz w:val="24"/>
          <w:szCs w:val="24"/>
          <w:lang w:eastAsia="ru-RU"/>
        </w:rPr>
      </w:r>
      <w:r>
        <w:rPr>
          <w:sz w:val="24"/>
          <w:szCs w:val="24"/>
          <w:lang w:eastAsia="ru-RU"/>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Объем работ и услуг, выполненных собственными силами предприятий и организаций по виду деятельности «Строительство зданий и сооруже</w:t>
      </w:r>
      <w:r>
        <w:rPr>
          <w:rFonts w:ascii="PT Astra Serif" w:hAnsi="PT Astra Serif" w:eastAsia="Times New Roman"/>
          <w:sz w:val="24"/>
          <w:szCs w:val="24"/>
        </w:rPr>
        <w:t xml:space="preserve">ний» в 2023 году составил 110,6</w:t>
      </w:r>
      <w:r>
        <w:rPr>
          <w:rFonts w:ascii="PT Astra Serif" w:hAnsi="PT Astra Serif" w:eastAsia="Times New Roman"/>
          <w:sz w:val="24"/>
          <w:szCs w:val="24"/>
        </w:rPr>
        <w:t xml:space="preserve">% к аналогичному периоду прошлого года (+10,6%). </w:t>
      </w:r>
      <w:r>
        <w:rPr>
          <w:rFonts w:ascii="PT Astra Serif" w:hAnsi="PT Astra Serif" w:eastAsia="Times New Roman"/>
          <w:sz w:val="24"/>
          <w:szCs w:val="24"/>
        </w:rPr>
      </w:r>
      <w:r>
        <w:rPr>
          <w:rFonts w:ascii="PT Astra Serif" w:hAnsi="PT Astra Serif" w:eastAsia="Times New Roman"/>
          <w:sz w:val="24"/>
          <w:szCs w:val="24"/>
        </w:rPr>
      </w:r>
    </w:p>
    <w:p>
      <w:pPr>
        <w:contextualSpacing/>
        <w:ind w:firstLine="709"/>
        <w:jc w:val="both"/>
        <w:spacing w:after="0" w:line="240" w:lineRule="auto"/>
        <w:tabs>
          <w:tab w:val="left" w:pos="4536" w:leader="none"/>
        </w:tabs>
        <w:rPr>
          <w:rFonts w:ascii="PT Astra Serif" w:hAnsi="PT Astra Serif" w:eastAsia="Times New Roman"/>
          <w:sz w:val="24"/>
          <w:szCs w:val="24"/>
        </w:rPr>
      </w:pPr>
      <w:r>
        <w:rPr>
          <w:rFonts w:ascii="PT Astra Serif" w:hAnsi="PT Astra Serif" w:eastAsia="Times New Roman"/>
          <w:sz w:val="24"/>
          <w:szCs w:val="24"/>
        </w:rPr>
        <w:t xml:space="preserve">В структуре строительных работ по крупным и средним организациям по итогам 2023 года преобладают строительство инженерных сооружений (доля в общем объеме работ составляет 49,6%) и строительство зданий (доля – 35,0%). </w:t>
      </w:r>
      <w:r>
        <w:rPr>
          <w:rFonts w:ascii="PT Astra Serif" w:hAnsi="PT Astra Serif" w:eastAsia="Times New Roman"/>
          <w:sz w:val="24"/>
          <w:szCs w:val="24"/>
        </w:rPr>
      </w:r>
      <w:r>
        <w:rPr>
          <w:rFonts w:ascii="PT Astra Serif" w:hAnsi="PT Astra Serif" w:eastAsia="Times New Roman"/>
          <w:sz w:val="24"/>
          <w:szCs w:val="24"/>
        </w:rPr>
      </w:r>
    </w:p>
    <w:p>
      <w:pPr>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Рисунок 1</w:t>
      </w:r>
      <w:r>
        <w:rPr>
          <w:rFonts w:ascii="PT Astra Serif" w:hAnsi="PT Astra Serif" w:eastAsia="Times New Roman"/>
          <w:sz w:val="24"/>
          <w:szCs w:val="24"/>
        </w:rPr>
        <w:t xml:space="preserve">1</w:t>
      </w:r>
      <w:r>
        <w:rPr>
          <w:rFonts w:ascii="PT Astra Serif" w:hAnsi="PT Astra Serif" w:eastAsia="Times New Roman"/>
          <w:sz w:val="24"/>
          <w:szCs w:val="24"/>
        </w:rPr>
        <w:t xml:space="preserve"> </w:t>
      </w:r>
      <w:r>
        <w:rPr>
          <w:rFonts w:ascii="PT Astra Serif" w:hAnsi="PT Astra Serif" w:cstheme="minorBidi"/>
          <w:sz w:val="24"/>
          <w:szCs w:val="24"/>
        </w:rPr>
        <w:t xml:space="preserve">–</w:t>
      </w:r>
      <w:r>
        <w:rPr>
          <w:rFonts w:ascii="PT Astra Serif" w:hAnsi="PT Astra Serif" w:eastAsia="Times New Roman"/>
          <w:sz w:val="24"/>
          <w:szCs w:val="24"/>
        </w:rPr>
        <w:t xml:space="preserve"> Структура строительных работ</w:t>
      </w:r>
      <w:r>
        <w:rPr>
          <w:rFonts w:ascii="PT Astra Serif" w:hAnsi="PT Astra Serif" w:eastAsia="Times New Roman"/>
          <w:sz w:val="24"/>
          <w:szCs w:val="24"/>
        </w:rPr>
        <w:br/>
        <w:t xml:space="preserve">по крупным и средним организациям</w:t>
      </w:r>
      <w:r>
        <w:rPr>
          <w:rFonts w:ascii="PT Astra Serif" w:hAnsi="PT Astra Serif" w:eastAsia="Times New Roman"/>
          <w:sz w:val="24"/>
          <w:szCs w:val="24"/>
        </w:rPr>
      </w:r>
      <w:r>
        <w:rPr>
          <w:rFonts w:ascii="PT Astra Serif" w:hAnsi="PT Astra Serif" w:eastAsia="Times New Roman"/>
          <w:sz w:val="24"/>
          <w:szCs w:val="24"/>
        </w:rPr>
      </w:r>
    </w:p>
    <w:p>
      <w:pPr>
        <w:ind w:firstLine="709"/>
        <w:jc w:val="right"/>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right"/>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Таблица </w:t>
      </w:r>
      <w:r>
        <w:rPr>
          <w:rFonts w:ascii="PT Astra Serif" w:hAnsi="PT Astra Serif" w:eastAsia="Times New Roman"/>
          <w:sz w:val="24"/>
          <w:szCs w:val="24"/>
        </w:rPr>
        <w:t xml:space="preserve">9</w:t>
      </w:r>
      <w:r>
        <w:rPr>
          <w:rFonts w:ascii="PT Astra Serif" w:hAnsi="PT Astra Serif" w:eastAsia="Times New Roman"/>
          <w:sz w:val="24"/>
          <w:szCs w:val="24"/>
        </w:rPr>
      </w:r>
      <w:r>
        <w:rPr>
          <w:rFonts w:ascii="PT Astra Serif" w:hAnsi="PT Astra Serif" w:eastAsia="Times New Roman"/>
          <w:sz w:val="24"/>
          <w:szCs w:val="24"/>
        </w:rPr>
      </w:r>
    </w:p>
    <w:p>
      <w:pPr>
        <w:jc w:val="center"/>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Объем работ, выполненных по виду деятельности «Строительство», </w:t>
      </w:r>
      <w:r>
        <w:rPr>
          <w:rFonts w:ascii="PT Astra Serif" w:hAnsi="PT Astra Serif" w:eastAsia="Times New Roman"/>
          <w:sz w:val="24"/>
          <w:szCs w:val="24"/>
        </w:rPr>
        <w:t xml:space="preserve">млрд </w:t>
      </w:r>
      <w:r>
        <w:rPr>
          <w:rFonts w:ascii="PT Astra Serif" w:hAnsi="PT Astra Serif" w:eastAsia="Times New Roman"/>
          <w:sz w:val="24"/>
          <w:szCs w:val="24"/>
        </w:rPr>
        <w:t xml:space="preserve">рублей</w:t>
      </w:r>
      <w:r>
        <w:rPr>
          <w:rFonts w:ascii="PT Astra Serif" w:hAnsi="PT Astra Serif" w:eastAsia="Times New Roman"/>
          <w:sz w:val="24"/>
          <w:szCs w:val="24"/>
        </w:rPr>
      </w:r>
      <w:r>
        <w:rPr>
          <w:rFonts w:ascii="PT Astra Serif" w:hAnsi="PT Astra Serif" w:eastAsia="Times New Roman"/>
          <w:sz w:val="24"/>
          <w:szCs w:val="24"/>
        </w:rPr>
      </w:r>
    </w:p>
    <w:p>
      <w:pPr>
        <w:jc w:val="center"/>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tbl>
      <w:tblPr>
        <w:tblpPr w:horzAnchor="margin" w:tblpXSpec="center" w:vertAnchor="text" w:tblpY="118" w:leftFromText="181" w:topFromText="0" w:rightFromText="181" w:bottomFromText="200"/>
        <w:tblW w:w="9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782"/>
        <w:gridCol w:w="1232"/>
        <w:gridCol w:w="1260"/>
        <w:gridCol w:w="1146"/>
      </w:tblGrid>
      <w:tr>
        <w:tblPrEx/>
        <w:trPr>
          <w:trHeight w:val="290"/>
        </w:trPr>
        <w:tc>
          <w:tcPr>
            <w:tcBorders>
              <w:top w:val="single" w:color="auto" w:sz="4" w:space="0"/>
              <w:left w:val="single" w:color="auto" w:sz="4" w:space="0"/>
              <w:bottom w:val="single" w:color="auto" w:sz="4" w:space="0"/>
              <w:right w:val="single" w:color="auto" w:sz="4" w:space="0"/>
            </w:tcBorders>
            <w:tcW w:w="5778" w:type="dxa"/>
            <w:vAlign w:val="center"/>
            <w:vMerge w:val="restart"/>
            <w:textDirection w:val="lrTb"/>
            <w:noWrap w:val="false"/>
          </w:tcPr>
          <w:p>
            <w:pPr>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Объем работ, выполненных по виду деятельности «Строительство»,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w:t>
            </w:r>
            <w:r>
              <w:rPr>
                <w:rFonts w:ascii="PT Astra Serif" w:hAnsi="PT Astra Serif" w:eastAsia="Times New Roman"/>
                <w:sz w:val="24"/>
                <w:szCs w:val="24"/>
              </w:rPr>
            </w:r>
            <w:r>
              <w:rPr>
                <w:rFonts w:ascii="PT Astra Serif" w:hAnsi="PT Astra Serif" w:eastAsia="Times New Roman"/>
                <w:sz w:val="24"/>
                <w:szCs w:val="24"/>
              </w:rP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tcPr>
          <w:p>
            <w:pPr>
              <w:jc w:val="center"/>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2021 год</w:t>
            </w:r>
            <w:r>
              <w:rPr>
                <w:rFonts w:ascii="PT Astra Serif" w:hAnsi="PT Astra Serif" w:eastAsia="Times New Roman"/>
                <w:sz w:val="24"/>
                <w:szCs w:val="24"/>
              </w:rPr>
            </w:r>
            <w:r>
              <w:rPr>
                <w:rFonts w:ascii="PT Astra Serif" w:hAnsi="PT Astra Serif" w:eastAsia="Times New Roman"/>
                <w:sz w:val="24"/>
                <w:szCs w:val="24"/>
              </w:rP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2022 год </w:t>
            </w:r>
            <w:r>
              <w:rPr>
                <w:rFonts w:ascii="PT Astra Serif" w:hAnsi="PT Astra Serif" w:eastAsia="Times New Roman"/>
                <w:sz w:val="24"/>
                <w:szCs w:val="24"/>
              </w:rPr>
            </w:r>
            <w:r>
              <w:rPr>
                <w:rFonts w:ascii="PT Astra Serif" w:hAnsi="PT Astra Serif" w:eastAsia="Times New Roman"/>
                <w:sz w:val="24"/>
                <w:szCs w:val="24"/>
              </w:rP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2023 год</w:t>
            </w:r>
            <w:r>
              <w:rPr>
                <w:rFonts w:ascii="PT Astra Serif" w:hAnsi="PT Astra Serif" w:eastAsia="Times New Roman"/>
                <w:sz w:val="24"/>
                <w:szCs w:val="24"/>
              </w:rPr>
            </w:r>
            <w:r>
              <w:rPr>
                <w:rFonts w:ascii="PT Astra Serif" w:hAnsi="PT Astra Serif" w:eastAsia="Times New Roman"/>
                <w:sz w:val="24"/>
                <w:szCs w:val="24"/>
              </w:rPr>
            </w:r>
          </w:p>
        </w:tc>
      </w:tr>
      <w:tr>
        <w:tblPrEx/>
        <w:trPr>
          <w:trHeight w:val="290"/>
        </w:trPr>
        <w:tc>
          <w:tcPr>
            <w:tcBorders>
              <w:top w:val="single" w:color="auto" w:sz="4" w:space="0"/>
              <w:left w:val="single" w:color="auto" w:sz="4" w:space="0"/>
              <w:bottom w:val="single" w:color="auto" w:sz="4" w:space="0"/>
              <w:right w:val="single" w:color="auto" w:sz="4" w:space="0"/>
            </w:tcBorders>
            <w:tcW w:w="5778" w:type="dxa"/>
            <w:vAlign w:val="center"/>
            <w:vMerge w:val="continue"/>
            <w:textDirection w:val="lrTb"/>
            <w:noWrap w:val="false"/>
          </w:tcPr>
          <w:p>
            <w:pPr>
              <w:spacing w:after="0" w:line="240" w:lineRule="auto"/>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tcPr>
          <w:p>
            <w:pPr>
              <w:jc w:val="center"/>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68,8</w:t>
            </w:r>
            <w:r>
              <w:rPr>
                <w:rFonts w:ascii="PT Astra Serif" w:hAnsi="PT Astra Serif" w:eastAsia="Times New Roman"/>
                <w:sz w:val="24"/>
                <w:szCs w:val="24"/>
              </w:rPr>
            </w:r>
            <w:r>
              <w:rPr>
                <w:rFonts w:ascii="PT Astra Serif" w:hAnsi="PT Astra Serif" w:eastAsia="Times New Roman"/>
                <w:sz w:val="24"/>
                <w:szCs w:val="24"/>
              </w:rP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ind w:firstLine="17"/>
              <w:jc w:val="center"/>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69,9</w:t>
            </w:r>
            <w:r>
              <w:rPr>
                <w:rFonts w:ascii="PT Astra Serif" w:hAnsi="PT Astra Serif" w:eastAsia="Times New Roman"/>
                <w:sz w:val="24"/>
                <w:szCs w:val="24"/>
              </w:rPr>
            </w:r>
            <w:r>
              <w:rPr>
                <w:rFonts w:ascii="PT Astra Serif" w:hAnsi="PT Astra Serif" w:eastAsia="Times New Roman"/>
                <w:sz w:val="24"/>
                <w:szCs w:val="24"/>
              </w:rP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76,3</w:t>
            </w:r>
            <w:r>
              <w:rPr>
                <w:rFonts w:ascii="PT Astra Serif" w:hAnsi="PT Astra Serif" w:eastAsia="Times New Roman"/>
                <w:sz w:val="24"/>
                <w:szCs w:val="24"/>
              </w:rPr>
            </w:r>
            <w:r>
              <w:rPr>
                <w:rFonts w:ascii="PT Astra Serif" w:hAnsi="PT Astra Serif" w:eastAsia="Times New Roman"/>
                <w:sz w:val="24"/>
                <w:szCs w:val="24"/>
              </w:rPr>
            </w:r>
          </w:p>
        </w:tc>
      </w:tr>
      <w:tr>
        <w:tblPrEx/>
        <w:trPr>
          <w:trHeight w:val="290"/>
        </w:trPr>
        <w:tc>
          <w:tcPr>
            <w:tcBorders>
              <w:top w:val="single" w:color="auto" w:sz="4" w:space="0"/>
              <w:left w:val="single" w:color="auto" w:sz="4" w:space="0"/>
              <w:bottom w:val="single" w:color="auto" w:sz="4" w:space="0"/>
              <w:right w:val="single" w:color="auto" w:sz="4" w:space="0"/>
            </w:tcBorders>
            <w:tcW w:w="5778" w:type="dxa"/>
            <w:vAlign w:val="center"/>
            <w:textDirection w:val="lrTb"/>
            <w:noWrap w:val="false"/>
          </w:tcPr>
          <w:p>
            <w:pPr>
              <w:jc w:val="both"/>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ИФО, в % к пред. году</w:t>
            </w:r>
            <w:r>
              <w:rPr>
                <w:rFonts w:ascii="PT Astra Serif" w:hAnsi="PT Astra Serif" w:eastAsia="Times New Roman"/>
                <w:sz w:val="24"/>
                <w:szCs w:val="24"/>
              </w:rPr>
            </w:r>
            <w:r>
              <w:rPr>
                <w:rFonts w:ascii="PT Astra Serif" w:hAnsi="PT Astra Serif" w:eastAsia="Times New Roman"/>
                <w:sz w:val="24"/>
                <w:szCs w:val="24"/>
              </w:rP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tcPr>
          <w:p>
            <w:pPr>
              <w:jc w:val="center"/>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98,7</w:t>
            </w:r>
            <w:r>
              <w:rPr>
                <w:rFonts w:ascii="PT Astra Serif" w:hAnsi="PT Astra Serif" w:eastAsia="Times New Roman"/>
                <w:sz w:val="24"/>
                <w:szCs w:val="24"/>
              </w:rPr>
            </w:r>
            <w:r>
              <w:rPr>
                <w:rFonts w:ascii="PT Astra Serif" w:hAnsi="PT Astra Serif" w:eastAsia="Times New Roman"/>
                <w:sz w:val="24"/>
                <w:szCs w:val="24"/>
              </w:rP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82,0</w:t>
            </w:r>
            <w:r>
              <w:rPr>
                <w:rFonts w:ascii="PT Astra Serif" w:hAnsi="PT Astra Serif" w:eastAsia="Times New Roman"/>
                <w:sz w:val="24"/>
                <w:szCs w:val="24"/>
              </w:rPr>
            </w:r>
            <w:r>
              <w:rPr>
                <w:rFonts w:ascii="PT Astra Serif" w:hAnsi="PT Astra Serif" w:eastAsia="Times New Roman"/>
                <w:sz w:val="24"/>
                <w:szCs w:val="24"/>
              </w:rPr>
            </w:r>
          </w:p>
        </w:tc>
        <w:tc>
          <w:tcPr>
            <w:tcBorders>
              <w:top w:val="single" w:color="auto" w:sz="4" w:space="0"/>
              <w:left w:val="single" w:color="auto" w:sz="4" w:space="0"/>
              <w:bottom w:val="single" w:color="auto" w:sz="4" w:space="0"/>
              <w:right w:val="single" w:color="auto" w:sz="4" w:space="0"/>
            </w:tcBorders>
            <w:tcW w:w="1145" w:type="dxa"/>
            <w:textDirection w:val="lrTb"/>
            <w:noWrap w:val="false"/>
          </w:tcPr>
          <w:p>
            <w:pPr>
              <w:jc w:val="center"/>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101,6</w:t>
            </w:r>
            <w:r>
              <w:rPr>
                <w:rFonts w:ascii="PT Astra Serif" w:hAnsi="PT Astra Serif" w:eastAsia="Times New Roman"/>
                <w:sz w:val="24"/>
                <w:szCs w:val="24"/>
              </w:rPr>
            </w:r>
            <w:r>
              <w:rPr>
                <w:rFonts w:ascii="PT Astra Serif" w:hAnsi="PT Astra Serif" w:eastAsia="Times New Roman"/>
                <w:sz w:val="24"/>
                <w:szCs w:val="24"/>
              </w:rPr>
            </w:r>
          </w:p>
        </w:tc>
      </w:tr>
    </w:tbl>
    <w:p>
      <w:pPr>
        <w:ind w:firstLine="709"/>
        <w:jc w:val="both"/>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Факторами сдерживания роста объемов строительства по-прежнему остаются:</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0" w:leader="none"/>
        </w:tabs>
        <w:rPr>
          <w:rFonts w:ascii="PT Astra Serif" w:hAnsi="PT Astra Serif" w:eastAsia="Times New Roman"/>
          <w:sz w:val="24"/>
          <w:szCs w:val="24"/>
        </w:rPr>
      </w:pPr>
      <w:r>
        <w:rPr>
          <w:rFonts w:ascii="PT Astra Serif" w:hAnsi="PT Astra Serif" w:cstheme="minorBidi"/>
          <w:sz w:val="24"/>
          <w:szCs w:val="24"/>
        </w:rPr>
        <w:t xml:space="preserve">–</w:t>
      </w:r>
      <w:r>
        <w:rPr>
          <w:rFonts w:ascii="PT Astra Serif" w:hAnsi="PT Astra Serif" w:eastAsia="Times New Roman"/>
          <w:sz w:val="24"/>
          <w:szCs w:val="24"/>
        </w:rPr>
        <w:t xml:space="preserve"> увеличение себестоимости строительных работ (рост цен на строительные материалы, энергоносители);</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0" w:leader="none"/>
        </w:tabs>
        <w:rPr>
          <w:rFonts w:ascii="PT Astra Serif" w:hAnsi="PT Astra Serif" w:eastAsia="Times New Roman"/>
          <w:sz w:val="24"/>
          <w:szCs w:val="24"/>
        </w:rPr>
      </w:pPr>
      <w:r>
        <w:rPr>
          <w:rFonts w:ascii="PT Astra Serif" w:hAnsi="PT Astra Serif" w:cstheme="minorBidi"/>
          <w:sz w:val="24"/>
          <w:szCs w:val="24"/>
        </w:rPr>
        <w:t xml:space="preserve">–</w:t>
      </w:r>
      <w:r>
        <w:rPr>
          <w:rFonts w:ascii="PT Astra Serif" w:hAnsi="PT Astra Serif" w:eastAsia="Times New Roman"/>
          <w:sz w:val="24"/>
          <w:szCs w:val="24"/>
        </w:rPr>
        <w:t xml:space="preserve"> удорожание кредитов (рост ключевой ставки ЦБ);</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0" w:leader="none"/>
        </w:tabs>
        <w:rPr>
          <w:rFonts w:ascii="PT Astra Serif" w:hAnsi="PT Astra Serif" w:eastAsia="Times New Roman"/>
          <w:sz w:val="24"/>
          <w:szCs w:val="24"/>
        </w:rPr>
      </w:pPr>
      <w:r>
        <w:rPr>
          <w:rFonts w:ascii="PT Astra Serif" w:hAnsi="PT Astra Serif" w:cstheme="minorBidi"/>
          <w:sz w:val="24"/>
          <w:szCs w:val="24"/>
        </w:rPr>
        <w:t xml:space="preserve">–</w:t>
      </w:r>
      <w:r>
        <w:rPr>
          <w:rFonts w:ascii="PT Astra Serif" w:hAnsi="PT Astra Serif" w:eastAsia="Times New Roman"/>
          <w:sz w:val="24"/>
          <w:szCs w:val="24"/>
        </w:rPr>
        <w:t xml:space="preserve"> увеличение транспортных издержек на поставку оборудования (нарушение логистических цепочек с начала 2022 года);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0" w:leader="none"/>
        </w:tabs>
        <w:rPr>
          <w:rFonts w:ascii="PT Astra Serif" w:hAnsi="PT Astra Serif" w:eastAsia="Times New Roman"/>
          <w:sz w:val="24"/>
          <w:szCs w:val="24"/>
        </w:rPr>
      </w:pPr>
      <w:r>
        <w:rPr>
          <w:rFonts w:ascii="PT Astra Serif" w:hAnsi="PT Astra Serif" w:cstheme="minorBidi"/>
          <w:sz w:val="24"/>
          <w:szCs w:val="24"/>
        </w:rPr>
        <w:t xml:space="preserve">–</w:t>
      </w:r>
      <w:r>
        <w:rPr>
          <w:rFonts w:ascii="PT Astra Serif" w:hAnsi="PT Astra Serif" w:eastAsia="Times New Roman"/>
          <w:sz w:val="24"/>
          <w:szCs w:val="24"/>
        </w:rPr>
        <w:t xml:space="preserve"> переход на эскроу-счет, который повысил себестоимость строительства;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0" w:leader="none"/>
        </w:tabs>
        <w:rPr>
          <w:rFonts w:ascii="PT Astra Serif" w:hAnsi="PT Astra Serif" w:eastAsia="Times New Roman"/>
          <w:sz w:val="24"/>
          <w:szCs w:val="24"/>
        </w:rPr>
      </w:pPr>
      <w:r>
        <w:rPr>
          <w:rFonts w:ascii="PT Astra Serif" w:hAnsi="PT Astra Serif" w:cstheme="minorBidi"/>
          <w:sz w:val="24"/>
          <w:szCs w:val="24"/>
        </w:rPr>
        <w:t xml:space="preserve">–</w:t>
      </w:r>
      <w:r>
        <w:rPr>
          <w:rFonts w:ascii="PT Astra Serif" w:hAnsi="PT Astra Serif" w:eastAsia="Times New Roman"/>
          <w:sz w:val="24"/>
          <w:szCs w:val="24"/>
        </w:rPr>
        <w:t xml:space="preserve"> дефицит кадров (отсутствие дешевой рабочей силы). </w:t>
      </w:r>
      <w:r>
        <w:rPr>
          <w:rFonts w:ascii="PT Astra Serif" w:hAnsi="PT Astra Serif" w:eastAsia="Times New Roman"/>
          <w:sz w:val="24"/>
          <w:szCs w:val="24"/>
        </w:rPr>
      </w:r>
      <w:r>
        <w:rPr>
          <w:rFonts w:ascii="PT Astra Serif" w:hAnsi="PT Astra Serif" w:eastAsia="Times New Roman"/>
          <w:sz w:val="24"/>
          <w:szCs w:val="24"/>
        </w:rPr>
      </w:r>
    </w:p>
    <w:p>
      <w:pPr>
        <w:jc w:val="both"/>
        <w:spacing w:after="0" w:line="240" w:lineRule="auto"/>
        <w:shd w:val="clear" w:color="auto" w:fill="eaf1dd" w:themeFill="accent3" w:themeFillTint="33"/>
        <w:tabs>
          <w:tab w:val="left" w:pos="4962" w:leader="none"/>
        </w:tabs>
        <w:rPr>
          <w:rFonts w:ascii="PT Astra Serif" w:hAnsi="PT Astra Serif" w:eastAsia="Times New Roman"/>
          <w:b/>
          <w:sz w:val="24"/>
          <w:szCs w:val="24"/>
        </w:rPr>
      </w:pPr>
      <w:r>
        <w:rPr>
          <w:rFonts w:ascii="PT Astra Serif" w:hAnsi="PT Astra Serif" w:eastAsia="Times New Roman"/>
          <w:b/>
          <w:sz w:val="24"/>
          <w:szCs w:val="24"/>
        </w:rPr>
        <w:t xml:space="preserve">Строительство и капитальный ремонт социальных объектов</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2023 году проведены следующие мероприятия:</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0" w:leader="none"/>
        </w:tabs>
        <w:rPr>
          <w:rFonts w:ascii="PT Astra Serif" w:hAnsi="PT Astra Serif" w:eastAsia="Calibri"/>
          <w:sz w:val="24"/>
          <w:szCs w:val="24"/>
        </w:rPr>
      </w:pPr>
      <w:r>
        <w:rPr>
          <w:rFonts w:ascii="PT Astra Serif" w:hAnsi="PT Astra Serif" w:eastAsia="Calibri"/>
          <w:sz w:val="24"/>
          <w:szCs w:val="24"/>
        </w:rPr>
        <w:t xml:space="preserve">1) завершены строительные работы:</w:t>
      </w:r>
      <w:r>
        <w:rPr>
          <w:rFonts w:ascii="PT Astra Serif" w:hAnsi="PT Astra Serif" w:eastAsia="Calibri"/>
          <w:sz w:val="24"/>
          <w:szCs w:val="24"/>
        </w:rPr>
      </w:r>
      <w:r>
        <w:rPr>
          <w:rFonts w:ascii="PT Astra Serif" w:hAnsi="PT Astra Serif" w:eastAsia="Calibri"/>
          <w:sz w:val="24"/>
          <w:szCs w:val="24"/>
        </w:rPr>
      </w:r>
    </w:p>
    <w:p>
      <w:pPr>
        <w:pStyle w:val="1152"/>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хирургического корпуса на 120 коек на 200 посещений в смену в г. Томске, объект введен в эксплуатацию;</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бюро судебно-медицинской экспертизы в г. Асино, объект введен в эксплуатацию;</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детской поликлиники на 200 п/смену, г. Асино, планируется ввод в эксплуатацию во втором квартале 2024 года;</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СОШ на 1100 мест по ул. Д. Бедного в г. Томске;</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физкультурно-спортивного комплекса с универсальным игровым залом 36 х 21 м в с. Молчаново;</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0" w:leader="none"/>
        </w:tabs>
        <w:rPr>
          <w:rFonts w:ascii="PT Astra Serif" w:hAnsi="PT Astra Serif" w:eastAsia="Calibri"/>
          <w:sz w:val="24"/>
          <w:szCs w:val="24"/>
        </w:rPr>
      </w:pPr>
      <w:r>
        <w:rPr>
          <w:rFonts w:ascii="PT Astra Serif" w:hAnsi="PT Astra Serif" w:eastAsia="Calibri"/>
          <w:sz w:val="24"/>
          <w:szCs w:val="24"/>
        </w:rPr>
        <w:t xml:space="preserve">2) начато строительство:</w:t>
      </w:r>
      <w:r>
        <w:rPr>
          <w:rFonts w:ascii="PT Astra Serif" w:hAnsi="PT Astra Serif" w:eastAsia="Calibri"/>
          <w:sz w:val="24"/>
          <w:szCs w:val="24"/>
        </w:rPr>
      </w:r>
      <w:r>
        <w:rPr>
          <w:rFonts w:ascii="PT Astra Serif" w:hAnsi="PT Astra Serif" w:eastAsia="Calibri"/>
          <w:sz w:val="24"/>
          <w:szCs w:val="24"/>
        </w:rPr>
      </w:r>
    </w:p>
    <w:p>
      <w:pPr>
        <w:pStyle w:val="1152"/>
        <w:ind w:left="0" w:firstLine="709"/>
        <w:jc w:val="both"/>
        <w:spacing w:after="0" w:line="240" w:lineRule="auto"/>
        <w:tabs>
          <w:tab w:val="left" w:pos="0" w:leader="none"/>
          <w:tab w:val="left" w:pos="1134"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локальных очистных </w:t>
      </w:r>
      <w:r>
        <w:rPr>
          <w:rFonts w:ascii="PT Astra Serif" w:hAnsi="PT Astra Serif"/>
          <w:sz w:val="24"/>
          <w:szCs w:val="24"/>
        </w:rPr>
        <w:t xml:space="preserve">сооружений </w:t>
      </w:r>
      <w:r>
        <w:rPr>
          <w:rFonts w:ascii="PT Astra Serif" w:hAnsi="PT Astra Serif"/>
          <w:sz w:val="24"/>
          <w:szCs w:val="24"/>
        </w:rPr>
        <w:t xml:space="preserve">и водозабо</w:t>
      </w:r>
      <w:r>
        <w:rPr>
          <w:rFonts w:ascii="PT Astra Serif" w:hAnsi="PT Astra Serif"/>
          <w:sz w:val="24"/>
          <w:szCs w:val="24"/>
        </w:rPr>
        <w:t xml:space="preserve">ра Итатского дома-интерната, с. </w:t>
      </w:r>
      <w:r>
        <w:rPr>
          <w:rFonts w:ascii="PT Astra Serif" w:hAnsi="PT Astra Serif"/>
          <w:sz w:val="24"/>
          <w:szCs w:val="24"/>
        </w:rPr>
        <w:t xml:space="preserve">Итатка, </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 w:val="left" w:pos="1134"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здания общеобразовательной ор</w:t>
      </w:r>
      <w:r>
        <w:rPr>
          <w:rFonts w:ascii="PT Astra Serif" w:hAnsi="PT Astra Serif"/>
          <w:sz w:val="24"/>
          <w:szCs w:val="24"/>
        </w:rPr>
        <w:t xml:space="preserve">ганизации на 1 100 мест по ул. </w:t>
      </w:r>
      <w:r>
        <w:rPr>
          <w:rFonts w:ascii="PT Astra Serif" w:hAnsi="PT Astra Serif"/>
          <w:sz w:val="24"/>
          <w:szCs w:val="24"/>
        </w:rPr>
        <w:t xml:space="preserve">Высоцкого в г. Томске, планируется ввод в эксплуатацию в декабре 2024 года;</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 w:val="left" w:pos="1134"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поликлиники на 400 п/смену в мкр. Южные ворота, планируется ввод в эксплуатацию во втором квартале 2025 года;</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 w:val="left" w:pos="1134"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Саровской СОШ на 110 мест, Колпашевский район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0" w:leader="none"/>
        </w:tabs>
        <w:rPr>
          <w:rFonts w:ascii="PT Astra Serif" w:hAnsi="PT Astra Serif" w:eastAsia="Calibri"/>
          <w:sz w:val="24"/>
          <w:szCs w:val="24"/>
        </w:rPr>
      </w:pPr>
      <w:r>
        <w:rPr>
          <w:rFonts w:ascii="PT Astra Serif" w:hAnsi="PT Astra Serif" w:eastAsia="Calibri"/>
          <w:sz w:val="24"/>
          <w:szCs w:val="24"/>
        </w:rPr>
        <w:t xml:space="preserve">3) продолжается строительство МБОУ «Корниловская СОШ» на 200 мест;</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0" w:leader="none"/>
        </w:tabs>
        <w:rPr>
          <w:rFonts w:ascii="PT Astra Serif" w:hAnsi="PT Astra Serif" w:eastAsia="Calibri"/>
          <w:sz w:val="24"/>
          <w:szCs w:val="24"/>
        </w:rPr>
      </w:pPr>
      <w:r>
        <w:rPr>
          <w:rFonts w:ascii="PT Astra Serif" w:hAnsi="PT Astra Serif" w:eastAsia="Calibri"/>
          <w:sz w:val="24"/>
          <w:szCs w:val="24"/>
        </w:rPr>
        <w:t xml:space="preserve">4) выполнен капитальный ремонт:</w:t>
      </w:r>
      <w:r>
        <w:rPr>
          <w:rFonts w:ascii="PT Astra Serif" w:hAnsi="PT Astra Serif" w:eastAsia="Calibri"/>
          <w:sz w:val="24"/>
          <w:szCs w:val="24"/>
        </w:rPr>
      </w:r>
      <w:r>
        <w:rPr>
          <w:rFonts w:ascii="PT Astra Serif" w:hAnsi="PT Astra Serif" w:eastAsia="Calibri"/>
          <w:sz w:val="24"/>
          <w:szCs w:val="24"/>
        </w:rPr>
      </w:r>
    </w:p>
    <w:p>
      <w:pPr>
        <w:pStyle w:val="1152"/>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крыш 2-х нежилых зданий ОГАУЗ «Шегарская районная больница» (с.</w:t>
      </w:r>
      <w:r>
        <w:rPr>
          <w:rFonts w:ascii="PT Astra Serif" w:hAnsi="PT Astra Serif"/>
          <w:sz w:val="24"/>
          <w:szCs w:val="24"/>
        </w:rPr>
        <w:t xml:space="preserve"> </w:t>
      </w:r>
      <w:r>
        <w:rPr>
          <w:rFonts w:ascii="PT Astra Serif" w:hAnsi="PT Astra Serif"/>
          <w:sz w:val="24"/>
          <w:szCs w:val="24"/>
        </w:rPr>
        <w:t xml:space="preserve">Мельниково, ул. Коммунистическая, 37, стр. 1 и стр.</w:t>
      </w:r>
      <w:r>
        <w:rPr>
          <w:rFonts w:ascii="PT Astra Serif" w:hAnsi="PT Astra Serif"/>
          <w:sz w:val="24"/>
          <w:szCs w:val="24"/>
        </w:rPr>
        <w:t xml:space="preserve"> </w:t>
      </w:r>
      <w:r>
        <w:rPr>
          <w:rFonts w:ascii="PT Astra Serif" w:hAnsi="PT Astra Serif"/>
          <w:sz w:val="24"/>
          <w:szCs w:val="24"/>
        </w:rPr>
        <w:t xml:space="preserve">3);</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зданий поликлиники ОГАУЗ «Томская районная больница», здания стационара</w:t>
      </w:r>
      <w:r>
        <w:rPr>
          <w:rFonts w:ascii="PT Astra Serif" w:hAnsi="PT Astra Serif"/>
          <w:sz w:val="24"/>
          <w:szCs w:val="24"/>
        </w:rPr>
        <w:t xml:space="preserve"> с пищеблоком Октябрьского отделения ОГАУЗ «Светленская районная больница» (январь 2024), врачебной амбулатории в п. Зональная Станция ОГАУЗ «Лоскутовская районная поликлиника», врачебной амбулатории в с. Богашево ОГБУЗ «Лоскутовская районная поликлиника»;</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0"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15 общеобразовательных школ (МАОУ «СОШ № 2» г. Колпашево, МБОУ</w:t>
      </w:r>
      <w:r>
        <w:rPr>
          <w:rFonts w:ascii="PT Astra Serif" w:hAnsi="PT Astra Serif"/>
          <w:sz w:val="24"/>
          <w:szCs w:val="24"/>
        </w:rPr>
        <w:t xml:space="preserve"> </w:t>
      </w:r>
      <w:r>
        <w:rPr>
          <w:rFonts w:ascii="PT Astra Serif" w:hAnsi="PT Astra Serif"/>
          <w:sz w:val="24"/>
          <w:szCs w:val="24"/>
        </w:rPr>
        <w:t xml:space="preserve">«Чернореченская СОШ» Томского района, МБОУ «Комсомольская СОШ» Первомайского района, МАОУ «Новониколаевская СОШ» Асиновского</w:t>
      </w:r>
      <w:r>
        <w:rPr>
          <w:rFonts w:ascii="PT Astra Serif" w:hAnsi="PT Astra Serif"/>
          <w:sz w:val="24"/>
          <w:szCs w:val="24"/>
        </w:rPr>
        <w:t xml:space="preserve"> района, Лицей № </w:t>
      </w:r>
      <w:r>
        <w:rPr>
          <w:rFonts w:ascii="PT Astra Serif" w:hAnsi="PT Astra Serif"/>
          <w:sz w:val="24"/>
          <w:szCs w:val="24"/>
        </w:rPr>
        <w:t xml:space="preserve">8 г. Томска, МАОУ «СОШ № 16 г. Томска», МОУ «Михайловская СОШ» Зырянского района, МБОУ «Причулымская ООШ</w:t>
      </w:r>
      <w:r>
        <w:rPr>
          <w:rFonts w:ascii="PT Astra Serif" w:hAnsi="PT Astra Serif"/>
          <w:sz w:val="24"/>
          <w:szCs w:val="24"/>
        </w:rPr>
        <w:t xml:space="preserve">» Зырянского района, МАОУ ООШ № </w:t>
      </w:r>
      <w:r>
        <w:rPr>
          <w:rFonts w:ascii="PT Astra Serif" w:hAnsi="PT Astra Serif"/>
          <w:sz w:val="24"/>
          <w:szCs w:val="24"/>
        </w:rPr>
        <w:t xml:space="preserve">38 г. Томска, МАОУ СОШ № 14 г. Томска,</w:t>
      </w:r>
      <w:r>
        <w:rPr>
          <w:rFonts w:ascii="PT Astra Serif" w:hAnsi="PT Astra Serif"/>
          <w:sz w:val="24"/>
          <w:szCs w:val="24"/>
        </w:rPr>
        <w:t xml:space="preserve"> МБОУ ООШИ № 22 г. Томска, МБОУ </w:t>
      </w:r>
      <w:r>
        <w:rPr>
          <w:rFonts w:ascii="PT Astra Serif" w:hAnsi="PT Astra Serif"/>
          <w:sz w:val="24"/>
          <w:szCs w:val="24"/>
        </w:rPr>
        <w:t xml:space="preserve">«Сарафановская СОШ» Молчановского района, МАОУ гимназия № 2 г. Асино, МАОУ </w:t>
      </w:r>
      <w:r>
        <w:rPr>
          <w:rFonts w:ascii="PT Astra Serif" w:hAnsi="PT Astra Serif" w:cstheme="minorBidi"/>
          <w:sz w:val="24"/>
          <w:szCs w:val="24"/>
        </w:rPr>
        <w:t xml:space="preserve">–</w:t>
      </w:r>
      <w:r>
        <w:rPr>
          <w:rFonts w:ascii="PT Astra Serif" w:hAnsi="PT Astra Serif"/>
          <w:sz w:val="24"/>
          <w:szCs w:val="24"/>
        </w:rPr>
        <w:t xml:space="preserve"> СОШ №</w:t>
      </w:r>
      <w:r>
        <w:rPr>
          <w:rFonts w:ascii="PT Astra Serif" w:hAnsi="PT Astra Serif"/>
          <w:sz w:val="24"/>
          <w:szCs w:val="24"/>
        </w:rPr>
        <w:t xml:space="preserve"> </w:t>
      </w:r>
      <w:r>
        <w:rPr>
          <w:rFonts w:ascii="PT Astra Serif" w:hAnsi="PT Astra Serif"/>
          <w:sz w:val="24"/>
          <w:szCs w:val="24"/>
        </w:rPr>
        <w:t xml:space="preserve">4 г. Асино, МБОУ «М</w:t>
      </w:r>
      <w:r>
        <w:rPr>
          <w:rFonts w:ascii="PT Astra Serif" w:hAnsi="PT Astra Serif"/>
          <w:sz w:val="24"/>
          <w:szCs w:val="24"/>
        </w:rPr>
        <w:t xml:space="preserve">ирненская СОШ» Томского района);</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МАОУ ДО «Первомайская ДШИ»;</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МБУК «РДК» - Нарымский сельский Дом культуры;</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ОГАОУ ДО «Асиновская детская школа искусств»;</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Высокоярского СДК Бакчарского района;</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0" w:leader="none"/>
        </w:tabs>
        <w:rPr>
          <w:rFonts w:ascii="PT Astra Serif" w:hAnsi="PT Astra Serif" w:eastAsia="Calibri"/>
          <w:sz w:val="24"/>
          <w:szCs w:val="24"/>
        </w:rPr>
      </w:pPr>
      <w:r>
        <w:rPr>
          <w:rFonts w:ascii="PT Astra Serif" w:hAnsi="PT Astra Serif" w:eastAsia="Calibri"/>
          <w:sz w:val="24"/>
          <w:szCs w:val="24"/>
        </w:rPr>
        <w:t xml:space="preserve">5)  начаты работы по капитальному ремонту:</w:t>
      </w:r>
      <w:r>
        <w:rPr>
          <w:rFonts w:ascii="PT Astra Serif" w:hAnsi="PT Astra Serif" w:eastAsia="Calibri"/>
          <w:sz w:val="24"/>
          <w:szCs w:val="24"/>
        </w:rPr>
      </w:r>
      <w:r>
        <w:rPr>
          <w:rFonts w:ascii="PT Astra Serif" w:hAnsi="PT Astra Serif" w:eastAsia="Calibri"/>
          <w:sz w:val="24"/>
          <w:szCs w:val="24"/>
        </w:rPr>
      </w:r>
    </w:p>
    <w:p>
      <w:pPr>
        <w:pStyle w:val="1152"/>
        <w:ind w:left="0" w:firstLine="709"/>
        <w:jc w:val="both"/>
        <w:spacing w:after="0" w:line="240" w:lineRule="auto"/>
        <w:tabs>
          <w:tab w:val="left" w:pos="0"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помещений поликлиники и трехэтажного перехода с подвалом здания ОГАУЗ</w:t>
      </w:r>
      <w:r>
        <w:rPr>
          <w:rFonts w:ascii="PT Astra Serif" w:hAnsi="PT Astra Serif"/>
          <w:sz w:val="24"/>
          <w:szCs w:val="24"/>
        </w:rPr>
        <w:t xml:space="preserve"> </w:t>
      </w:r>
      <w:r>
        <w:rPr>
          <w:rFonts w:ascii="PT Astra Serif" w:hAnsi="PT Astra Serif"/>
          <w:sz w:val="24"/>
          <w:szCs w:val="24"/>
        </w:rPr>
        <w:t xml:space="preserve">«Городская клиническая больница № 3 им. Б.И. Альперовича»;</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МБУ «Музей г. Северска» (завершение работ в 2024 году);</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МБУДО «Самусьская ДШИ»;</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3 школ (МАОУ СОШ № 5 им. А.К. Ерохина г. Томска, МАОУ СОШ № 30 г.</w:t>
      </w:r>
      <w:r>
        <w:rPr>
          <w:rFonts w:ascii="PT Astra Serif" w:hAnsi="PT Astra Serif"/>
          <w:sz w:val="24"/>
          <w:szCs w:val="24"/>
        </w:rPr>
        <w:t xml:space="preserve"> </w:t>
      </w:r>
      <w:r>
        <w:rPr>
          <w:rFonts w:ascii="PT Astra Serif" w:hAnsi="PT Astra Serif"/>
          <w:sz w:val="24"/>
          <w:szCs w:val="24"/>
        </w:rPr>
        <w:t xml:space="preserve">Томска, МБОУ СОШ № 49 г. Томска);</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s>
        <w:rPr>
          <w:rFonts w:ascii="PT Astra Serif" w:hAnsi="PT Astra Serif"/>
          <w:sz w:val="24"/>
          <w:szCs w:val="24"/>
        </w:rPr>
      </w:pPr>
      <w:r>
        <w:rPr>
          <w:rFonts w:ascii="PT Astra Serif" w:hAnsi="PT Astra Serif"/>
          <w:sz w:val="24"/>
          <w:szCs w:val="24"/>
        </w:rPr>
        <w:t xml:space="preserve">- ОГБОУ «Томский физико-технический лицей»;</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0" w:leader="none"/>
        </w:tabs>
        <w:rPr>
          <w:rFonts w:ascii="PT Astra Serif" w:hAnsi="PT Astra Serif" w:eastAsia="Calibri"/>
          <w:sz w:val="24"/>
          <w:szCs w:val="24"/>
        </w:rPr>
      </w:pPr>
      <w:r>
        <w:rPr>
          <w:rFonts w:ascii="PT Astra Serif" w:hAnsi="PT Astra Serif" w:eastAsia="Calibri"/>
          <w:sz w:val="24"/>
          <w:szCs w:val="24"/>
        </w:rPr>
        <w:t xml:space="preserve">6) сданы в эксплуатацию производственные объекты:</w:t>
      </w:r>
      <w:r>
        <w:rPr>
          <w:rFonts w:ascii="PT Astra Serif" w:hAnsi="PT Astra Serif" w:eastAsia="Calibri"/>
          <w:sz w:val="24"/>
          <w:szCs w:val="24"/>
        </w:rPr>
      </w:r>
      <w:r>
        <w:rPr>
          <w:rFonts w:ascii="PT Astra Serif" w:hAnsi="PT Astra Serif" w:eastAsia="Calibri"/>
          <w:sz w:val="24"/>
          <w:szCs w:val="24"/>
        </w:rPr>
      </w:r>
    </w:p>
    <w:p>
      <w:pPr>
        <w:pStyle w:val="1152"/>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помещения для крупного рогатого скота в Первомайском районе; </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помещения для свиней в Первомайском районе;</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скважины нефтяные эксплуатационного бурения в Александровском, Каргасокском районах;</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нефтепровод магистральный в Александровском районе;</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мощности по выработке пиломатериалов в Асиновском районе;</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трансформаторная понизительная подстанция в г. Томске;</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объекты теплоснабжения в Первомайском и Томском районах;</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cstheme="minorBidi"/>
          <w:sz w:val="24"/>
          <w:szCs w:val="24"/>
        </w:rPr>
        <w:t xml:space="preserve">–</w:t>
      </w:r>
      <w:r>
        <w:rPr>
          <w:rFonts w:ascii="PT Astra Serif" w:hAnsi="PT Astra Serif"/>
          <w:sz w:val="24"/>
          <w:szCs w:val="24"/>
        </w:rPr>
        <w:t xml:space="preserve"> водопровод в Каргасокском, Первомайском районах, г. Томске.</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0" w:leader="none"/>
        </w:tabs>
        <w:rPr>
          <w:rFonts w:ascii="PT Astra Serif" w:hAnsi="PT Astra Serif" w:eastAsia="Calibri"/>
          <w:sz w:val="24"/>
          <w:szCs w:val="24"/>
        </w:rPr>
      </w:pPr>
      <w:r>
        <w:rPr>
          <w:rFonts w:ascii="PT Astra Serif" w:hAnsi="PT Astra Serif" w:eastAsia="Calibri"/>
          <w:sz w:val="24"/>
          <w:szCs w:val="24"/>
        </w:rPr>
        <w:t xml:space="preserve">На завершающей стадии находится разработка проектно-сметной документации на строительство СОШ на 1100 мест по ул. А. Крячкова в г. Томске.</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0" w:leader="none"/>
        </w:tabs>
        <w:rPr>
          <w:rFonts w:ascii="PT Astra Serif" w:hAnsi="PT Astra Serif" w:eastAsia="Calibri"/>
          <w:strike/>
          <w:sz w:val="24"/>
          <w:szCs w:val="24"/>
        </w:rPr>
      </w:pPr>
      <w:r>
        <w:rPr>
          <w:rFonts w:ascii="PT Astra Serif" w:hAnsi="PT Astra Serif" w:eastAsia="Calibri"/>
          <w:strike/>
          <w:sz w:val="24"/>
          <w:szCs w:val="24"/>
        </w:rPr>
      </w:r>
      <w:r>
        <w:rPr>
          <w:rFonts w:ascii="PT Astra Serif" w:hAnsi="PT Astra Serif" w:eastAsia="Calibri"/>
          <w:strike/>
          <w:sz w:val="24"/>
          <w:szCs w:val="24"/>
        </w:rPr>
      </w:r>
      <w:r>
        <w:rPr>
          <w:rFonts w:ascii="PT Astra Serif" w:hAnsi="PT Astra Serif" w:eastAsia="Calibri"/>
          <w:strike/>
          <w:sz w:val="24"/>
          <w:szCs w:val="24"/>
        </w:rPr>
      </w:r>
    </w:p>
    <w:p>
      <w:pPr>
        <w:spacing w:after="0" w:line="240" w:lineRule="auto"/>
        <w:shd w:val="clear" w:color="auto" w:fill="eaf1dd" w:themeFill="accent3" w:themeFillTint="33"/>
        <w:rPr>
          <w:rFonts w:ascii="PT Astra Serif" w:hAnsi="PT Astra Serif" w:eastAsia="Calibri"/>
          <w:b/>
          <w:sz w:val="24"/>
          <w:szCs w:val="24"/>
        </w:rPr>
      </w:pPr>
      <w:r>
        <w:rPr>
          <w:rFonts w:ascii="PT Astra Serif" w:hAnsi="PT Astra Serif" w:eastAsia="Calibri"/>
          <w:b/>
          <w:sz w:val="24"/>
          <w:szCs w:val="24"/>
        </w:rPr>
        <w:t xml:space="preserve">Жилищная политика</w:t>
      </w:r>
      <w:r>
        <w:rPr>
          <w:rFonts w:ascii="PT Astra Serif" w:hAnsi="PT Astra Serif" w:eastAsia="Calibri"/>
          <w:b/>
          <w:sz w:val="24"/>
          <w:szCs w:val="24"/>
        </w:rPr>
      </w:r>
      <w:r>
        <w:rPr>
          <w:rFonts w:ascii="PT Astra Serif" w:hAnsi="PT Astra Serif" w:eastAsia="Calibri"/>
          <w:b/>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Одним из главных направлений строительной деятельности в Томской области является жилищное строительство. Объекты жилищного строительства составляют около 90% всех построенных зданий в регионе.</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Calibri"/>
          <w:sz w:val="24"/>
          <w:szCs w:val="24"/>
        </w:rPr>
        <w:t xml:space="preserve">Важнейшим показателем развития строительной отрасли региона является годовой объем ввода жилья в эксплуатацию. По итогам 2023 года в Томской области введено в эксплуатацию 535,3 тыс. кв. м жилья, что на 47</w:t>
      </w:r>
      <w:r>
        <w:rPr>
          <w:rFonts w:ascii="PT Astra Serif" w:hAnsi="PT Astra Serif" w:eastAsia="Calibri"/>
          <w:sz w:val="24"/>
          <w:szCs w:val="24"/>
        </w:rPr>
        <w:t xml:space="preserve">,0</w:t>
      </w:r>
      <w:r>
        <w:rPr>
          <w:rFonts w:ascii="PT Astra Serif" w:hAnsi="PT Astra Serif" w:eastAsia="Calibri"/>
          <w:sz w:val="24"/>
          <w:szCs w:val="24"/>
        </w:rPr>
        <w:t xml:space="preserve">% больше, чем за 2022 год (</w:t>
      </w:r>
      <w:r>
        <w:rPr>
          <w:rFonts w:ascii="PT Astra Serif" w:hAnsi="PT Astra Serif" w:eastAsia="Times New Roman"/>
          <w:sz w:val="24"/>
          <w:szCs w:val="24"/>
          <w:lang w:eastAsia="ru-RU"/>
        </w:rPr>
        <w:t xml:space="preserve">364,1</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тыс. кв. м</w:t>
      </w:r>
      <w:r>
        <w:rPr>
          <w:rFonts w:ascii="PT Astra Serif" w:hAnsi="PT Astra Serif" w:eastAsia="Calibri"/>
          <w:sz w:val="24"/>
          <w:szCs w:val="24"/>
        </w:rPr>
        <w:t xml:space="preserve">), из них </w:t>
      </w:r>
      <w:r>
        <w:rPr>
          <w:rFonts w:ascii="PT Astra Serif" w:hAnsi="PT Astra Serif" w:eastAsia="Times New Roman"/>
          <w:sz w:val="24"/>
          <w:szCs w:val="24"/>
          <w:lang w:eastAsia="ru-RU"/>
        </w:rPr>
        <w:t xml:space="preserve">индивидуальное жилищное строительство (ИЖС) </w:t>
      </w:r>
      <w:r>
        <w:rPr>
          <w:rFonts w:ascii="PT Astra Serif" w:hAnsi="PT Astra Serif" w:cstheme="minorBidi"/>
          <w:sz w:val="24"/>
          <w:szCs w:val="24"/>
        </w:rPr>
        <w:t xml:space="preserve">–</w:t>
      </w:r>
      <w:r>
        <w:rPr>
          <w:rFonts w:ascii="PT Astra Serif" w:hAnsi="PT Astra Serif" w:eastAsia="Times New Roman"/>
          <w:sz w:val="24"/>
          <w:szCs w:val="24"/>
          <w:lang w:eastAsia="ru-RU"/>
        </w:rPr>
        <w:t xml:space="preserve"> 274,6 тыс. кв. м (51,3</w:t>
      </w:r>
      <w:r>
        <w:rPr>
          <w:rFonts w:ascii="PT Astra Serif" w:hAnsi="PT Astra Serif" w:eastAsia="Times New Roman"/>
          <w:sz w:val="24"/>
          <w:szCs w:val="24"/>
          <w:lang w:eastAsia="ru-RU"/>
        </w:rPr>
        <w:t xml:space="preserve">% от введенного в регионе жилья), </w:t>
      </w:r>
      <w:r>
        <w:rPr>
          <w:rFonts w:ascii="PT Astra Serif" w:hAnsi="PT Astra Serif" w:eastAsia="Calibri"/>
          <w:sz w:val="24"/>
          <w:szCs w:val="24"/>
        </w:rPr>
        <w:t xml:space="preserve">многоквартирные дома (МКД) </w:t>
      </w:r>
      <w:r>
        <w:rPr>
          <w:rFonts w:ascii="PT Astra Serif" w:hAnsi="PT Astra Serif" w:cstheme="minorBidi"/>
          <w:sz w:val="24"/>
          <w:szCs w:val="24"/>
        </w:rPr>
        <w:t xml:space="preserve">–</w:t>
      </w:r>
      <w:r>
        <w:rPr>
          <w:rFonts w:ascii="PT Astra Serif" w:hAnsi="PT Astra Serif" w:eastAsia="Times New Roman"/>
          <w:sz w:val="24"/>
          <w:szCs w:val="24"/>
          <w:lang w:eastAsia="ru-RU"/>
        </w:rPr>
        <w:t xml:space="preserve"> 260,7 тыс. кв. м.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Calibri"/>
          <w:strike/>
          <w:sz w:val="24"/>
          <w:szCs w:val="24"/>
        </w:rPr>
      </w:pPr>
      <w:r>
        <w:rPr>
          <w:rFonts w:ascii="PT Astra Serif" w:hAnsi="PT Astra Serif" w:eastAsia="Calibri"/>
          <w:sz w:val="24"/>
          <w:szCs w:val="24"/>
        </w:rPr>
        <w:t xml:space="preserve">Активное строительство жилья по национальному проекту «Жилье и городская среда» ид</w:t>
      </w:r>
      <w:r>
        <w:rPr>
          <w:rFonts w:ascii="PT Astra Serif" w:hAnsi="PT Astra Serif" w:eastAsia="Calibri"/>
          <w:sz w:val="24"/>
          <w:szCs w:val="24"/>
        </w:rPr>
        <w:t xml:space="preserve">е</w:t>
      </w:r>
      <w:r>
        <w:rPr>
          <w:rFonts w:ascii="PT Astra Serif" w:hAnsi="PT Astra Serif" w:eastAsia="Calibri"/>
          <w:sz w:val="24"/>
          <w:szCs w:val="24"/>
        </w:rPr>
        <w:t xml:space="preserve">т на территории Томской агломерации (Томск – Северск </w:t>
      </w:r>
      <w:r>
        <w:rPr>
          <w:rFonts w:ascii="PT Astra Serif" w:hAnsi="PT Astra Serif" w:eastAsia="Calibri"/>
          <w:sz w:val="24"/>
          <w:szCs w:val="24"/>
        </w:rPr>
        <w:t xml:space="preserve">–</w:t>
      </w:r>
      <w:r>
        <w:rPr>
          <w:rFonts w:ascii="PT Astra Serif" w:hAnsi="PT Astra Serif" w:eastAsia="Calibri"/>
          <w:sz w:val="24"/>
          <w:szCs w:val="24"/>
        </w:rPr>
        <w:t xml:space="preserve"> Томский район):</w:t>
      </w:r>
      <w:r>
        <w:rPr>
          <w:rFonts w:ascii="PT Astra Serif" w:hAnsi="PT Astra Serif" w:eastAsia="Calibri"/>
          <w:strike/>
          <w:sz w:val="24"/>
          <w:szCs w:val="24"/>
        </w:rPr>
      </w:r>
      <w:r>
        <w:rPr>
          <w:rFonts w:ascii="PT Astra Serif" w:hAnsi="PT Astra Serif" w:eastAsia="Calibri"/>
          <w:strike/>
          <w:sz w:val="24"/>
          <w:szCs w:val="24"/>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почти половина из общего объема ввода (271,6 тыс. кв. м) приходится на Томский район,</w:t>
      </w: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рост на 33,7% к уровню 2022 года. Индивидуальные застройщики ввели в Т</w:t>
      </w:r>
      <w:r>
        <w:rPr>
          <w:rFonts w:ascii="PT Astra Serif" w:hAnsi="PT Astra Serif" w:eastAsia="Times New Roman"/>
          <w:sz w:val="24"/>
          <w:szCs w:val="24"/>
          <w:lang w:eastAsia="ru-RU"/>
        </w:rPr>
        <w:t xml:space="preserve">омском районе 137,8 тыс. кв. м;</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второе место по вводу жилья занимает г. Томск, где за 2023 год строители ввели 195,2 тыс. кв. м жилья (увеличение в 1,8 раза к уровню 20</w:t>
      </w:r>
      <w:r>
        <w:rPr>
          <w:rFonts w:ascii="PT Astra Serif" w:hAnsi="PT Astra Serif" w:eastAsia="Times New Roman"/>
          <w:sz w:val="24"/>
          <w:szCs w:val="24"/>
          <w:lang w:eastAsia="ru-RU"/>
        </w:rPr>
        <w:t xml:space="preserve">22 году), в том числе 80,8 тыс. </w:t>
      </w:r>
      <w:r>
        <w:rPr>
          <w:rFonts w:ascii="PT Astra Serif" w:hAnsi="PT Astra Serif" w:eastAsia="Times New Roman"/>
          <w:sz w:val="24"/>
          <w:szCs w:val="24"/>
          <w:lang w:eastAsia="ru-RU"/>
        </w:rPr>
        <w:t xml:space="preserve">кв. м − в индивидуальных домах;</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в ЗАТО Северск, замкнувшем тройку лидеров среди муниципальных образований Томской области по вводу жилья, построено и введено 18,3 тыс. кв. м, в том числе 7,0 тыс. кв. м</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в индивидуальных домах.</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Стр</w:t>
      </w:r>
      <w:r>
        <w:rPr>
          <w:rFonts w:ascii="PT Astra Serif" w:hAnsi="PT Astra Serif" w:eastAsia="Calibri"/>
          <w:sz w:val="24"/>
          <w:szCs w:val="24"/>
        </w:rPr>
        <w:t xml:space="preserve">оительные компании региона реализуют крупные инвестиционные проекты комплексной жилой застройки: «Северный парк», «Левобережный» (ООО «СЗ «Карьероуправление»); «Южные ворота», «Радонежский» (ОАО «Томская домостроительная компания»); «Михайловский парк-квар</w:t>
      </w:r>
      <w:r>
        <w:rPr>
          <w:rFonts w:ascii="PT Astra Serif" w:hAnsi="PT Astra Serif" w:eastAsia="Calibri"/>
          <w:sz w:val="24"/>
          <w:szCs w:val="24"/>
        </w:rPr>
        <w:t xml:space="preserve">тал» (АО СЗ «Михайловский парк-квартал»), жилой комплекс «Войков» (СЗ «Вира»), жилой комплекс «Белозерский» (ООО СД «Белозерская»). В г. Томске в 2023 году начато строительство новых жилых кварталов: Урбан-квартал «Парапарк», жилой комплекс «Квартал 1604».</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Появились новшества и в облике строящихся объектов. Жилые районы нового типа часто создаются в тандеме с зарубежными архитектурными бюро. В таких жилищных комплексах томичам предлагается несколько десятков типов квартир.</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По состоянию за 2022 год жилищные условия улучшили более 28 тысяч семей. Общая площадь жилых помещений, приходящаяся в среднем на 1 жителя Томской области, по итогам 2023 года составила 28,0 кв. м и достигла планового значения (267,0 кв. м).</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Застройщики активно применяют эскроу-счета. Если в 2022 году по такому механизму строилось 11 домов, то в 2023 году – 21 дом.</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shd w:val="clear" w:color="auto" w:fill="eaf1dd" w:themeFill="accent3" w:themeFillTint="33"/>
        <w:tabs>
          <w:tab w:val="left" w:pos="4962" w:leader="none"/>
        </w:tabs>
        <w:rPr>
          <w:rFonts w:ascii="PT Astra Serif" w:hAnsi="PT Astra Serif" w:eastAsia="Times New Roman"/>
          <w:b/>
          <w:sz w:val="24"/>
          <w:szCs w:val="24"/>
        </w:rPr>
      </w:pPr>
      <w:r>
        <w:rPr>
          <w:rFonts w:ascii="PT Astra Serif" w:hAnsi="PT Astra Serif" w:eastAsia="Times New Roman"/>
          <w:b/>
          <w:sz w:val="24"/>
          <w:szCs w:val="24"/>
        </w:rPr>
        <w:t xml:space="preserve">Улучшение жилищных условий граждан</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Задача улучшения жилищных условий населения Томской обла</w:t>
      </w:r>
      <w:r>
        <w:rPr>
          <w:rFonts w:ascii="PT Astra Serif" w:hAnsi="PT Astra Serif" w:eastAsia="Times New Roman"/>
          <w:sz w:val="24"/>
          <w:szCs w:val="24"/>
        </w:rPr>
        <w:t xml:space="preserve">сти реализовывалась в 2023 году в рамках национального проекта «Жилье и городская среда», посредством обеспечения качественным, современным и доступным жильем, ликвидации аварийного жилищного фонда и ускорения темпов расселения жильцов из аварийного жилья.</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0" w:leader="none"/>
        </w:tabs>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Общая площадь </w:t>
      </w:r>
      <w:r>
        <w:rPr>
          <w:rFonts w:ascii="PT Astra Serif" w:hAnsi="PT Astra Serif" w:eastAsia="Times New Roman"/>
          <w:sz w:val="24"/>
          <w:szCs w:val="24"/>
        </w:rPr>
        <w:t xml:space="preserve">аварийного жилищного фонда, признанного таковым до 01.01.2017, </w:t>
      </w:r>
      <w:r>
        <w:rPr>
          <w:rFonts w:ascii="PT Astra Serif" w:hAnsi="PT Astra Serif" w:eastAsia="Times New Roman" w:cs="Arial"/>
          <w:sz w:val="24"/>
          <w:szCs w:val="24"/>
          <w:lang w:eastAsia="ru-RU"/>
        </w:rPr>
        <w:t xml:space="preserve">подлежащая расселению, составляет 128,8 тыс. кв. м, в котором проживает около 8,6 тыс. человек на территориях Асиновского, Каргасокского, Томского, Чаинского районов и г. Томска.</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рамках федерального проекта «Обеспечение устойчивого сокращения непригодного для проживания жилищного фонда» в Томской области необходимо расселить 83,64 тыс. кв. м (нарастающим итогом за период 2019</w:t>
      </w:r>
      <w:r>
        <w:rPr>
          <w:rFonts w:ascii="PT Astra Serif" w:hAnsi="PT Astra Serif" w:eastAsia="Calibri"/>
          <w:sz w:val="24"/>
          <w:szCs w:val="24"/>
        </w:rPr>
        <w:t xml:space="preserve">–</w:t>
      </w:r>
      <w:r>
        <w:rPr>
          <w:rFonts w:ascii="PT Astra Serif" w:hAnsi="PT Astra Serif" w:eastAsia="Times New Roman" w:cs="Arial"/>
          <w:sz w:val="24"/>
          <w:szCs w:val="24"/>
          <w:lang w:eastAsia="ru-RU"/>
        </w:rPr>
        <w:t xml:space="preserve">2023 год</w:t>
      </w:r>
      <w:r>
        <w:rPr>
          <w:rFonts w:ascii="PT Astra Serif" w:hAnsi="PT Astra Serif" w:eastAsia="Times New Roman" w:cs="Arial"/>
          <w:sz w:val="24"/>
          <w:szCs w:val="24"/>
          <w:lang w:eastAsia="ru-RU"/>
        </w:rPr>
        <w:t xml:space="preserve">ов</w:t>
      </w:r>
      <w:r>
        <w:rPr>
          <w:rFonts w:ascii="PT Astra Serif" w:hAnsi="PT Astra Serif" w:eastAsia="Times New Roman" w:cs="Arial"/>
          <w:sz w:val="24"/>
          <w:szCs w:val="24"/>
          <w:lang w:eastAsia="ru-RU"/>
        </w:rPr>
        <w:t xml:space="preserve">), по итогам 2023 года исполнение федерального проекта составило 94,77 тыс. кв. м (с нарастающим итогом) (113,3%), из них в 2023 году расселено 28,88 тыс. кв. м аварийного жилищного фонда, что позволило улучшить жилищные условия 743 человек.</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За 2023 год за счет средств федерального, областного и местного бюд</w:t>
      </w:r>
      <w:r>
        <w:rPr>
          <w:rFonts w:ascii="PT Astra Serif" w:hAnsi="PT Astra Serif" w:eastAsia="Times New Roman" w:cs="Arial"/>
          <w:sz w:val="24"/>
          <w:szCs w:val="24"/>
          <w:lang w:eastAsia="ru-RU"/>
        </w:rPr>
        <w:t xml:space="preserve">жетов 234 семьи реализовали свое право на улучшение жилищных условий (граждане, выезжающие (выехавшие) из районов Крайнего Севера и приравненных к ним местностей, инвалиды, ветераны Великой Отечественной войны, ветераны боевых действий и молодые семьи), су</w:t>
      </w:r>
      <w:r>
        <w:rPr>
          <w:rFonts w:ascii="PT Astra Serif" w:hAnsi="PT Astra Serif" w:eastAsia="Times New Roman" w:cs="Arial"/>
          <w:sz w:val="24"/>
          <w:szCs w:val="24"/>
          <w:lang w:eastAsia="ru-RU"/>
        </w:rPr>
        <w:t xml:space="preserve">мма выплат составила 335,87 млн</w:t>
      </w:r>
      <w:r>
        <w:rPr>
          <w:rFonts w:ascii="PT Astra Serif" w:hAnsi="PT Astra Serif" w:eastAsia="Times New Roman" w:cs="Arial"/>
          <w:sz w:val="24"/>
          <w:szCs w:val="24"/>
          <w:lang w:eastAsia="ru-RU"/>
        </w:rPr>
        <w:t xml:space="preserve"> рублей.</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рамках мероприятий по переселению жителей г. Херсо</w:t>
      </w:r>
      <w:r>
        <w:rPr>
          <w:rFonts w:ascii="PT Astra Serif" w:hAnsi="PT Astra Serif" w:eastAsia="Times New Roman" w:cs="Arial"/>
          <w:sz w:val="24"/>
          <w:szCs w:val="24"/>
          <w:lang w:eastAsia="ru-RU"/>
        </w:rPr>
        <w:t xml:space="preserve">на и части Херсонской области, покинувших место постоянного проживания и прибывших в экстренном порядке в Томскую область на постоянное место жительства, 6 семей приобрели жилые помещения по выданным государственным жилищным сертификатам, общая сумма социа</w:t>
      </w:r>
      <w:r>
        <w:rPr>
          <w:rFonts w:ascii="PT Astra Serif" w:hAnsi="PT Astra Serif" w:eastAsia="Times New Roman" w:cs="Arial"/>
          <w:sz w:val="24"/>
          <w:szCs w:val="24"/>
          <w:lang w:eastAsia="ru-RU"/>
        </w:rPr>
        <w:t xml:space="preserve">льных выплат составила 22,7 млн</w:t>
      </w:r>
      <w:r>
        <w:rPr>
          <w:rFonts w:ascii="PT Astra Serif" w:hAnsi="PT Astra Serif" w:eastAsia="Times New Roman" w:cs="Arial"/>
          <w:sz w:val="24"/>
          <w:szCs w:val="24"/>
          <w:lang w:eastAsia="ru-RU"/>
        </w:rPr>
        <w:t xml:space="preserve"> рублей.</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результате реализации в 2023 году Региональной программы капитального ремонта общего имущества в многоквартирных домах, р</w:t>
      </w:r>
      <w:r>
        <w:rPr>
          <w:rFonts w:ascii="PT Astra Serif" w:hAnsi="PT Astra Serif" w:eastAsia="Times New Roman" w:cs="Arial"/>
          <w:sz w:val="24"/>
          <w:szCs w:val="24"/>
          <w:lang w:eastAsia="ru-RU"/>
        </w:rPr>
        <w:t xml:space="preserve">асположенных на территории Томской области, обеспечено оказание услуг и (или) выполнение работ по капитальному ремонту 239 многоквартирных домов, расположенных на территории 18 муниципальных образований, улучшены условия проживания более 17,5 тыс. человек.</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spacing w:after="0" w:line="240" w:lineRule="auto"/>
        <w:shd w:val="clear" w:color="auto" w:fill="eaf1dd" w:themeFill="accent3" w:themeFillTint="33"/>
        <w:rPr>
          <w:rFonts w:ascii="PT Astra Serif" w:hAnsi="PT Astra Serif" w:eastAsia="Calibri"/>
          <w:b/>
          <w:sz w:val="24"/>
          <w:szCs w:val="24"/>
        </w:rPr>
      </w:pPr>
      <w:r>
        <w:rPr>
          <w:rFonts w:ascii="PT Astra Serif" w:hAnsi="PT Astra Serif" w:eastAsia="Calibri"/>
          <w:b/>
          <w:sz w:val="24"/>
          <w:szCs w:val="24"/>
        </w:rPr>
        <w:t xml:space="preserve">Ипотечное кредитование</w:t>
      </w:r>
      <w:r>
        <w:rPr>
          <w:rFonts w:ascii="PT Astra Serif" w:hAnsi="PT Astra Serif" w:eastAsia="Calibri"/>
          <w:b/>
          <w:sz w:val="24"/>
          <w:szCs w:val="24"/>
        </w:rPr>
      </w:r>
      <w:r>
        <w:rPr>
          <w:rFonts w:ascii="PT Astra Serif" w:hAnsi="PT Astra Serif" w:eastAsia="Calibri"/>
          <w:b/>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Ипотечное кредитование является одним из инструментов обеспечения населения доступным жильем. Ипотека стимулирует спрос на рынке жилищного строительства и является важным индикатором экономического развития региона.</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Calibri"/>
          <w:sz w:val="24"/>
          <w:szCs w:val="24"/>
        </w:rPr>
        <w:t xml:space="preserve">По данным сайта ДОМ.РФ, за 2023 год на территории Томской области выдано 13 660 ипотечных кредит</w:t>
      </w:r>
      <w:r>
        <w:rPr>
          <w:rFonts w:ascii="PT Astra Serif" w:hAnsi="PT Astra Serif" w:eastAsia="Calibri"/>
          <w:sz w:val="24"/>
          <w:szCs w:val="24"/>
        </w:rPr>
        <w:t xml:space="preserve">ов</w:t>
      </w:r>
      <w:r>
        <w:rPr>
          <w:rFonts w:ascii="PT Astra Serif" w:hAnsi="PT Astra Serif" w:eastAsia="Calibri"/>
          <w:sz w:val="24"/>
          <w:szCs w:val="24"/>
        </w:rPr>
        <w:t xml:space="preserve"> (что на 41% больше чем в 2022 году), объем выданных кредитов составил 49,2 </w:t>
      </w:r>
      <w:r>
        <w:rPr>
          <w:rFonts w:ascii="PT Astra Serif" w:hAnsi="PT Astra Serif" w:eastAsia="Calibri"/>
          <w:sz w:val="24"/>
          <w:szCs w:val="24"/>
        </w:rPr>
        <w:t xml:space="preserve">млрд</w:t>
      </w:r>
      <w:r>
        <w:rPr>
          <w:rFonts w:ascii="PT Astra Serif" w:hAnsi="PT Astra Serif" w:eastAsia="Calibri"/>
          <w:sz w:val="24"/>
          <w:szCs w:val="24"/>
        </w:rPr>
        <w:t xml:space="preserve"> </w:t>
      </w:r>
      <w:r>
        <w:rPr>
          <w:rFonts w:ascii="PT Astra Serif" w:hAnsi="PT Astra Serif" w:eastAsia="Calibri"/>
          <w:sz w:val="24"/>
          <w:szCs w:val="24"/>
        </w:rPr>
        <w:t xml:space="preserve">рублей (что на 62% выше чем в 2022 году)</w:t>
      </w:r>
      <w:r>
        <w:rPr>
          <w:rFonts w:ascii="PT Astra Serif" w:hAnsi="PT Astra Serif" w:eastAsia="Calibri"/>
          <w:sz w:val="24"/>
          <w:szCs w:val="24"/>
        </w:rPr>
        <w:t xml:space="preserve">, что обусловлено </w:t>
      </w:r>
      <w:r>
        <w:rPr>
          <w:rFonts w:ascii="PT Astra Serif" w:hAnsi="PT Astra Serif" w:eastAsia="Times New Roman"/>
          <w:sz w:val="24"/>
          <w:szCs w:val="24"/>
          <w:lang w:eastAsia="ru-RU"/>
        </w:rPr>
        <w:t xml:space="preserve">повышенными инфляционными ожиданиями, опасени</w:t>
      </w:r>
      <w:r>
        <w:rPr>
          <w:rFonts w:ascii="PT Astra Serif" w:hAnsi="PT Astra Serif" w:eastAsia="Times New Roman"/>
          <w:sz w:val="24"/>
          <w:szCs w:val="24"/>
          <w:lang w:eastAsia="ru-RU"/>
        </w:rPr>
        <w:t xml:space="preserve">ем</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роста цен на жилье</w:t>
      </w:r>
      <w:r>
        <w:rPr>
          <w:rFonts w:ascii="PT Astra Serif" w:hAnsi="PT Astra Serif" w:eastAsia="Calibri"/>
          <w:sz w:val="24"/>
          <w:szCs w:val="24"/>
        </w:rPr>
        <w:t xml:space="preserve"> и</w:t>
      </w:r>
      <w:r>
        <w:rPr>
          <w:rFonts w:ascii="PT Astra Serif" w:hAnsi="PT Astra Serif" w:eastAsia="Calibri"/>
          <w:sz w:val="24"/>
          <w:szCs w:val="24"/>
        </w:rPr>
        <w:t xml:space="preserve"> ужесточени</w:t>
      </w:r>
      <w:r>
        <w:rPr>
          <w:rFonts w:ascii="PT Astra Serif" w:hAnsi="PT Astra Serif" w:eastAsia="Calibri"/>
          <w:sz w:val="24"/>
          <w:szCs w:val="24"/>
        </w:rPr>
        <w:t xml:space="preserve">ем</w:t>
      </w:r>
      <w:r>
        <w:rPr>
          <w:rFonts w:ascii="PT Astra Serif" w:hAnsi="PT Astra Serif" w:eastAsia="Calibri"/>
          <w:sz w:val="24"/>
          <w:szCs w:val="24"/>
        </w:rPr>
        <w:t xml:space="preserve"> требований к первоначальному взносу</w:t>
      </w:r>
      <w:r>
        <w:rPr>
          <w:rFonts w:ascii="PT Astra Serif" w:hAnsi="PT Astra Serif" w:eastAsia="Times New Roman"/>
          <w:sz w:val="24"/>
          <w:szCs w:val="24"/>
          <w:lang w:eastAsia="ru-RU"/>
        </w:rPr>
        <w:t xml:space="preserve">.</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Сохранение ключевой ставки ЦБ в феврал</w:t>
      </w:r>
      <w:r>
        <w:rPr>
          <w:rFonts w:ascii="PT Astra Serif" w:hAnsi="PT Astra Serif" w:eastAsia="Times New Roman"/>
          <w:sz w:val="24"/>
          <w:szCs w:val="24"/>
        </w:rPr>
        <w:t xml:space="preserve">е 2024 года на уровне 16% (размер ключевой ставки на данном уровне был установлен 15 декабря 2023 года), возможно, окажет влияние на ужесточение условий льготных ипотечных программ. Это, в свою очередь, скажется на первичном рынке недвижимости в 2024 году.</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spacing w:after="0" w:line="240" w:lineRule="auto"/>
        <w:shd w:val="clear" w:color="auto" w:fill="eaf1dd" w:themeFill="accent3" w:themeFillTint="33"/>
        <w:rPr>
          <w:rFonts w:ascii="PT Astra Serif" w:hAnsi="PT Astra Serif" w:eastAsia="Calibri"/>
          <w:b/>
          <w:sz w:val="24"/>
          <w:szCs w:val="24"/>
        </w:rPr>
      </w:pPr>
      <w:r>
        <w:rPr>
          <w:rFonts w:ascii="PT Astra Serif" w:hAnsi="PT Astra Serif" w:eastAsia="Calibri"/>
          <w:b/>
          <w:sz w:val="24"/>
          <w:szCs w:val="24"/>
        </w:rPr>
        <w:t xml:space="preserve">Долевое строительство</w:t>
      </w:r>
      <w:r>
        <w:rPr>
          <w:rFonts w:ascii="PT Astra Serif" w:hAnsi="PT Astra Serif" w:eastAsia="Calibri"/>
          <w:b/>
          <w:sz w:val="24"/>
          <w:szCs w:val="24"/>
        </w:rPr>
      </w:r>
      <w:r>
        <w:rPr>
          <w:rFonts w:ascii="PT Astra Serif" w:hAnsi="PT Astra Serif" w:eastAsia="Calibri"/>
          <w:b/>
          <w:sz w:val="24"/>
          <w:szCs w:val="24"/>
        </w:rPr>
      </w:r>
    </w:p>
    <w:p>
      <w:pPr>
        <w:ind w:firstLine="709"/>
        <w:jc w:val="both"/>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В Томской области активно решается вопрос восстановления прав граждан </w:t>
      </w:r>
      <w:r>
        <w:rPr>
          <w:rFonts w:ascii="PT Astra Serif" w:hAnsi="PT Astra Serif" w:eastAsia="Calibri"/>
          <w:sz w:val="24"/>
          <w:szCs w:val="24"/>
        </w:rPr>
        <w:t xml:space="preserve">–</w:t>
      </w:r>
      <w:r>
        <w:rPr>
          <w:rFonts w:ascii="PT Astra Serif" w:hAnsi="PT Astra Serif" w:eastAsia="Times New Roman"/>
          <w:sz w:val="24"/>
          <w:szCs w:val="24"/>
        </w:rPr>
        <w:t xml:space="preserve"> участников долевого строительства. На территории Томской области по состоянию на 01.01.2024 в Едином реестре проблемных объектов (далее </w:t>
      </w:r>
      <w:r>
        <w:rPr>
          <w:rFonts w:ascii="PT Astra Serif" w:hAnsi="PT Astra Serif" w:eastAsia="Calibri"/>
          <w:sz w:val="24"/>
          <w:szCs w:val="24"/>
        </w:rPr>
        <w:t xml:space="preserve">–</w:t>
      </w:r>
      <w:r>
        <w:rPr>
          <w:rFonts w:ascii="PT Astra Serif" w:hAnsi="PT Astra Serif" w:eastAsia="Times New Roman"/>
          <w:sz w:val="24"/>
          <w:szCs w:val="24"/>
        </w:rPr>
        <w:t xml:space="preserve"> ЕРПО) числится 11 объектов, строящихся с привлечением денежных средств граждан.</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В регионе реализуется </w:t>
      </w:r>
      <w:r>
        <w:rPr>
          <w:rFonts w:ascii="PT Astra Serif" w:hAnsi="PT Astra Serif" w:eastAsia="Times New Roman"/>
          <w:sz w:val="24"/>
          <w:szCs w:val="24"/>
        </w:rPr>
        <w:t xml:space="preserve">план-график («дорожная карта») по осуществлению мер по восстановлению прав граждан, чьи денежные средства привлечены для строительства многоквартирных домов и (или) иных объектов недвижимости, расположенных на территории Томской области, включенных в ЕРПО.</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В целях осуществления мер законодательного, орг</w:t>
      </w:r>
      <w:r>
        <w:rPr>
          <w:rFonts w:ascii="PT Astra Serif" w:hAnsi="PT Astra Serif" w:eastAsia="Times New Roman"/>
          <w:sz w:val="24"/>
          <w:szCs w:val="24"/>
        </w:rPr>
        <w:t xml:space="preserve">анизационного и финансового характера по защите прав граждан, чьи денежные средства привлечены на строительство многоквартирных домов и чьи права нарушены, за счет средств областного бюджета в 2023 году выделены ассигнования в размере 66 577,5 тыс. рублей.</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В дополнение к имеющимся мерам поддержки граждан </w:t>
      </w:r>
      <w:r>
        <w:rPr>
          <w:rFonts w:ascii="PT Astra Serif" w:hAnsi="PT Astra Serif" w:eastAsia="Calibri"/>
          <w:sz w:val="24"/>
          <w:szCs w:val="24"/>
        </w:rPr>
        <w:t xml:space="preserve">–</w:t>
      </w:r>
      <w:r>
        <w:rPr>
          <w:rFonts w:ascii="PT Astra Serif" w:hAnsi="PT Astra Serif" w:eastAsia="Times New Roman"/>
          <w:sz w:val="24"/>
          <w:szCs w:val="24"/>
        </w:rPr>
        <w:t xml:space="preserve"> участников долевого строительства создан региональный фонд (Фонд защиты прав граждан </w:t>
      </w:r>
      <w:r>
        <w:rPr>
          <w:rFonts w:ascii="PT Astra Serif" w:hAnsi="PT Astra Serif" w:eastAsia="Calibri"/>
          <w:sz w:val="24"/>
          <w:szCs w:val="24"/>
        </w:rPr>
        <w:t xml:space="preserve">–</w:t>
      </w:r>
      <w:r>
        <w:rPr>
          <w:rFonts w:ascii="PT Astra Serif" w:hAnsi="PT Astra Serif" w:eastAsia="Times New Roman"/>
          <w:sz w:val="24"/>
          <w:szCs w:val="24"/>
        </w:rPr>
        <w:t xml:space="preserve"> участников долевого строительства в Томской области, далее </w:t>
      </w:r>
      <w:r>
        <w:rPr>
          <w:rFonts w:ascii="PT Astra Serif" w:hAnsi="PT Astra Serif" w:eastAsia="Calibri"/>
          <w:sz w:val="24"/>
          <w:szCs w:val="24"/>
        </w:rPr>
        <w:t xml:space="preserve">–</w:t>
      </w:r>
      <w:r>
        <w:rPr>
          <w:rFonts w:ascii="PT Astra Serif" w:hAnsi="PT Astra Serif" w:eastAsia="Times New Roman"/>
          <w:sz w:val="24"/>
          <w:szCs w:val="24"/>
        </w:rPr>
        <w:t xml:space="preserve"> Фонд) для урегулирования обязательств застройщиков, признанных банкротами, перед участниками долевого строительства </w:t>
      </w:r>
      <w:r>
        <w:rPr>
          <w:rFonts w:ascii="PT Astra Serif" w:hAnsi="PT Astra Serif" w:eastAsia="Times New Roman"/>
          <w:sz w:val="24"/>
          <w:szCs w:val="24"/>
        </w:rPr>
        <w:t xml:space="preserve">путем передачи фонду имущества (в том числе имущественных прав) и обязательств застройщиков для завершения строительства многоквартирных домов и (или) иных объектов недвижимого имущества, строительство которых осуществляется с привлечением средств граждан </w:t>
      </w:r>
      <w:r>
        <w:rPr>
          <w:rFonts w:ascii="PT Astra Serif" w:hAnsi="PT Astra Serif" w:eastAsia="Calibri"/>
          <w:sz w:val="24"/>
          <w:szCs w:val="24"/>
        </w:rPr>
        <w:t xml:space="preserve">–</w:t>
      </w:r>
      <w:r>
        <w:rPr>
          <w:rFonts w:ascii="PT Astra Serif" w:hAnsi="PT Astra Serif" w:eastAsia="Times New Roman"/>
          <w:sz w:val="24"/>
          <w:szCs w:val="24"/>
        </w:rPr>
        <w:t xml:space="preserve"> участников долевого строительства.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В целях восстановления прав граждан заключ</w:t>
      </w:r>
      <w:r>
        <w:rPr>
          <w:rFonts w:ascii="PT Astra Serif" w:hAnsi="PT Astra Serif" w:eastAsia="Times New Roman"/>
          <w:sz w:val="24"/>
          <w:szCs w:val="24"/>
        </w:rPr>
        <w:t xml:space="preserve">ено соглашение о предоставлении субсидии в виде взноса в имущество публично-правовой компании «Фонд развития территорий» из бюджета Томской области, в которое вошли 16 объектов. Наблюдательным советом Фонда приняты решения о выплатах компенсации гражданам </w:t>
      </w:r>
      <w:r>
        <w:rPr>
          <w:rFonts w:ascii="PT Astra Serif" w:hAnsi="PT Astra Serif" w:eastAsia="Calibri"/>
          <w:sz w:val="24"/>
          <w:szCs w:val="24"/>
        </w:rPr>
        <w:t xml:space="preserve">–</w:t>
      </w:r>
      <w:r>
        <w:rPr>
          <w:rFonts w:ascii="PT Astra Serif" w:hAnsi="PT Astra Serif" w:eastAsia="Times New Roman"/>
          <w:sz w:val="24"/>
          <w:szCs w:val="24"/>
        </w:rPr>
        <w:t xml:space="preserve"> участникам долевого строительства в отношении 13 объектов, выплаты получили 467 граждан на сумму 1,3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w:t>
      </w:r>
      <w:r>
        <w:rPr>
          <w:rFonts w:ascii="PT Astra Serif" w:hAnsi="PT Astra Serif" w:eastAsia="Times New Roman"/>
          <w:sz w:val="24"/>
          <w:szCs w:val="24"/>
        </w:rPr>
        <w:t xml:space="preserve">, все 13 объектов исключены из </w:t>
      </w:r>
      <w:r>
        <w:rPr>
          <w:rFonts w:ascii="PT Astra Serif" w:hAnsi="PT Astra Serif" w:eastAsia="Times New Roman"/>
          <w:sz w:val="24"/>
          <w:szCs w:val="24"/>
        </w:rPr>
        <w:t xml:space="preserve">Е</w:t>
      </w:r>
      <w:r>
        <w:rPr>
          <w:rFonts w:ascii="PT Astra Serif" w:hAnsi="PT Astra Serif" w:eastAsia="Times New Roman"/>
          <w:sz w:val="24"/>
          <w:szCs w:val="24"/>
        </w:rPr>
        <w:t xml:space="preserve">РПО.</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0" w:leader="none"/>
        </w:tabs>
        <w:rPr>
          <w:rFonts w:ascii="PT Astra Serif" w:hAnsi="PT Astra Serif" w:eastAsia="Times New Roman"/>
          <w:b/>
          <w:sz w:val="24"/>
          <w:szCs w:val="24"/>
        </w:rPr>
      </w:pPr>
      <w:r>
        <w:rPr>
          <w:rFonts w:ascii="PT Astra Serif" w:hAnsi="PT Astra Serif" w:eastAsia="Times New Roman"/>
          <w:b/>
          <w:sz w:val="24"/>
          <w:szCs w:val="24"/>
        </w:rPr>
      </w:r>
      <w:r>
        <w:rPr>
          <w:rFonts w:ascii="PT Astra Serif" w:hAnsi="PT Astra Serif" w:eastAsia="Times New Roman"/>
          <w:b/>
          <w:sz w:val="24"/>
          <w:szCs w:val="24"/>
        </w:rPr>
      </w:r>
      <w:r>
        <w:rPr>
          <w:rFonts w:ascii="PT Astra Serif" w:hAnsi="PT Astra Serif" w:eastAsia="Times New Roman"/>
          <w:b/>
          <w:sz w:val="24"/>
          <w:szCs w:val="24"/>
        </w:rPr>
      </w:r>
    </w:p>
    <w:p>
      <w:pPr>
        <w:jc w:val="both"/>
        <w:spacing w:after="0" w:line="240" w:lineRule="auto"/>
        <w:rPr>
          <w:rFonts w:ascii="PT Astra Serif" w:hAnsi="PT Astra Serif" w:eastAsia="PT Astra Serif"/>
          <w:b/>
          <w:sz w:val="24"/>
          <w:szCs w:val="24"/>
          <w:shd w:val="clear" w:color="auto" w:fill="f2f2f2"/>
        </w:rPr>
      </w:pPr>
      <w:r>
        <w:rPr>
          <w:rFonts w:ascii="PT Astra Serif" w:hAnsi="PT Astra Serif" w:eastAsia="PT Astra Serif"/>
          <w:b/>
          <w:sz w:val="24"/>
          <w:szCs w:val="24"/>
          <w:shd w:val="clear" w:color="auto" w:fill="f2f2f2"/>
        </w:rPr>
        <w:t xml:space="preserve">Перспективные задачи:</w:t>
      </w:r>
      <w:r>
        <w:rPr>
          <w:rFonts w:ascii="PT Astra Serif" w:hAnsi="PT Astra Serif" w:eastAsia="PT Astra Serif"/>
          <w:b/>
          <w:sz w:val="24"/>
          <w:szCs w:val="24"/>
          <w:shd w:val="clear" w:color="auto" w:fill="f2f2f2"/>
        </w:rPr>
      </w:r>
      <w:r>
        <w:rPr>
          <w:rFonts w:ascii="PT Astra Serif" w:hAnsi="PT Astra Serif" w:eastAsia="PT Astra Serif"/>
          <w:b/>
          <w:sz w:val="24"/>
          <w:szCs w:val="24"/>
          <w:shd w:val="clear" w:color="auto" w:fill="f2f2f2"/>
        </w:rPr>
      </w:r>
    </w:p>
    <w:p>
      <w:pPr>
        <w:ind w:firstLine="709"/>
        <w:jc w:val="both"/>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1. Ввод в эксплуатацию 546 тыс. кв. м, в том числе многоквартирные дома </w:t>
      </w:r>
      <w:r>
        <w:rPr>
          <w:rFonts w:ascii="PT Astra Serif" w:hAnsi="PT Astra Serif" w:eastAsia="Calibri"/>
          <w:sz w:val="24"/>
          <w:szCs w:val="24"/>
        </w:rPr>
        <w:t xml:space="preserve">–</w:t>
      </w:r>
      <w:r>
        <w:rPr>
          <w:rFonts w:ascii="PT Astra Serif" w:hAnsi="PT Astra Serif" w:eastAsia="Times New Roman"/>
          <w:sz w:val="24"/>
          <w:szCs w:val="24"/>
        </w:rPr>
        <w:t xml:space="preserve"> 330 тыс. кв. м, ИЖС – 216 тыс. кв. м</w:t>
      </w:r>
      <w:r>
        <w:rPr>
          <w:rFonts w:ascii="PT Astra Serif" w:hAnsi="PT Astra Serif" w:eastAsia="Times New Roman"/>
          <w:sz w:val="24"/>
          <w:szCs w:val="24"/>
        </w:rPr>
        <w:t xml:space="preserve"> </w:t>
      </w:r>
      <w:r>
        <w:rPr>
          <w:rFonts w:ascii="PT Astra Serif" w:hAnsi="PT Astra Serif" w:eastAsia="Times New Roman"/>
          <w:sz w:val="24"/>
          <w:szCs w:val="24"/>
        </w:rPr>
        <w:t xml:space="preserve">(планируется построить 31 многоквартирный дом).</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2. Улучшение жилищных условия более 200 семей (граждане, выезжающие (выехавшие) из районов Крайнего Севера и приравненных к ним местностей, инвалиды, ветераны Великой Отечественной войны, ветераны боевых действий и молодые семьи)</w:t>
      </w:r>
      <w:r>
        <w:rPr>
          <w:rFonts w:ascii="PT Astra Serif" w:hAnsi="PT Astra Serif" w:eastAsia="Times New Roman"/>
          <w:sz w:val="24"/>
          <w:szCs w:val="24"/>
        </w:rPr>
        <w:t xml:space="preserve">.</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3. Расселение в 2024 году 872 человек из аварийного жилищного фонда Томской области общей площадью 18,0 тыс. кв. м.</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t xml:space="preserve">4. Решение вопроса восстановления прав граждан</w:t>
      </w:r>
      <w:r>
        <w:rPr>
          <w:rFonts w:ascii="PT Astra Serif" w:hAnsi="PT Astra Serif" w:eastAsia="Calibri"/>
          <w:sz w:val="24"/>
          <w:szCs w:val="24"/>
        </w:rPr>
        <w:t xml:space="preserve">–</w:t>
      </w:r>
      <w:r>
        <w:rPr>
          <w:rFonts w:ascii="PT Astra Serif" w:hAnsi="PT Astra Serif" w:eastAsia="Times New Roman"/>
          <w:sz w:val="24"/>
          <w:szCs w:val="24"/>
        </w:rPr>
        <w:t xml:space="preserve">участников долевого строительства.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0"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jc w:val="both"/>
        <w:spacing w:after="0" w:line="240" w:lineRule="auto"/>
        <w:shd w:val="clear" w:color="auto" w:fill="eaf1dd" w:themeFill="accent3" w:themeFillTint="33"/>
        <w:tabs>
          <w:tab w:val="left" w:pos="4962" w:leader="none"/>
          <w:tab w:val="left" w:pos="5651" w:leader="none"/>
        </w:tabs>
        <w:rPr>
          <w:rFonts w:ascii="PT Astra Serif" w:hAnsi="PT Astra Serif" w:eastAsia="Times New Roman"/>
          <w:b/>
          <w:sz w:val="24"/>
          <w:szCs w:val="24"/>
        </w:rPr>
      </w:pPr>
      <w:r>
        <w:rPr>
          <w:rFonts w:ascii="PT Astra Serif" w:hAnsi="PT Astra Serif" w:eastAsia="Times New Roman"/>
          <w:b/>
          <w:sz w:val="24"/>
          <w:szCs w:val="24"/>
        </w:rPr>
        <w:t xml:space="preserve">Формирование комфортной городской среды</w:t>
      </w:r>
      <w:r>
        <w:rPr>
          <w:rFonts w:ascii="PT Astra Serif" w:hAnsi="PT Astra Serif" w:eastAsia="Times New Roman"/>
          <w:b/>
          <w:sz w:val="24"/>
          <w:szCs w:val="24"/>
        </w:rPr>
        <w:tab/>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Ключевой задачей остается создание в регионе среды для комфортной и безопасной жизни, отдыха и работы, получения качественных социальных услуг, реализации профессионального и творческого потенциала жителей всех возрастов.</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отчетном году по региональному проекту «Формирование комфортной городской среды» в регионе благоустроено 50 общественных пространств во всех 20 муниципалитетах.</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Томске в порядок приведено 16 площадок, включая завершение работы благоустройства сквера «Тенистый» по ул.</w:t>
      </w:r>
      <w:r>
        <w:rPr>
          <w:rFonts w:ascii="PT Astra Serif" w:hAnsi="PT Astra Serif" w:eastAsia="Calibri"/>
          <w:sz w:val="24"/>
          <w:szCs w:val="24"/>
        </w:rPr>
        <w:t xml:space="preserve"> </w:t>
      </w:r>
      <w:r>
        <w:rPr>
          <w:rFonts w:ascii="PT Astra Serif" w:hAnsi="PT Astra Serif" w:eastAsia="Calibri"/>
          <w:sz w:val="24"/>
          <w:szCs w:val="24"/>
        </w:rPr>
        <w:t xml:space="preserve">Ф.</w:t>
      </w:r>
      <w:r>
        <w:rPr>
          <w:rFonts w:ascii="PT Astra Serif" w:hAnsi="PT Astra Serif" w:eastAsia="Calibri"/>
          <w:sz w:val="24"/>
          <w:szCs w:val="24"/>
        </w:rPr>
        <w:t xml:space="preserve"> </w:t>
      </w:r>
      <w:r>
        <w:rPr>
          <w:rFonts w:ascii="PT Astra Serif" w:hAnsi="PT Astra Serif" w:eastAsia="Calibri"/>
          <w:sz w:val="24"/>
          <w:szCs w:val="24"/>
        </w:rPr>
        <w:t xml:space="preserve">Мюниха, сквера по ул. 2-ая Рабочая и сквера «Чернобыль» по ул. Дзержинского.</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Томском районе новый внешний вид получили пять общественных пространств: обустроен веревочный парк в районе п. Копылово, баскетбольная площадка в п.</w:t>
      </w:r>
      <w:r>
        <w:rPr>
          <w:rFonts w:ascii="PT Astra Serif" w:hAnsi="PT Astra Serif" w:eastAsia="Calibri"/>
          <w:sz w:val="24"/>
          <w:szCs w:val="24"/>
        </w:rPr>
        <w:t xml:space="preserve"> </w:t>
      </w:r>
      <w:r>
        <w:rPr>
          <w:rFonts w:ascii="PT Astra Serif" w:hAnsi="PT Astra Serif" w:eastAsia="Calibri"/>
          <w:sz w:val="24"/>
          <w:szCs w:val="24"/>
        </w:rPr>
        <w:t xml:space="preserve">Рассвет, центральная площадь в с. Корнилово и др. Также обустроено семь территорий в Северске, среди них Аллея строителей.</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Стрежевом благоустроено 2</w:t>
      </w:r>
      <w:r>
        <w:rPr>
          <w:rFonts w:ascii="PT Astra Serif" w:hAnsi="PT Astra Serif" w:eastAsia="Calibri"/>
          <w:sz w:val="24"/>
          <w:szCs w:val="24"/>
        </w:rPr>
        <w:t xml:space="preserve"> спортивно-игровые площадки в 3-</w:t>
      </w:r>
      <w:r>
        <w:rPr>
          <w:rFonts w:ascii="PT Astra Serif" w:hAnsi="PT Astra Serif" w:eastAsia="Calibri"/>
          <w:sz w:val="24"/>
          <w:szCs w:val="24"/>
        </w:rPr>
        <w:t xml:space="preserve">е</w:t>
      </w:r>
      <w:r>
        <w:rPr>
          <w:rFonts w:ascii="PT Astra Serif" w:hAnsi="PT Astra Serif" w:eastAsia="Calibri"/>
          <w:sz w:val="24"/>
          <w:szCs w:val="24"/>
        </w:rPr>
        <w:t xml:space="preserve">м и 4-</w:t>
      </w:r>
      <w:r>
        <w:rPr>
          <w:rFonts w:ascii="PT Astra Serif" w:hAnsi="PT Astra Serif" w:eastAsia="Calibri"/>
          <w:sz w:val="24"/>
          <w:szCs w:val="24"/>
        </w:rPr>
        <w:t xml:space="preserve">о</w:t>
      </w:r>
      <w:r>
        <w:rPr>
          <w:rFonts w:ascii="PT Astra Serif" w:hAnsi="PT Astra Serif" w:eastAsia="Calibri"/>
          <w:sz w:val="24"/>
          <w:szCs w:val="24"/>
        </w:rPr>
        <w:t xml:space="preserve">м микрорайонах, сквер по ул. Ермакова и общественная территория в мкр. «Новом». Также обустроены сквер в с. Каргасок, общественная территория «Детская площадка</w:t>
      </w:r>
      <w:r>
        <w:rPr>
          <w:rFonts w:ascii="PT Astra Serif" w:hAnsi="PT Astra Serif" w:eastAsia="Calibri"/>
          <w:sz w:val="24"/>
          <w:szCs w:val="24"/>
        </w:rPr>
        <w:t xml:space="preserve"> –</w:t>
      </w:r>
      <w:r>
        <w:rPr>
          <w:rFonts w:ascii="PT Astra Serif" w:hAnsi="PT Astra Serif" w:eastAsia="Calibri"/>
          <w:sz w:val="24"/>
          <w:szCs w:val="24"/>
        </w:rPr>
        <w:t xml:space="preserve"> Юный геолог» в р.п. Белый Яр Верхнекетского ра</w:t>
      </w:r>
      <w:r>
        <w:rPr>
          <w:rFonts w:ascii="PT Astra Serif" w:hAnsi="PT Astra Serif" w:eastAsia="Calibri"/>
          <w:sz w:val="24"/>
          <w:szCs w:val="24"/>
        </w:rPr>
        <w:t xml:space="preserve">йона, парк по ул. Лебедева в с. </w:t>
      </w:r>
      <w:r>
        <w:rPr>
          <w:rFonts w:ascii="PT Astra Serif" w:hAnsi="PT Astra Serif" w:eastAsia="Calibri"/>
          <w:sz w:val="24"/>
          <w:szCs w:val="24"/>
        </w:rPr>
        <w:t xml:space="preserve">Александровское.</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Во многих муниципальных образованиях работы по благоустройству территорий ведутся поэтапно: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продолжены работы по благоустройству на общественной территории в 1 мкр., «Центр 1.0» в г. Кедровый, парка культуры и отдыха в с. Могочино Молчановского района (5-й этап), сквера у Дома культуры в с.п. Парабель (2-й этап) и др.;</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начаты работы по благоустройству площади «Базарная» в с. Кривошеино (1</w:t>
      </w:r>
      <w:r>
        <w:rPr>
          <w:rFonts w:ascii="PT Astra Serif" w:hAnsi="PT Astra Serif" w:eastAsia="Calibri"/>
          <w:sz w:val="24"/>
          <w:szCs w:val="24"/>
        </w:rPr>
        <w:t xml:space="preserve">-й</w:t>
      </w:r>
      <w:r>
        <w:rPr>
          <w:rFonts w:ascii="PT Astra Serif" w:hAnsi="PT Astra Serif" w:eastAsia="Calibri"/>
          <w:sz w:val="24"/>
          <w:szCs w:val="24"/>
        </w:rPr>
        <w:t xml:space="preserve"> этап), сквера «Вечный огонь» в с. Кожевниково (1-й этап), территории школьной рощи в с. Мельниково Шегарского района (1-й этап).</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2023 году Томская область приняла участие во Всероссийском конкурсе лучших проектов создания комфортной городской среды в малых городах и исторических поселениях, по итогам которого признан победителем город Стрежевой. В качестве федеральных грантов в 20</w:t>
      </w:r>
      <w:r>
        <w:rPr>
          <w:rFonts w:ascii="PT Astra Serif" w:hAnsi="PT Astra Serif" w:eastAsia="Calibri"/>
          <w:sz w:val="24"/>
          <w:szCs w:val="24"/>
        </w:rPr>
        <w:t xml:space="preserve">24 г. региону выделено 92,1 млн</w:t>
      </w:r>
      <w:r>
        <w:rPr>
          <w:rFonts w:ascii="PT Astra Serif" w:hAnsi="PT Astra Serif" w:eastAsia="Calibri"/>
          <w:sz w:val="24"/>
          <w:szCs w:val="24"/>
        </w:rPr>
        <w:t xml:space="preserve"> рублей.</w:t>
      </w:r>
      <w:r>
        <w:rPr>
          <w:rFonts w:ascii="PT Astra Serif" w:hAnsi="PT Astra Serif" w:eastAsia="Calibri"/>
          <w:sz w:val="24"/>
          <w:szCs w:val="24"/>
        </w:rPr>
      </w:r>
      <w:r>
        <w:rPr>
          <w:rFonts w:ascii="PT Astra Serif" w:hAnsi="PT Astra Serif" w:eastAsia="Calibri"/>
          <w:sz w:val="24"/>
          <w:szCs w:val="24"/>
        </w:rPr>
      </w:r>
    </w:p>
    <w:p>
      <w:pPr>
        <w:contextualSpacing/>
        <w:ind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В рамках данного конкурса в отчетном году </w:t>
      </w:r>
      <w:r>
        <w:rPr>
          <w:rFonts w:ascii="PT Astra Serif" w:hAnsi="PT Astra Serif" w:eastAsia="Calibri" w:cs="Calibri"/>
          <w:sz w:val="24"/>
          <w:szCs w:val="24"/>
        </w:rPr>
        <w:t xml:space="preserve">благоустроены и открыты </w:t>
      </w:r>
      <w:r>
        <w:rPr>
          <w:rFonts w:ascii="PT Astra Serif" w:hAnsi="PT Astra Serif" w:eastAsia="Calibri" w:cs="Calibri"/>
          <w:sz w:val="24"/>
          <w:szCs w:val="24"/>
        </w:rPr>
        <w:br/>
        <w:t xml:space="preserve">для посещения 3 общественных пространства: </w:t>
      </w:r>
      <w:r>
        <w:rPr>
          <w:rFonts w:ascii="PT Astra Serif" w:hAnsi="PT Astra Serif" w:cs="Calibri"/>
          <w:sz w:val="24"/>
          <w:szCs w:val="24"/>
        </w:rPr>
        <w:t xml:space="preserve">«Объединяя город. Благоустройство центральной части города Асино», «Благоустройство Центрального бульвара в городе Колпашево», «Сердце Нефтеграда. Благоустройство центральной части города Стрежевого».</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За 2023 год региональным </w:t>
      </w:r>
      <w:r>
        <w:rPr>
          <w:rFonts w:ascii="PT Astra Serif" w:hAnsi="PT Astra Serif" w:eastAsia="Calibri"/>
          <w:sz w:val="24"/>
          <w:szCs w:val="24"/>
        </w:rPr>
        <w:t xml:space="preserve">Центром компетенции по вопросу городской среды </w:t>
      </w:r>
      <w:r>
        <w:rPr>
          <w:rFonts w:ascii="PT Astra Serif" w:hAnsi="PT Astra Serif" w:eastAsia="Calibri"/>
          <w:sz w:val="24"/>
          <w:szCs w:val="24"/>
        </w:rPr>
        <w:br/>
        <w:t xml:space="preserve">и реализации проекта «Умный город» (далее </w:t>
      </w:r>
      <w:r>
        <w:rPr>
          <w:rFonts w:ascii="PT Astra Serif" w:hAnsi="PT Astra Serif" w:eastAsia="Calibri"/>
          <w:sz w:val="24"/>
          <w:szCs w:val="24"/>
        </w:rPr>
        <w:t xml:space="preserve">–</w:t>
      </w:r>
      <w:r>
        <w:rPr>
          <w:rFonts w:ascii="PT Astra Serif" w:hAnsi="PT Astra Serif" w:eastAsia="Calibri"/>
          <w:sz w:val="24"/>
          <w:szCs w:val="24"/>
        </w:rPr>
        <w:t xml:space="preserve"> Центр) организовано 10 мероприятий с целью повышения уровня компетенций специалист</w:t>
      </w:r>
      <w:r>
        <w:rPr>
          <w:rFonts w:ascii="PT Astra Serif" w:hAnsi="PT Astra Serif" w:eastAsia="Calibri"/>
          <w:sz w:val="24"/>
          <w:szCs w:val="24"/>
        </w:rPr>
        <w:t xml:space="preserve">ов (государственных и муниципальных служащих, сотрудников областных и муниципальных учреждений), работающих в сфере создания объектов благоустройства Томской области, воркшопов с жителями муниципальных образований Томской области по созданию объектов благо</w:t>
      </w:r>
      <w:r>
        <w:rPr>
          <w:rFonts w:ascii="PT Astra Serif" w:hAnsi="PT Astra Serif" w:eastAsia="Calibri"/>
          <w:sz w:val="24"/>
          <w:szCs w:val="24"/>
        </w:rPr>
        <w:t xml:space="preserve">устройства </w:t>
      </w:r>
      <w:r>
        <w:rPr>
          <w:rFonts w:ascii="PT Astra Serif" w:hAnsi="PT Astra Serif" w:eastAsia="Calibri"/>
          <w:sz w:val="24"/>
          <w:szCs w:val="24"/>
        </w:rPr>
        <w:br/>
        <w:t xml:space="preserve">и вовлечено 326 человек</w:t>
      </w:r>
      <w:r>
        <w:rPr>
          <w:rFonts w:ascii="PT Astra Serif" w:hAnsi="PT Astra Serif" w:eastAsia="Calibri"/>
          <w:sz w:val="24"/>
          <w:szCs w:val="24"/>
        </w:rPr>
        <w:t xml:space="preserve"> Результаты мероприятий публикуются на электронных ресурсах муниципалитетов и в социальных сетях. Осуществляется общественный контроль на всех стадиях реализации (разработка концепции, дизайн-проекта, проектно-сметной документации и так далее).</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рамках реализации регионального проекта «Формирование городской среды» Центром подготовлены заявки Томской области:</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 </w:t>
      </w:r>
      <w:r>
        <w:rPr>
          <w:rFonts w:ascii="PT Astra Serif" w:hAnsi="PT Astra Serif" w:eastAsia="Calibri"/>
          <w:sz w:val="24"/>
          <w:szCs w:val="24"/>
        </w:rPr>
        <w:t xml:space="preserve">на Всероссийский конкурс лучших проектов создания комфортной городской среды в малых городах и исторических поселениях, в котором проект городского округа Стрежевой «Сердце Нефтеграда. ВСЕ В ПАРК!» признан победителем;</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 </w:t>
      </w:r>
      <w:r>
        <w:rPr>
          <w:rFonts w:ascii="PT Astra Serif" w:hAnsi="PT Astra Serif" w:eastAsia="Calibri"/>
          <w:sz w:val="24"/>
          <w:szCs w:val="24"/>
        </w:rPr>
        <w:t xml:space="preserve">на ежегодный конкурс Минстроя Ро</w:t>
      </w:r>
      <w:r>
        <w:rPr>
          <w:rFonts w:ascii="PT Astra Serif" w:hAnsi="PT Astra Serif" w:eastAsia="Calibri"/>
          <w:sz w:val="24"/>
          <w:szCs w:val="24"/>
        </w:rPr>
        <w:t xml:space="preserve">ссии по отбору лучших практик (проектов) повышения индекса качества городской среды, реализованных в субъектах Российской Федерации. Центр занял второе место за лучшую практику по повышению индекса качества городской среды, реализованную в Томской области.</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Создание проектов благоустройства в Томской области осуществляется с обязательным учетом требований для всех пользователей (включая маломобильные группы).</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trike/>
          <w:sz w:val="24"/>
          <w:szCs w:val="24"/>
        </w:rPr>
      </w:pPr>
      <w:r>
        <w:rPr>
          <w:rFonts w:ascii="PT Astra Serif" w:hAnsi="PT Astra Serif" w:eastAsia="Calibri"/>
          <w:sz w:val="24"/>
          <w:szCs w:val="24"/>
        </w:rPr>
        <w:t xml:space="preserve">Для решения вопросов городской среды в 2023 году вовлечено, в том числе путем проведения рейтингового голосования</w:t>
      </w:r>
      <w:r>
        <w:rPr>
          <w:rFonts w:ascii="PT Astra Serif" w:hAnsi="PT Astra Serif" w:eastAsia="Calibri"/>
          <w:sz w:val="24"/>
          <w:szCs w:val="24"/>
        </w:rPr>
        <w:t xml:space="preserve">,</w:t>
      </w:r>
      <w:r>
        <w:rPr>
          <w:rFonts w:ascii="PT Astra Serif" w:hAnsi="PT Astra Serif" w:eastAsia="Calibri"/>
          <w:sz w:val="24"/>
          <w:szCs w:val="24"/>
        </w:rPr>
        <w:t xml:space="preserve"> 240 157 человек. </w:t>
      </w:r>
      <w:r>
        <w:rPr>
          <w:rFonts w:ascii="PT Astra Serif" w:hAnsi="PT Astra Serif" w:eastAsia="Calibri"/>
          <w:strike/>
          <w:sz w:val="24"/>
          <w:szCs w:val="24"/>
        </w:rPr>
      </w:r>
      <w:r>
        <w:rPr>
          <w:rFonts w:ascii="PT Astra Serif" w:hAnsi="PT Astra Serif" w:eastAsia="Calibri"/>
          <w:strike/>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Ежегодно Томской областью направляются данные для расчета индекса качества городской среды (по 36 индикаторам). За 2023 год среднее значение индекса качества городской среды для Томской области составило 197 баллов, что составляет 18% при</w:t>
      </w:r>
      <w:r>
        <w:rPr>
          <w:rFonts w:ascii="PT Astra Serif" w:hAnsi="PT Astra Serif" w:eastAsia="Calibri"/>
          <w:sz w:val="24"/>
          <w:szCs w:val="24"/>
        </w:rPr>
        <w:t xml:space="preserve">роста среднего индекса качества городской среды по отношению к 2019 году. Город Томск, городской округ Стрежевой и ЗАТО Северск являются городами с благоприятной городской средой, со значениями показателя более 200 баллов. Показатели 2023 года достигнуты. </w:t>
      </w:r>
      <w:r>
        <w:rPr>
          <w:rFonts w:ascii="PT Astra Serif" w:hAnsi="PT Astra Serif" w:eastAsia="Calibri"/>
          <w:sz w:val="24"/>
          <w:szCs w:val="24"/>
        </w:rPr>
      </w:r>
      <w:r>
        <w:rPr>
          <w:rFonts w:ascii="PT Astra Serif" w:hAnsi="PT Astra Serif" w:eastAsia="Calibri"/>
          <w:sz w:val="24"/>
          <w:szCs w:val="24"/>
        </w:rPr>
      </w:r>
    </w:p>
    <w:p>
      <w:pPr>
        <w:jc w:val="both"/>
        <w:spacing w:after="0" w:line="240" w:lineRule="auto"/>
        <w:rPr>
          <w:rFonts w:ascii="PT Astra Serif" w:hAnsi="PT Astra Serif" w:eastAsia="Calibri"/>
          <w:strike/>
          <w:sz w:val="24"/>
          <w:szCs w:val="24"/>
        </w:rPr>
      </w:pPr>
      <w:r>
        <w:rPr>
          <w:rFonts w:ascii="PT Astra Serif" w:hAnsi="PT Astra Serif" w:eastAsia="Calibri"/>
          <w:strike/>
          <w:sz w:val="24"/>
          <w:szCs w:val="24"/>
        </w:rPr>
      </w:r>
      <w:r>
        <w:rPr>
          <w:rFonts w:ascii="PT Astra Serif" w:hAnsi="PT Astra Serif" w:eastAsia="Calibri"/>
          <w:strike/>
          <w:sz w:val="24"/>
          <w:szCs w:val="24"/>
        </w:rPr>
      </w:r>
      <w:r>
        <w:rPr>
          <w:rFonts w:ascii="PT Astra Serif" w:hAnsi="PT Astra Serif" w:eastAsia="Calibri"/>
          <w:strike/>
          <w:sz w:val="24"/>
          <w:szCs w:val="24"/>
        </w:rPr>
      </w:r>
    </w:p>
    <w:p>
      <w:pPr>
        <w:jc w:val="both"/>
        <w:spacing w:after="0" w:line="240" w:lineRule="auto"/>
        <w:rPr>
          <w:rFonts w:ascii="PT Astra Serif" w:hAnsi="PT Astra Serif" w:eastAsia="PT Astra Serif"/>
          <w:b/>
          <w:sz w:val="24"/>
          <w:szCs w:val="24"/>
          <w:shd w:val="clear" w:color="auto" w:fill="f2f2f2"/>
        </w:rPr>
      </w:pPr>
      <w:r>
        <w:rPr>
          <w:rFonts w:ascii="PT Astra Serif" w:hAnsi="PT Astra Serif" w:eastAsia="PT Astra Serif"/>
          <w:b/>
          <w:sz w:val="24"/>
          <w:szCs w:val="24"/>
          <w:shd w:val="clear" w:color="auto" w:fill="f2f2f2"/>
        </w:rPr>
        <w:t xml:space="preserve">Перспективные задачи:</w:t>
      </w:r>
      <w:r>
        <w:rPr>
          <w:rFonts w:ascii="PT Astra Serif" w:hAnsi="PT Astra Serif" w:eastAsia="PT Astra Serif"/>
          <w:b/>
          <w:sz w:val="24"/>
          <w:szCs w:val="24"/>
          <w:shd w:val="clear" w:color="auto" w:fill="f2f2f2"/>
        </w:rPr>
      </w:r>
      <w:r>
        <w:rPr>
          <w:rFonts w:ascii="PT Astra Serif" w:hAnsi="PT Astra Serif" w:eastAsia="PT Astra Serif"/>
          <w:b/>
          <w:sz w:val="24"/>
          <w:szCs w:val="24"/>
          <w:shd w:val="clear" w:color="auto" w:fill="f2f2f2"/>
        </w:rPr>
      </w:r>
    </w:p>
    <w:p>
      <w:pPr>
        <w:ind w:firstLine="567"/>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1. Благоустройство 50 общественных территорий в 20 муниципальных образованиях.</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567"/>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2. Реализация проекта-победителя V</w:t>
      </w:r>
      <w:r>
        <w:rPr>
          <w:rFonts w:ascii="PT Astra Serif" w:hAnsi="PT Astra Serif" w:eastAsia="Times New Roman" w:cs="Arial"/>
          <w:sz w:val="24"/>
          <w:szCs w:val="24"/>
          <w:lang w:val="en-US" w:eastAsia="ru-RU"/>
        </w:rPr>
        <w:t xml:space="preserve">III</w:t>
      </w:r>
      <w:r>
        <w:rPr>
          <w:rFonts w:ascii="PT Astra Serif" w:hAnsi="PT Astra Serif" w:eastAsia="Times New Roman" w:cs="Arial"/>
          <w:sz w:val="24"/>
          <w:szCs w:val="24"/>
          <w:lang w:eastAsia="ru-RU"/>
        </w:rPr>
        <w:t xml:space="preserve"> Всероссийского конкурса лучших проектов создания комфортной городской среды (г. Стрежевой). </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46"/>
        <w:outlineLvl w:val="1"/>
      </w:pPr>
      <w:r/>
      <w:bookmarkStart w:id="16" w:name="_Toc134630406"/>
      <w:r>
        <w:t xml:space="preserve">3.4. Обеспечение повышения безопасности жизнедеятельности</w:t>
      </w:r>
      <w:bookmarkEnd w:id="16"/>
      <w:r/>
      <w:r/>
    </w:p>
    <w:p>
      <w:pPr>
        <w:jc w:val="both"/>
        <w:spacing w:after="0" w:line="240" w:lineRule="auto"/>
        <w:tabs>
          <w:tab w:val="left" w:pos="4962" w:leader="none"/>
        </w:tabs>
        <w:rPr>
          <w:rFonts w:ascii="PT Astra Serif" w:hAnsi="PT Astra Serif" w:eastAsia="Times New Roman"/>
          <w:b/>
          <w:sz w:val="24"/>
          <w:szCs w:val="24"/>
        </w:rPr>
      </w:pPr>
      <w:r>
        <w:rPr>
          <w:rFonts w:ascii="PT Astra Serif" w:hAnsi="PT Astra Serif" w:eastAsia="Times New Roman"/>
          <w:b/>
          <w:sz w:val="24"/>
          <w:szCs w:val="24"/>
        </w:rPr>
      </w:r>
      <w:r>
        <w:rPr>
          <w:rFonts w:ascii="PT Astra Serif" w:hAnsi="PT Astra Serif" w:eastAsia="Times New Roman"/>
          <w:b/>
          <w:sz w:val="24"/>
          <w:szCs w:val="24"/>
        </w:rPr>
      </w:r>
      <w:r>
        <w:rPr>
          <w:rFonts w:ascii="PT Astra Serif" w:hAnsi="PT Astra Serif" w:eastAsia="Times New Roman"/>
          <w:b/>
          <w:sz w:val="24"/>
          <w:szCs w:val="24"/>
        </w:rPr>
      </w:r>
    </w:p>
    <w:p>
      <w:pPr>
        <w:jc w:val="both"/>
        <w:spacing w:after="0" w:line="240" w:lineRule="auto"/>
        <w:shd w:val="clear" w:color="auto" w:fill="eaf1dd" w:themeFill="accent3" w:themeFillTint="33"/>
        <w:tabs>
          <w:tab w:val="left" w:pos="4962" w:leader="none"/>
        </w:tabs>
        <w:rPr>
          <w:rFonts w:ascii="PT Astra Serif" w:hAnsi="PT Astra Serif" w:eastAsia="Times New Roman"/>
          <w:b/>
          <w:sz w:val="24"/>
          <w:szCs w:val="24"/>
        </w:rPr>
      </w:pPr>
      <w:r>
        <w:rPr>
          <w:rFonts w:ascii="PT Astra Serif" w:hAnsi="PT Astra Serif" w:eastAsia="Times New Roman"/>
          <w:b/>
          <w:sz w:val="24"/>
          <w:szCs w:val="24"/>
        </w:rPr>
        <w:t xml:space="preserve">Общественная безопасность</w:t>
      </w:r>
      <w:r>
        <w:rPr>
          <w:rFonts w:ascii="PT Astra Serif" w:hAnsi="PT Astra Serif" w:eastAsia="Times New Roman"/>
          <w:b/>
          <w:sz w:val="24"/>
          <w:szCs w:val="24"/>
        </w:rPr>
      </w:r>
      <w:r>
        <w:rPr>
          <w:rFonts w:ascii="PT Astra Serif" w:hAnsi="PT Astra Serif" w:eastAsia="Times New Roman"/>
          <w:b/>
          <w:sz w:val="24"/>
          <w:szCs w:val="24"/>
        </w:rPr>
      </w:r>
    </w:p>
    <w:p>
      <w:pPr>
        <w:pStyle w:val="1165"/>
        <w:ind w:firstLine="709"/>
        <w:jc w:val="both"/>
        <w:rPr>
          <w:color w:val="auto"/>
        </w:rPr>
      </w:pPr>
      <w:r>
        <w:rPr>
          <w:color w:val="auto"/>
        </w:rPr>
        <w:t xml:space="preserve">Обеспечение общественной безопасности и защита жителей Томской области – являются ключевыми условиями для жизни, работы и отдыха на территории региона.</w:t>
      </w:r>
      <w:r>
        <w:rPr>
          <w:color w:val="auto"/>
        </w:rPr>
      </w:r>
      <w:r>
        <w:rPr>
          <w:color w:val="auto"/>
        </w:rPr>
      </w:r>
    </w:p>
    <w:p>
      <w:pPr>
        <w:pStyle w:val="1165"/>
        <w:ind w:firstLine="709"/>
        <w:jc w:val="both"/>
        <w:rPr>
          <w:color w:val="auto"/>
        </w:rPr>
      </w:pPr>
      <w:r>
        <w:rPr>
          <w:color w:val="auto"/>
        </w:rPr>
        <w:t xml:space="preserve">Совместными действиями правоохранительных, надзорных и исполнительных органов Томской области в регионе сохранена экономическая и социальная стабильность, не допущены этнические и религиозные конфликты. </w:t>
      </w:r>
      <w:r>
        <w:rPr>
          <w:color w:val="auto"/>
        </w:rPr>
      </w:r>
      <w:r>
        <w:rPr>
          <w:color w:val="auto"/>
        </w:rPr>
      </w:r>
    </w:p>
    <w:p>
      <w:pPr>
        <w:pStyle w:val="1165"/>
        <w:ind w:firstLine="709"/>
        <w:jc w:val="both"/>
        <w:rPr>
          <w:color w:val="auto"/>
        </w:rPr>
      </w:pPr>
      <w:r>
        <w:rPr>
          <w:color w:val="auto"/>
        </w:rPr>
        <w:t xml:space="preserve">Благодаря работе правоохранительных, надзорных и исполнительных органов отмечается снижение те</w:t>
      </w:r>
      <w:r>
        <w:rPr>
          <w:color w:val="auto"/>
        </w:rPr>
        <w:t xml:space="preserve">мпа роста преступности на 6,4 процентных </w:t>
      </w:r>
      <w:r>
        <w:rPr>
          <w:color w:val="auto"/>
        </w:rPr>
        <w:t xml:space="preserve">п</w:t>
      </w:r>
      <w:r>
        <w:rPr>
          <w:color w:val="auto"/>
        </w:rPr>
        <w:t xml:space="preserve">ункта</w:t>
      </w:r>
      <w:r>
        <w:rPr>
          <w:color w:val="auto"/>
        </w:rPr>
        <w:t xml:space="preserve"> с 10,6% в 2022 году до 4,2%</w:t>
      </w:r>
      <w:r>
        <w:rPr>
          <w:color w:val="auto"/>
        </w:rPr>
        <w:t xml:space="preserve">,</w:t>
      </w:r>
      <w:r>
        <w:rPr>
          <w:color w:val="auto"/>
        </w:rPr>
        <w:t xml:space="preserve"> уменьшилось число мелких хищений на 23,8%, краж на 5,9%, грабежей на 28,1%, разбоев на 28,9%, умышленного уничтожения или повреждения чужого имущества на 14% меры. </w:t>
      </w:r>
      <w:r>
        <w:rPr>
          <w:color w:val="auto"/>
        </w:rPr>
      </w:r>
      <w:r>
        <w:rPr>
          <w:color w:val="auto"/>
        </w:rPr>
      </w:r>
    </w:p>
    <w:p>
      <w:pPr>
        <w:ind w:firstLine="709"/>
        <w:jc w:val="both"/>
        <w:spacing w:after="0" w:line="240" w:lineRule="auto"/>
        <w:rPr>
          <w:rFonts w:ascii="PT Astra Serif" w:hAnsi="PT Astra Serif" w:cs="PT Astra Serif"/>
          <w:sz w:val="24"/>
          <w:szCs w:val="24"/>
        </w:rPr>
      </w:pPr>
      <w:r>
        <w:rPr>
          <w:rFonts w:ascii="PT Astra Serif" w:hAnsi="PT Astra Serif" w:cs="PT Astra Serif"/>
          <w:sz w:val="24"/>
          <w:szCs w:val="24"/>
        </w:rPr>
        <w:t xml:space="preserve">Количе</w:t>
      </w:r>
      <w:r>
        <w:rPr>
          <w:rFonts w:ascii="PT Astra Serif" w:hAnsi="PT Astra Serif" w:cs="PT Astra Serif"/>
          <w:sz w:val="24"/>
          <w:szCs w:val="24"/>
        </w:rPr>
        <w:t xml:space="preserve">ство преступлений, совершенных в общественных местах, сократилось на 16,5%, в том числе на улицах на 16,1%, совершенных лицами, ранее совершавшими преступления на 7,2%. Снизилось число преступлений, совершенных под воздействием спиртных напитков, на 13,8%.</w:t>
      </w:r>
      <w:r>
        <w:rPr>
          <w:rFonts w:ascii="PT Astra Serif" w:hAnsi="PT Astra Serif" w:cs="PT Astra Serif"/>
          <w:sz w:val="24"/>
          <w:szCs w:val="24"/>
        </w:rPr>
      </w:r>
      <w:r>
        <w:rPr>
          <w:rFonts w:ascii="PT Astra Serif" w:hAnsi="PT Astra Serif" w:cs="PT Astra Serif"/>
          <w:sz w:val="24"/>
          <w:szCs w:val="24"/>
        </w:rPr>
      </w:r>
    </w:p>
    <w:p>
      <w:pPr>
        <w:pStyle w:val="1165"/>
        <w:ind w:firstLine="709"/>
        <w:jc w:val="both"/>
        <w:rPr>
          <w:color w:val="auto"/>
        </w:rPr>
      </w:pPr>
      <w:r>
        <w:rPr>
          <w:color w:val="auto"/>
        </w:rPr>
        <w:t xml:space="preserve">В 2023 году сократилось число выявленных фактов незаконного оборота оружия на 11%, количество преступлений экономической направленности – на 8,4%, число зарегистрированных фактов фальшивомонетничества и подделки ценных бумаг </w:t>
      </w:r>
      <w:r>
        <w:rPr>
          <w:rFonts w:eastAsia="Calibri"/>
        </w:rPr>
        <w:t xml:space="preserve">–</w:t>
      </w:r>
      <w:r>
        <w:rPr>
          <w:color w:val="auto"/>
        </w:rPr>
        <w:t xml:space="preserve"> на 54%.</w:t>
      </w:r>
      <w:r>
        <w:rPr>
          <w:color w:val="auto"/>
        </w:rPr>
      </w:r>
      <w:r>
        <w:rPr>
          <w:color w:val="auto"/>
        </w:rPr>
      </w:r>
    </w:p>
    <w:p>
      <w:pPr>
        <w:pStyle w:val="1165"/>
        <w:ind w:firstLine="709"/>
        <w:jc w:val="both"/>
        <w:rPr>
          <w:color w:val="auto"/>
        </w:rPr>
      </w:pPr>
      <w:r>
        <w:rPr>
          <w:color w:val="auto"/>
        </w:rPr>
        <w:t xml:space="preserve">Несмотря на ряд положительных тенденций в целом по итогам 2023 года отмечается рост общего числа зарегистрированных преступлений на 4,</w:t>
      </w:r>
      <w:r>
        <w:rPr>
          <w:color w:val="auto"/>
        </w:rPr>
        <w:t xml:space="preserve">2</w:t>
      </w:r>
      <w:r>
        <w:rPr>
          <w:color w:val="auto"/>
        </w:rPr>
        <w:t xml:space="preserve">% (с 18 578 до 19</w:t>
      </w:r>
      <w:r>
        <w:rPr>
          <w:color w:val="auto"/>
        </w:rPr>
        <w:t xml:space="preserve"> </w:t>
      </w:r>
      <w:r>
        <w:rPr>
          <w:color w:val="auto"/>
        </w:rPr>
        <w:t xml:space="preserve">388) за счет увеличения</w:t>
      </w:r>
      <w:r>
        <w:rPr>
          <w:color w:val="auto"/>
        </w:rPr>
        <w:t xml:space="preserve"> числа зарегистрированных мошенничеств – на 32%, преступлений в сфере незаконного оборота наркотических средств и психотропных веществ – на 44,6%, преступлений в сфере компьютерной информации – в 3,3 раза, вымогательств – на 59,7%, умышленного причинения л</w:t>
      </w:r>
      <w:r>
        <w:rPr>
          <w:color w:val="auto"/>
        </w:rPr>
        <w:t xml:space="preserve">е</w:t>
      </w:r>
      <w:r>
        <w:rPr>
          <w:color w:val="auto"/>
        </w:rPr>
        <w:t xml:space="preserve">гкого вреда здоровью – на 47,7%, нанесения побоев, в том числе лицами, подвергнутыми административному наказанию либо имеющими судимость – в 3,8 раза, рост числа преступлений, совершенных несовершеннолетними на 34,2%, числа убийств на 17,8%.</w:t>
      </w:r>
      <w:r>
        <w:rPr>
          <w:color w:val="auto"/>
        </w:rPr>
      </w:r>
      <w:r>
        <w:rPr>
          <w:color w:val="auto"/>
        </w:rPr>
      </w:r>
    </w:p>
    <w:p>
      <w:pPr>
        <w:pStyle w:val="1165"/>
        <w:ind w:firstLine="709"/>
        <w:jc w:val="both"/>
        <w:rPr>
          <w:color w:val="auto"/>
        </w:rPr>
      </w:pPr>
      <w:r>
        <w:rPr>
          <w:color w:val="auto"/>
        </w:rPr>
        <w:t xml:space="preserve">В сфере безопасности дорожного движения в 2023 году на территории Томской области зафиксировано </w:t>
      </w:r>
      <w:r>
        <w:rPr>
          <w:b/>
          <w:color w:val="auto"/>
        </w:rPr>
        <w:t xml:space="preserve">снижение основных показателей аварийности</w:t>
      </w:r>
      <w:r>
        <w:rPr>
          <w:color w:val="auto"/>
        </w:rPr>
        <w:t xml:space="preserve">: </w:t>
      </w:r>
      <w:r>
        <w:rPr>
          <w:color w:val="auto"/>
        </w:rPr>
      </w:r>
      <w:r>
        <w:rPr>
          <w:color w:val="auto"/>
        </w:rPr>
      </w:r>
    </w:p>
    <w:p>
      <w:pPr>
        <w:pStyle w:val="1165"/>
        <w:ind w:firstLine="709"/>
        <w:jc w:val="both"/>
        <w:rPr>
          <w:color w:val="auto"/>
        </w:rPr>
      </w:pPr>
      <w:r>
        <w:rPr>
          <w:rFonts w:eastAsia="Calibri"/>
        </w:rPr>
        <w:t xml:space="preserve">–</w:t>
      </w:r>
      <w:r>
        <w:rPr>
          <w:color w:val="auto"/>
        </w:rPr>
        <w:t xml:space="preserve"> на 12,6% – количества дорожно-транспортных происшествий (с 469 до 410); </w:t>
      </w:r>
      <w:r>
        <w:rPr>
          <w:color w:val="auto"/>
        </w:rPr>
      </w:r>
      <w:r>
        <w:rPr>
          <w:color w:val="auto"/>
        </w:rPr>
      </w:r>
    </w:p>
    <w:p>
      <w:pPr>
        <w:pStyle w:val="1165"/>
        <w:ind w:firstLine="709"/>
        <w:jc w:val="both"/>
        <w:rPr>
          <w:color w:val="auto"/>
        </w:rPr>
      </w:pPr>
      <w:r>
        <w:rPr>
          <w:rFonts w:eastAsia="Calibri"/>
        </w:rPr>
        <w:t xml:space="preserve">–</w:t>
      </w:r>
      <w:r>
        <w:rPr>
          <w:color w:val="auto"/>
        </w:rPr>
        <w:t xml:space="preserve"> на 27,6% – числа погибших людей (с 87 до 63); </w:t>
      </w:r>
      <w:r>
        <w:rPr>
          <w:color w:val="auto"/>
        </w:rPr>
      </w:r>
      <w:r>
        <w:rPr>
          <w:color w:val="auto"/>
        </w:rPr>
      </w:r>
    </w:p>
    <w:p>
      <w:pPr>
        <w:pStyle w:val="1165"/>
        <w:ind w:firstLine="709"/>
        <w:jc w:val="both"/>
        <w:rPr>
          <w:color w:val="auto"/>
        </w:rPr>
      </w:pPr>
      <w:r>
        <w:rPr>
          <w:rFonts w:eastAsia="Calibri"/>
        </w:rPr>
        <w:t xml:space="preserve">–</w:t>
      </w:r>
      <w:r>
        <w:rPr>
          <w:color w:val="auto"/>
        </w:rPr>
        <w:t xml:space="preserve"> на 15,5% – числа раненых (с 542 до 458). </w:t>
      </w:r>
      <w:r>
        <w:rPr>
          <w:color w:val="auto"/>
        </w:rPr>
      </w:r>
      <w:r>
        <w:rPr>
          <w:color w:val="auto"/>
        </w:rPr>
      </w:r>
    </w:p>
    <w:p>
      <w:pPr>
        <w:pStyle w:val="1165"/>
        <w:ind w:firstLine="709"/>
        <w:jc w:val="both"/>
        <w:rPr>
          <w:color w:val="auto"/>
        </w:rPr>
      </w:pPr>
      <w:r>
        <w:rPr>
          <w:color w:val="auto"/>
        </w:rPr>
        <w:t xml:space="preserve">Основные причины совершения дорожно–транспортных происшествий: несоблюдение скоростного режима, </w:t>
      </w:r>
      <w:r>
        <w:rPr>
          <w:color w:val="auto"/>
        </w:rPr>
        <w:t xml:space="preserve">нарушение правил проезда перекре</w:t>
      </w:r>
      <w:r>
        <w:rPr>
          <w:color w:val="auto"/>
        </w:rPr>
        <w:t xml:space="preserve">стков, проезда пешеходных переходов, выезд на полосу встречного движения. </w:t>
      </w:r>
      <w:r>
        <w:rPr>
          <w:color w:val="auto"/>
        </w:rPr>
      </w:r>
      <w:r>
        <w:rPr>
          <w:color w:val="auto"/>
        </w:rPr>
      </w:r>
    </w:p>
    <w:p>
      <w:pPr>
        <w:pStyle w:val="1165"/>
        <w:ind w:firstLine="709"/>
        <w:jc w:val="both"/>
        <w:rPr>
          <w:color w:val="auto"/>
        </w:rPr>
      </w:pPr>
      <w:r>
        <w:rPr>
          <w:color w:val="auto"/>
        </w:rPr>
        <w:t xml:space="preserve">В целях профилактики правонарушений и наркомании: </w:t>
      </w:r>
      <w:r>
        <w:rPr>
          <w:color w:val="auto"/>
        </w:rPr>
      </w:r>
      <w:r>
        <w:rPr>
          <w:color w:val="auto"/>
        </w:rPr>
      </w:r>
    </w:p>
    <w:p>
      <w:pPr>
        <w:pStyle w:val="1165"/>
        <w:ind w:firstLine="709"/>
        <w:jc w:val="both"/>
        <w:rPr>
          <w:color w:val="auto"/>
        </w:rPr>
      </w:pPr>
      <w:r>
        <w:rPr>
          <w:rFonts w:eastAsia="Calibri"/>
        </w:rPr>
        <w:t xml:space="preserve">–</w:t>
      </w:r>
      <w:r>
        <w:rPr>
          <w:color w:val="auto"/>
        </w:rPr>
        <w:t xml:space="preserve"> проведен областной ежегодный конкурс на лучшее муниципальное образование Томской области по профилактике правонарушений; </w:t>
      </w:r>
      <w:r>
        <w:rPr>
          <w:color w:val="auto"/>
        </w:rPr>
      </w:r>
      <w:r>
        <w:rPr>
          <w:color w:val="auto"/>
        </w:rPr>
      </w:r>
    </w:p>
    <w:p>
      <w:pPr>
        <w:pStyle w:val="1165"/>
        <w:ind w:firstLine="709"/>
        <w:jc w:val="both"/>
        <w:rPr>
          <w:color w:val="auto"/>
        </w:rPr>
      </w:pPr>
      <w:r>
        <w:rPr>
          <w:rFonts w:eastAsia="Calibri"/>
        </w:rPr>
        <w:t xml:space="preserve">–</w:t>
      </w:r>
      <w:r>
        <w:rPr>
          <w:color w:val="auto"/>
        </w:rPr>
        <w:t xml:space="preserve"> поощрения получили 211 народных дружинников, в том числе 5 победителей конкурса «Лучший народный дружинник Томской области 2023»; </w:t>
      </w:r>
      <w:r>
        <w:rPr>
          <w:color w:val="auto"/>
        </w:rPr>
      </w:r>
      <w:r>
        <w:rPr>
          <w:color w:val="auto"/>
        </w:rPr>
      </w:r>
    </w:p>
    <w:p>
      <w:pPr>
        <w:pStyle w:val="1165"/>
        <w:ind w:firstLine="709"/>
        <w:jc w:val="both"/>
        <w:rPr>
          <w:color w:val="auto"/>
        </w:rPr>
      </w:pPr>
      <w:r>
        <w:rPr>
          <w:rFonts w:eastAsia="Calibri"/>
        </w:rPr>
        <w:t xml:space="preserve">–</w:t>
      </w:r>
      <w:r>
        <w:rPr>
          <w:color w:val="auto"/>
        </w:rPr>
        <w:t xml:space="preserve"> организовано временное трудоустройство 539 несовершеннолетних </w:t>
      </w:r>
      <w:r>
        <w:rPr>
          <w:color w:val="auto"/>
        </w:rPr>
        <w:t xml:space="preserve">граждан, состоящих на уче</w:t>
      </w:r>
      <w:r>
        <w:rPr>
          <w:color w:val="auto"/>
        </w:rPr>
        <w:t xml:space="preserve">те в органах внутренних дел, комиссиях по делам несовершеннолетних, внутришкольном уч</w:t>
      </w:r>
      <w:r>
        <w:rPr>
          <w:color w:val="auto"/>
        </w:rPr>
        <w:t xml:space="preserve">е</w:t>
      </w:r>
      <w:r>
        <w:rPr>
          <w:color w:val="auto"/>
        </w:rPr>
        <w:t xml:space="preserve">те; </w:t>
      </w:r>
      <w:r>
        <w:rPr>
          <w:color w:val="auto"/>
        </w:rPr>
      </w:r>
      <w:r>
        <w:rPr>
          <w:color w:val="auto"/>
        </w:rPr>
      </w:r>
    </w:p>
    <w:p>
      <w:pPr>
        <w:pStyle w:val="1165"/>
        <w:ind w:firstLine="709"/>
        <w:jc w:val="both"/>
        <w:rPr>
          <w:color w:val="auto"/>
        </w:rPr>
      </w:pPr>
      <w:r>
        <w:rPr>
          <w:rFonts w:eastAsia="Calibri"/>
        </w:rPr>
        <w:t xml:space="preserve">–</w:t>
      </w:r>
      <w:r>
        <w:rPr>
          <w:color w:val="auto"/>
        </w:rPr>
        <w:t xml:space="preserve"> пресечено 1857 административных правонарушений, посягающих на общественный порядок и общественную безопасность; </w:t>
      </w:r>
      <w:r>
        <w:rPr>
          <w:color w:val="auto"/>
        </w:rPr>
      </w:r>
      <w:r>
        <w:rPr>
          <w:color w:val="auto"/>
        </w:rPr>
      </w:r>
    </w:p>
    <w:p>
      <w:pPr>
        <w:pStyle w:val="1165"/>
        <w:ind w:firstLine="709"/>
        <w:jc w:val="both"/>
        <w:rPr>
          <w:color w:val="auto"/>
        </w:rPr>
      </w:pPr>
      <w:r>
        <w:rPr>
          <w:rFonts w:eastAsia="Calibri"/>
        </w:rPr>
        <w:t xml:space="preserve">–</w:t>
      </w:r>
      <w:r>
        <w:rPr>
          <w:color w:val="auto"/>
        </w:rPr>
        <w:t xml:space="preserve"> произведены выплаты гражданам за добровольную сдачу незаконно хранившихся оружия, боеприпасов, взрывчатых веществ и взрывных устройств; </w:t>
      </w:r>
      <w:r>
        <w:rPr>
          <w:color w:val="auto"/>
        </w:rPr>
      </w:r>
      <w:r>
        <w:rPr>
          <w:color w:val="auto"/>
        </w:rPr>
      </w:r>
    </w:p>
    <w:p>
      <w:pPr>
        <w:pStyle w:val="1165"/>
        <w:ind w:firstLine="709"/>
        <w:jc w:val="both"/>
        <w:rPr>
          <w:color w:val="auto"/>
        </w:rPr>
      </w:pPr>
      <w:r>
        <w:rPr>
          <w:rFonts w:eastAsia="Calibri"/>
        </w:rPr>
        <w:t xml:space="preserve">–</w:t>
      </w:r>
      <w:r>
        <w:rPr>
          <w:color w:val="auto"/>
        </w:rPr>
        <w:t xml:space="preserve"> проведено социологическое исследование с участием 800 граждан в возрасте от 16 до 60 лет и 6 836 студентов профессиональных образовательных организаций Томской области; </w:t>
      </w:r>
      <w:r>
        <w:rPr>
          <w:color w:val="auto"/>
        </w:rPr>
      </w:r>
      <w:r>
        <w:rPr>
          <w:color w:val="auto"/>
        </w:rPr>
      </w:r>
    </w:p>
    <w:p>
      <w:pPr>
        <w:pStyle w:val="1165"/>
        <w:ind w:firstLine="709"/>
        <w:jc w:val="both"/>
        <w:rPr>
          <w:color w:val="auto"/>
        </w:rPr>
      </w:pPr>
      <w:r>
        <w:rPr>
          <w:rFonts w:eastAsia="Calibri"/>
        </w:rPr>
        <w:t xml:space="preserve">–</w:t>
      </w:r>
      <w:r>
        <w:rPr>
          <w:color w:val="auto"/>
        </w:rPr>
        <w:t xml:space="preserve"> проведено социально-психологическое тестирование обучающихся 7</w:t>
      </w:r>
      <w:r>
        <w:rPr>
          <w:rFonts w:eastAsia="Calibri"/>
        </w:rPr>
        <w:t xml:space="preserve">–</w:t>
      </w:r>
      <w:r>
        <w:rPr>
          <w:color w:val="auto"/>
        </w:rPr>
        <w:t xml:space="preserve">11 классов общеобразовательных организаций с участием 39,6 тыс. человек в целях раннего выявления незаконного потребления наркотических средств и психотропных веществ; </w:t>
      </w:r>
      <w:r>
        <w:rPr>
          <w:color w:val="auto"/>
        </w:rPr>
      </w:r>
      <w:r>
        <w:rPr>
          <w:color w:val="auto"/>
        </w:rPr>
      </w:r>
    </w:p>
    <w:p>
      <w:pPr>
        <w:pStyle w:val="1165"/>
        <w:ind w:firstLine="709"/>
        <w:jc w:val="both"/>
        <w:rPr>
          <w:color w:val="auto"/>
        </w:rPr>
      </w:pPr>
      <w:r>
        <w:rPr>
          <w:rFonts w:eastAsia="Calibri"/>
        </w:rPr>
        <w:t xml:space="preserve">–</w:t>
      </w:r>
      <w:r>
        <w:rPr>
          <w:color w:val="auto"/>
        </w:rPr>
        <w:t xml:space="preserve"> проведены ежегодные антинаркотические акци</w:t>
      </w:r>
      <w:r>
        <w:rPr>
          <w:color w:val="auto"/>
        </w:rPr>
        <w:t xml:space="preserve">и</w:t>
      </w:r>
      <w:r>
        <w:rPr>
          <w:color w:val="auto"/>
        </w:rPr>
        <w:t xml:space="preserve"> «Родительский урок», «Школа правовых знаний», «Думай до, а не после» и мероприятия, приуроченные к Международному дню борьбы с наркоманией с участием 52,4 тыс. человек: учащихся школ, их родителей, педагогических работников; </w:t>
      </w:r>
      <w:r>
        <w:rPr>
          <w:color w:val="auto"/>
        </w:rPr>
      </w:r>
      <w:r>
        <w:rPr>
          <w:color w:val="auto"/>
        </w:rPr>
      </w:r>
    </w:p>
    <w:p>
      <w:pPr>
        <w:pStyle w:val="1165"/>
        <w:ind w:firstLine="709"/>
        <w:jc w:val="both"/>
        <w:rPr>
          <w:color w:val="auto"/>
        </w:rPr>
      </w:pPr>
      <w:r>
        <w:rPr>
          <w:rFonts w:eastAsia="Calibri"/>
        </w:rPr>
        <w:t xml:space="preserve">–</w:t>
      </w:r>
      <w:r>
        <w:rPr>
          <w:color w:val="auto"/>
        </w:rPr>
        <w:t xml:space="preserve"> в рамках поддержки волонтерского движения</w:t>
      </w:r>
      <w:r>
        <w:rPr>
          <w:color w:val="auto"/>
        </w:rPr>
        <w:t xml:space="preserve"> в Томской области проведен XII </w:t>
      </w:r>
      <w:r>
        <w:rPr>
          <w:color w:val="auto"/>
        </w:rPr>
        <w:t xml:space="preserve">ежегодный областной Слет волонтеров с участием 153 человек. Прошло обучение волонтеров в более чем 10 школах города;</w:t>
      </w:r>
      <w:r>
        <w:rPr>
          <w:color w:val="auto"/>
        </w:rPr>
      </w:r>
      <w:r>
        <w:rPr>
          <w:color w:val="auto"/>
        </w:rPr>
      </w:r>
    </w:p>
    <w:p>
      <w:pPr>
        <w:pStyle w:val="1165"/>
        <w:ind w:firstLine="709"/>
        <w:jc w:val="both"/>
        <w:rPr>
          <w:color w:val="auto"/>
        </w:rPr>
      </w:pPr>
      <w:r>
        <w:rPr>
          <w:rFonts w:eastAsia="Calibri"/>
        </w:rPr>
        <w:t xml:space="preserve">–</w:t>
      </w:r>
      <w:r>
        <w:rPr>
          <w:color w:val="auto"/>
        </w:rPr>
        <w:t xml:space="preserve"> издано 80 тыс. экземпляров печатной продукции по профилактике наркомании, алкоголизма и табакокурения; </w:t>
      </w:r>
      <w:r>
        <w:rPr>
          <w:color w:val="auto"/>
        </w:rPr>
      </w:r>
      <w:r>
        <w:rPr>
          <w:color w:val="auto"/>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проведены выездные профилактические мероприятия в Асиновском, Каргасокском, Колпашевском районах, г. Стрежевом в рамках проекта «Автобус профилактики»;</w:t>
      </w:r>
      <w:r>
        <w:rPr>
          <w:rFonts w:ascii="PT Astra Serif" w:hAnsi="PT Astra Serif"/>
          <w:sz w:val="24"/>
          <w:szCs w:val="24"/>
        </w:rPr>
      </w:r>
      <w:r>
        <w:rPr>
          <w:rFonts w:ascii="PT Astra Serif" w:hAnsi="PT Astra Serif"/>
          <w:sz w:val="24"/>
          <w:szCs w:val="24"/>
        </w:rPr>
      </w:r>
    </w:p>
    <w:p>
      <w:pPr>
        <w:pStyle w:val="1165"/>
        <w:ind w:firstLine="709"/>
        <w:jc w:val="both"/>
        <w:rPr>
          <w:color w:val="auto"/>
        </w:rPr>
      </w:pPr>
      <w:r>
        <w:rPr>
          <w:rFonts w:eastAsia="Calibri"/>
        </w:rPr>
        <w:t xml:space="preserve">–</w:t>
      </w:r>
      <w:r>
        <w:rPr>
          <w:color w:val="auto"/>
        </w:rPr>
        <w:t xml:space="preserve"> проведены химико-токсикологические исследования по определению употребления наркотических и психоактивных веществ 24 жителям г. Стрежевого; </w:t>
      </w:r>
      <w:r>
        <w:rPr>
          <w:color w:val="auto"/>
        </w:rPr>
      </w:r>
      <w:r>
        <w:rPr>
          <w:color w:val="auto"/>
        </w:rPr>
      </w:r>
    </w:p>
    <w:p>
      <w:pPr>
        <w:pStyle w:val="1165"/>
        <w:ind w:firstLine="709"/>
        <w:jc w:val="both"/>
        <w:rPr>
          <w:color w:val="auto"/>
        </w:rPr>
      </w:pPr>
      <w:r>
        <w:rPr>
          <w:rFonts w:eastAsia="Calibri"/>
        </w:rPr>
        <w:t xml:space="preserve">–</w:t>
      </w:r>
      <w:r>
        <w:rPr>
          <w:color w:val="auto"/>
        </w:rPr>
        <w:t xml:space="preserve"> оказана материальная помощь 207 лицам, находящимся в трудной жизненной ситуации, из числа лиц, освободившихся из мест лишения свободы и семей, имеющих в своем составе лиц, освободившихся из мест лишения свободы; </w:t>
      </w:r>
      <w:r>
        <w:rPr>
          <w:color w:val="auto"/>
        </w:rPr>
      </w:r>
      <w:r>
        <w:rPr>
          <w:color w:val="auto"/>
        </w:rPr>
      </w:r>
    </w:p>
    <w:p>
      <w:pPr>
        <w:pStyle w:val="1165"/>
        <w:ind w:firstLine="709"/>
        <w:jc w:val="both"/>
        <w:rPr>
          <w:color w:val="auto"/>
        </w:rPr>
      </w:pPr>
      <w:r>
        <w:rPr>
          <w:rFonts w:eastAsia="Calibri"/>
        </w:rPr>
        <w:t xml:space="preserve">–</w:t>
      </w:r>
      <w:r>
        <w:rPr>
          <w:color w:val="auto"/>
        </w:rPr>
        <w:t xml:space="preserve"> проведена социальная реабилитация и ресоциализация 10 больных наркоманией; </w:t>
      </w:r>
      <w:r>
        <w:rPr>
          <w:color w:val="auto"/>
        </w:rPr>
      </w:r>
      <w:r>
        <w:rPr>
          <w:color w:val="auto"/>
        </w:rPr>
      </w:r>
    </w:p>
    <w:p>
      <w:pPr>
        <w:pStyle w:val="1165"/>
        <w:ind w:firstLine="709"/>
        <w:jc w:val="both"/>
        <w:rPr>
          <w:color w:val="auto"/>
        </w:rPr>
      </w:pPr>
      <w:r>
        <w:rPr>
          <w:rFonts w:eastAsia="Calibri"/>
        </w:rPr>
        <w:t xml:space="preserve">–</w:t>
      </w:r>
      <w:r>
        <w:rPr>
          <w:color w:val="auto"/>
        </w:rPr>
        <w:t xml:space="preserve"> 123 гражданина с алкогольной зависимостью, воспитывающих несовершеннолетних детей, прошли социально-медицинскую реабилитацию. </w:t>
      </w:r>
      <w:r>
        <w:rPr>
          <w:color w:val="auto"/>
        </w:rPr>
      </w:r>
      <w:r>
        <w:rPr>
          <w:color w:val="auto"/>
        </w:rPr>
      </w:r>
    </w:p>
    <w:p>
      <w:pPr>
        <w:pStyle w:val="1165"/>
        <w:ind w:firstLine="709"/>
        <w:jc w:val="both"/>
        <w:rPr>
          <w:color w:val="auto"/>
        </w:rPr>
      </w:pPr>
      <w:r>
        <w:rPr>
          <w:color w:val="auto"/>
        </w:rPr>
        <w:t xml:space="preserve">Реализация профилактических мероприятий способствовала поддержанию правопорядка на территории региона и созданию комфортных условий для проживания граждан. Общественно-политическая ситуация в регионе в течение 2023 года оставалась стабильной. </w:t>
      </w:r>
      <w:r>
        <w:rPr>
          <w:color w:val="auto"/>
        </w:rPr>
      </w:r>
      <w:r>
        <w:rPr>
          <w:color w:val="auto"/>
        </w:rPr>
      </w:r>
    </w:p>
    <w:p>
      <w:pPr>
        <w:ind w:firstLine="709"/>
        <w:jc w:val="both"/>
        <w:spacing w:after="0" w:line="240" w:lineRule="auto"/>
        <w:tabs>
          <w:tab w:val="left" w:pos="4962" w:leader="none"/>
        </w:tabs>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целях снижения показателей преступности в общественных местах и нарушений правил дорожного движения осуществляется развитие функциональных и техническ</w:t>
      </w:r>
      <w:r>
        <w:rPr>
          <w:rFonts w:ascii="PT Astra Serif" w:hAnsi="PT Astra Serif" w:eastAsiaTheme="minorEastAsia"/>
          <w:sz w:val="24"/>
          <w:szCs w:val="24"/>
          <w:lang w:eastAsia="ru-RU"/>
        </w:rPr>
        <w:t xml:space="preserve">их возможностей аппаратно-программного комплекса «Безопасный город» (далее – АПК «Безопасный город»), в состав которого на конец 2023 года входило 103 камеры видеонаблюдения в общественных местах г. Томска и 110 комплексов фотовидеофиксации нарушений ПДД. </w:t>
      </w:r>
      <w:r>
        <w:rPr>
          <w:rFonts w:ascii="PT Astra Serif" w:hAnsi="PT Astra Serif" w:eastAsiaTheme="minorEastAsia"/>
          <w:sz w:val="24"/>
          <w:szCs w:val="24"/>
          <w:lang w:eastAsia="ru-RU"/>
        </w:rPr>
      </w:r>
      <w:r>
        <w:rPr>
          <w:rFonts w:ascii="PT Astra Serif" w:hAnsi="PT Astra Serif" w:eastAsiaTheme="minorEastAsia"/>
          <w:sz w:val="24"/>
          <w:szCs w:val="24"/>
          <w:lang w:eastAsia="ru-RU"/>
        </w:rPr>
      </w:r>
    </w:p>
    <w:p>
      <w:pPr>
        <w:pStyle w:val="1165"/>
        <w:ind w:firstLine="709"/>
        <w:jc w:val="both"/>
        <w:rPr>
          <w:color w:val="auto"/>
        </w:rPr>
      </w:pPr>
      <w:r>
        <w:rPr>
          <w:color w:val="auto"/>
        </w:rPr>
        <w:t xml:space="preserve">В 20</w:t>
      </w:r>
      <w:r>
        <w:rPr>
          <w:color w:val="auto"/>
        </w:rPr>
        <w:t xml:space="preserve">23 году отмечается рост на 52,2</w:t>
      </w:r>
      <w:r>
        <w:rPr>
          <w:color w:val="auto"/>
        </w:rPr>
        <w:t xml:space="preserve">% по сравнению с 2022 годом вынесенных постановлений по делам об административных правонарушениях.</w:t>
      </w:r>
      <w:r>
        <w:rPr>
          <w:color w:val="auto"/>
        </w:rPr>
      </w:r>
      <w:r>
        <w:rPr>
          <w:color w:val="auto"/>
        </w:rPr>
      </w:r>
    </w:p>
    <w:p>
      <w:pPr>
        <w:ind w:firstLine="709"/>
        <w:jc w:val="both"/>
        <w:spacing w:after="0" w:line="240" w:lineRule="auto"/>
        <w:tabs>
          <w:tab w:val="left" w:pos="4962" w:leader="none"/>
        </w:tabs>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2023 году началась реализация второго этапа построения АПК «</w:t>
      </w:r>
      <w:r>
        <w:rPr>
          <w:rFonts w:ascii="PT Astra Serif" w:hAnsi="PT Astra Serif" w:eastAsiaTheme="minorEastAsia"/>
          <w:sz w:val="24"/>
          <w:szCs w:val="24"/>
          <w:lang w:eastAsia="ru-RU"/>
        </w:rPr>
        <w:t xml:space="preserve">Безопасный город», приобретено программное обеспечение, что позволит улучшить функциональные возможности действующей системы и приведет к улучшению на территории г. Томска контроля за соблюдением нарушений правоохранительной направленности и нарушений ПДД.</w:t>
      </w:r>
      <w:r>
        <w:rPr>
          <w:rFonts w:ascii="PT Astra Serif" w:hAnsi="PT Astra Serif" w:eastAsiaTheme="minorEastAsia"/>
          <w:sz w:val="24"/>
          <w:szCs w:val="24"/>
          <w:lang w:eastAsia="ru-RU"/>
        </w:rPr>
      </w:r>
      <w:r>
        <w:rPr>
          <w:rFonts w:ascii="PT Astra Serif" w:hAnsi="PT Astra Serif" w:eastAsiaTheme="minorEastAsia"/>
          <w:sz w:val="24"/>
          <w:szCs w:val="24"/>
          <w:lang w:eastAsia="ru-RU"/>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shd w:val="clear" w:color="auto" w:fill="eaf1dd" w:themeFill="accent3" w:themeFillTint="33"/>
        <w:tabs>
          <w:tab w:val="left" w:pos="4962" w:leader="none"/>
        </w:tabs>
        <w:rPr>
          <w:rFonts w:ascii="PT Astra Serif" w:hAnsi="PT Astra Serif" w:eastAsia="Times New Roman"/>
          <w:b/>
          <w:sz w:val="24"/>
          <w:szCs w:val="24"/>
        </w:rPr>
      </w:pPr>
      <w:r>
        <w:rPr>
          <w:rFonts w:ascii="PT Astra Serif" w:hAnsi="PT Astra Serif" w:eastAsia="Times New Roman"/>
          <w:b/>
          <w:sz w:val="24"/>
          <w:szCs w:val="24"/>
        </w:rPr>
        <w:t xml:space="preserve">Защита от чрезвычайных ситуаций</w:t>
      </w:r>
      <w:r>
        <w:rPr>
          <w:rFonts w:ascii="PT Astra Serif" w:hAnsi="PT Astra Serif" w:eastAsia="Times New Roman"/>
          <w:b/>
          <w:sz w:val="24"/>
          <w:szCs w:val="24"/>
        </w:rPr>
      </w:r>
      <w:r>
        <w:rPr>
          <w:rFonts w:ascii="PT Astra Serif" w:hAnsi="PT Astra Serif" w:eastAsia="Times New Roman"/>
          <w:b/>
          <w:sz w:val="24"/>
          <w:szCs w:val="24"/>
        </w:rPr>
      </w:r>
    </w:p>
    <w:p>
      <w:pPr>
        <w:pStyle w:val="1165"/>
        <w:ind w:firstLine="708"/>
        <w:jc w:val="both"/>
        <w:rPr>
          <w:color w:val="auto"/>
        </w:rPr>
      </w:pPr>
      <w:r>
        <w:rPr>
          <w:color w:val="auto"/>
        </w:rPr>
        <w:t xml:space="preserve">Приоритетными задачами по защите населения и территории от </w:t>
      </w:r>
      <w:r>
        <w:rPr>
          <w:color w:val="auto"/>
        </w:rPr>
        <w:t xml:space="preserve">чрезвычайных ситуаций природного и техногенного характера являются снижение степени риска чрезвычайных ситуаций, повышение готовности к ликвидации их последствий, создание эффективной системы безопасности на водных объектах и системы пожарной безопасности.</w:t>
      </w:r>
      <w:r>
        <w:rPr>
          <w:color w:val="auto"/>
        </w:rPr>
      </w:r>
      <w:r>
        <w:rPr>
          <w:color w:val="auto"/>
        </w:rPr>
      </w:r>
    </w:p>
    <w:p>
      <w:pPr>
        <w:pStyle w:val="1165"/>
        <w:ind w:firstLine="708"/>
        <w:jc w:val="both"/>
        <w:rPr>
          <w:color w:val="auto"/>
        </w:rPr>
      </w:pPr>
      <w:r>
        <w:rPr>
          <w:color w:val="auto"/>
        </w:rPr>
      </w:r>
      <w:r>
        <w:rPr>
          <w:color w:val="auto"/>
        </w:rPr>
      </w:r>
      <w:r>
        <w:rPr>
          <w:color w:val="auto"/>
        </w:rPr>
      </w:r>
    </w:p>
    <w:p>
      <w:pPr>
        <w:jc w:val="center"/>
        <w:spacing w:after="0" w:line="240" w:lineRule="auto"/>
        <w:rPr>
          <w:rFonts w:ascii="PT Astra Serif" w:hAnsi="PT Astra Serif" w:eastAsia="Calibri"/>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Calibri"/>
          <w:b/>
          <w:sz w:val="24"/>
          <w:szCs w:val="24"/>
        </w:rPr>
        <w:t xml:space="preserve">На территории региона охват населения системой обеспечения вызова экстренных оперативных служб по единому номеру «112» («Система-112») составляет 100%</w:t>
      </w:r>
      <w:r>
        <w:rPr>
          <w:rFonts w:ascii="PT Astra Serif" w:hAnsi="PT Astra Serif" w:eastAsia="Calibri"/>
          <w:b/>
          <w:sz w:val="24"/>
          <w:szCs w:val="24"/>
        </w:rPr>
      </w:r>
      <w:r>
        <w:rPr>
          <w:rFonts w:ascii="PT Astra Serif" w:hAnsi="PT Astra Serif" w:eastAsia="Calibri"/>
          <w:b/>
          <w:sz w:val="24"/>
          <w:szCs w:val="24"/>
        </w:rPr>
      </w:r>
    </w:p>
    <w:p>
      <w:pPr>
        <w:pStyle w:val="1165"/>
        <w:ind w:firstLine="708"/>
        <w:jc w:val="both"/>
        <w:rPr>
          <w:color w:val="auto"/>
        </w:rPr>
      </w:pPr>
      <w:r>
        <w:rPr>
          <w:color w:val="auto"/>
        </w:rPr>
      </w:r>
      <w:r>
        <w:rPr>
          <w:color w:val="auto"/>
        </w:rPr>
      </w:r>
      <w:r>
        <w:rPr>
          <w:color w:val="auto"/>
        </w:rPr>
      </w:r>
    </w:p>
    <w:p>
      <w:pPr>
        <w:pStyle w:val="1165"/>
        <w:ind w:firstLine="708"/>
        <w:jc w:val="both"/>
        <w:rPr>
          <w:color w:val="auto"/>
        </w:rPr>
      </w:pPr>
      <w:r>
        <w:rPr>
          <w:color w:val="auto"/>
        </w:rPr>
        <w:t xml:space="preserve">В рамках </w:t>
      </w:r>
      <w:r>
        <w:rPr>
          <w:color w:val="auto"/>
          <w:lang w:eastAsia="ru-RU"/>
        </w:rPr>
        <w:t xml:space="preserve">модернизации региональной автоматизированной системы оповещения населения Томской области (РАСЦО):</w:t>
      </w:r>
      <w:r>
        <w:rPr>
          <w:color w:val="auto"/>
        </w:rPr>
      </w:r>
      <w:r>
        <w:rPr>
          <w:color w:val="auto"/>
        </w:rPr>
      </w:r>
    </w:p>
    <w:p>
      <w:pPr>
        <w:ind w:firstLine="708"/>
        <w:jc w:val="both"/>
        <w:spacing w:after="0" w:line="240" w:lineRule="auto"/>
        <w:rPr>
          <w:rFonts w:ascii="PT Astra Serif" w:hAnsi="PT Astra Serif"/>
          <w:sz w:val="24"/>
          <w:szCs w:val="24"/>
        </w:rPr>
      </w:pPr>
      <w:r>
        <w:rPr>
          <w:rFonts w:ascii="PT Astra Serif" w:hAnsi="PT Astra Serif"/>
          <w:sz w:val="24"/>
          <w:szCs w:val="24"/>
        </w:rPr>
        <w:t xml:space="preserve">- проведена корректировка </w:t>
      </w:r>
      <w:r>
        <w:rPr>
          <w:rFonts w:ascii="PT Astra Serif" w:hAnsi="PT Astra Serif"/>
          <w:sz w:val="24"/>
          <w:szCs w:val="24"/>
        </w:rPr>
        <w:t xml:space="preserve">ПСД</w:t>
      </w:r>
      <w:r>
        <w:rPr>
          <w:rFonts w:ascii="PT Astra Serif" w:hAnsi="PT Astra Serif"/>
          <w:sz w:val="24"/>
          <w:szCs w:val="24"/>
        </w:rPr>
        <w:t xml:space="preserve"> с учетом изменившихся требований к созданию систем оповещения населения;</w:t>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sz w:val="24"/>
          <w:szCs w:val="24"/>
        </w:rPr>
      </w:pPr>
      <w:r>
        <w:rPr>
          <w:rFonts w:ascii="PT Astra Serif" w:hAnsi="PT Astra Serif"/>
          <w:sz w:val="24"/>
          <w:szCs w:val="24"/>
        </w:rPr>
        <w:t xml:space="preserve">- совместно с муниципальными образованиями прорабатывался механизм финансирования реконструкции муниципальных систем оповещения, что позволило бы обеспечить охват населения порядка 75%.</w:t>
      </w:r>
      <w:r>
        <w:rPr>
          <w:rFonts w:ascii="PT Astra Serif" w:hAnsi="PT Astra Serif"/>
          <w:sz w:val="24"/>
          <w:szCs w:val="24"/>
        </w:rPr>
      </w:r>
      <w:r>
        <w:rPr>
          <w:rFonts w:ascii="PT Astra Serif" w:hAnsi="PT Astra Serif"/>
          <w:sz w:val="24"/>
          <w:szCs w:val="24"/>
        </w:rPr>
      </w:r>
    </w:p>
    <w:p>
      <w:pPr>
        <w:pStyle w:val="1165"/>
        <w:ind w:firstLine="708"/>
        <w:jc w:val="both"/>
        <w:rPr>
          <w:rFonts w:cs="Times New Roman"/>
          <w:color w:val="auto"/>
        </w:rPr>
      </w:pPr>
      <w:r>
        <w:rPr>
          <w:rFonts w:cs="Times New Roman"/>
          <w:color w:val="auto"/>
        </w:rPr>
        <w:t xml:space="preserve">На конец 2023 охват населения в границах зоны действия технических средств оповещения составляет 64,7% (из них 38% </w:t>
      </w:r>
      <w:r>
        <w:rPr>
          <w:rFonts w:eastAsia="Calibri"/>
        </w:rPr>
        <w:t xml:space="preserve">–</w:t>
      </w:r>
      <w:r>
        <w:rPr>
          <w:rFonts w:cs="Times New Roman"/>
          <w:color w:val="auto"/>
        </w:rPr>
        <w:t xml:space="preserve"> в автоматизированном режиме, 26,7% – ручном режиме оповещения), с учетом SMS информирования и перехвата каналов теле- и радиовещания охват - порядка 90%. </w:t>
      </w:r>
      <w:r>
        <w:rPr>
          <w:rFonts w:cs="Times New Roman"/>
          <w:color w:val="auto"/>
        </w:rPr>
      </w:r>
      <w:r>
        <w:rPr>
          <w:rFonts w:cs="Times New Roman"/>
          <w:color w:val="auto"/>
        </w:rPr>
      </w:r>
    </w:p>
    <w:p>
      <w:pPr>
        <w:pStyle w:val="1165"/>
        <w:ind w:firstLine="708"/>
        <w:jc w:val="both"/>
        <w:rPr>
          <w:color w:val="auto"/>
        </w:rPr>
      </w:pPr>
      <w:r>
        <w:rPr>
          <w:color w:val="auto"/>
        </w:rPr>
        <w:t xml:space="preserve">В 2023 году на территории Томской области: </w:t>
      </w:r>
      <w:r>
        <w:rPr>
          <w:color w:val="auto"/>
        </w:rPr>
      </w:r>
      <w:r>
        <w:rPr>
          <w:color w:val="auto"/>
        </w:rPr>
      </w:r>
    </w:p>
    <w:p>
      <w:pPr>
        <w:pStyle w:val="1165"/>
        <w:ind w:firstLine="708"/>
        <w:jc w:val="both"/>
        <w:rPr>
          <w:color w:val="auto"/>
        </w:rPr>
      </w:pPr>
      <w:r>
        <w:rPr>
          <w:rFonts w:eastAsia="Calibri"/>
        </w:rPr>
        <w:t xml:space="preserve">–</w:t>
      </w:r>
      <w:r>
        <w:rPr>
          <w:color w:val="auto"/>
        </w:rPr>
        <w:t xml:space="preserve"> не зарегистрировано чрезвычайных ситуаций техногенного характера;</w:t>
      </w:r>
      <w:r>
        <w:rPr>
          <w:color w:val="auto"/>
        </w:rPr>
      </w:r>
      <w:r>
        <w:rPr>
          <w:color w:val="auto"/>
        </w:rPr>
      </w:r>
    </w:p>
    <w:p>
      <w:pPr>
        <w:pStyle w:val="1165"/>
        <w:ind w:firstLine="708"/>
        <w:jc w:val="both"/>
        <w:rPr>
          <w:color w:val="auto"/>
        </w:rPr>
      </w:pPr>
      <w:r>
        <w:rPr>
          <w:rFonts w:eastAsia="Calibri"/>
        </w:rPr>
        <w:t xml:space="preserve">–</w:t>
      </w:r>
      <w:r>
        <w:rPr>
          <w:color w:val="auto"/>
        </w:rPr>
        <w:t xml:space="preserve"> был введен режим «чрезвычайной ситуации в лесах» в связи с ухудшением лесопожарной обстановки и возникновением крупных очагов лесных пожаров на территории Томской области, пострадавших нет;</w:t>
      </w:r>
      <w:r>
        <w:rPr>
          <w:color w:val="auto"/>
        </w:rPr>
      </w:r>
      <w:r>
        <w:rPr>
          <w:color w:val="auto"/>
        </w:rPr>
      </w:r>
    </w:p>
    <w:p>
      <w:pPr>
        <w:pStyle w:val="1165"/>
        <w:ind w:firstLine="708"/>
        <w:jc w:val="both"/>
        <w:rPr>
          <w:color w:val="auto"/>
        </w:rPr>
      </w:pPr>
      <w:r>
        <w:rPr>
          <w:rFonts w:eastAsia="Calibri"/>
        </w:rPr>
        <w:t xml:space="preserve">–</w:t>
      </w:r>
      <w:r>
        <w:rPr>
          <w:color w:val="auto"/>
        </w:rPr>
        <w:t xml:space="preserve"> всего зарегистрировано 2 224 пожара, погибло 55 человек</w:t>
      </w:r>
      <w:r>
        <w:rPr>
          <w:color w:val="auto"/>
        </w:rPr>
        <w:t xml:space="preserve">,</w:t>
      </w:r>
      <w:r>
        <w:rPr>
          <w:color w:val="auto"/>
        </w:rPr>
        <w:t xml:space="preserve"> 221</w:t>
      </w:r>
      <w:r>
        <w:rPr>
          <w:color w:val="auto"/>
        </w:rPr>
        <w:t xml:space="preserve"> человек спасен</w:t>
      </w:r>
      <w:r>
        <w:rPr>
          <w:color w:val="auto"/>
        </w:rPr>
        <w:t xml:space="preserve">;</w:t>
      </w:r>
      <w:r>
        <w:rPr>
          <w:color w:val="auto"/>
        </w:rPr>
      </w:r>
      <w:r>
        <w:rPr>
          <w:color w:val="auto"/>
        </w:rPr>
      </w:r>
    </w:p>
    <w:p>
      <w:pPr>
        <w:ind w:firstLine="708"/>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произошло 41 происшествие на водных объектах, погибло 33 человека,</w:t>
      </w:r>
      <w:r>
        <w:rPr>
          <w:rFonts w:ascii="PT Astra Serif" w:hAnsi="PT Astra Serif"/>
          <w:sz w:val="24"/>
          <w:szCs w:val="24"/>
        </w:rPr>
        <w:t xml:space="preserve"> 11 человек</w:t>
      </w:r>
      <w:r>
        <w:rPr>
          <w:rFonts w:ascii="PT Astra Serif" w:hAnsi="PT Astra Serif"/>
          <w:sz w:val="24"/>
          <w:szCs w:val="24"/>
        </w:rPr>
        <w:t xml:space="preserve"> спасено. </w:t>
      </w:r>
      <w:r>
        <w:rPr>
          <w:rFonts w:ascii="PT Astra Serif" w:hAnsi="PT Astra Serif"/>
          <w:sz w:val="24"/>
          <w:szCs w:val="24"/>
        </w:rPr>
      </w:r>
      <w:r>
        <w:rPr>
          <w:rFonts w:ascii="PT Astra Serif" w:hAnsi="PT Astra Serif"/>
          <w:sz w:val="24"/>
          <w:szCs w:val="24"/>
        </w:rPr>
      </w:r>
    </w:p>
    <w:p>
      <w:pPr>
        <w:ind w:firstLine="708"/>
        <w:jc w:val="both"/>
        <w:spacing w:after="0" w:line="240" w:lineRule="auto"/>
        <w:rPr>
          <w:rFonts w:ascii="PT Astra Serif" w:hAnsi="PT Astra Serif" w:cs="PT Astra Serif"/>
          <w:sz w:val="24"/>
          <w:szCs w:val="24"/>
        </w:rPr>
      </w:pPr>
      <w:r>
        <w:rPr>
          <w:rFonts w:ascii="PT Astra Serif" w:hAnsi="PT Astra Serif" w:cs="PT Astra Serif"/>
          <w:sz w:val="24"/>
          <w:szCs w:val="24"/>
        </w:rPr>
        <w:t xml:space="preserve">На территории региона работает 9 отрядов противопожарной службы Томской области. Проведено 58 147 профилактических мероприятий с насе</w:t>
      </w:r>
      <w:r>
        <w:rPr>
          <w:rFonts w:ascii="PT Astra Serif" w:hAnsi="PT Astra Serif" w:cs="PT Astra Serif"/>
          <w:sz w:val="24"/>
          <w:szCs w:val="24"/>
        </w:rPr>
        <w:t xml:space="preserve">лением, 30 608 подворовых обходов</w:t>
      </w:r>
      <w:r>
        <w:rPr>
          <w:rFonts w:ascii="PT Astra Serif" w:hAnsi="PT Astra Serif" w:cs="PT Astra Serif"/>
          <w:sz w:val="24"/>
          <w:szCs w:val="24"/>
        </w:rPr>
        <w:t xml:space="preserve">, выдано более 33 тыс. памяток, 363 занятия проведено в школах и детских садах, 127 занятий </w:t>
      </w:r>
      <w:r>
        <w:rPr>
          <w:rFonts w:ascii="PT Astra Serif" w:hAnsi="PT Astra Serif" w:eastAsia="Calibri"/>
          <w:sz w:val="24"/>
          <w:szCs w:val="24"/>
        </w:rPr>
        <w:t xml:space="preserve">–</w:t>
      </w:r>
      <w:r>
        <w:rPr>
          <w:rFonts w:ascii="PT Astra Serif" w:hAnsi="PT Astra Serif" w:cs="PT Astra Serif"/>
          <w:sz w:val="24"/>
          <w:szCs w:val="24"/>
        </w:rPr>
        <w:t xml:space="preserve"> на объектах в массовым п</w:t>
      </w:r>
      <w:r>
        <w:rPr>
          <w:rFonts w:ascii="PT Astra Serif" w:hAnsi="PT Astra Serif" w:cs="PT Astra Serif"/>
          <w:sz w:val="24"/>
          <w:szCs w:val="24"/>
        </w:rPr>
        <w:t xml:space="preserve">ребыванием людей, 117 экскурсий </w:t>
      </w:r>
      <w:r>
        <w:rPr>
          <w:rFonts w:ascii="PT Astra Serif" w:hAnsi="PT Astra Serif" w:eastAsia="Calibri"/>
          <w:sz w:val="24"/>
          <w:szCs w:val="24"/>
        </w:rPr>
        <w:t xml:space="preserve">–</w:t>
      </w:r>
      <w:r>
        <w:rPr>
          <w:rFonts w:ascii="PT Astra Serif" w:hAnsi="PT Astra Serif" w:cs="PT Astra Serif"/>
          <w:sz w:val="24"/>
          <w:szCs w:val="24"/>
        </w:rPr>
        <w:t xml:space="preserve"> по пожар</w:t>
      </w:r>
      <w:r>
        <w:rPr>
          <w:rFonts w:ascii="PT Astra Serif" w:hAnsi="PT Astra Serif" w:cs="PT Astra Serif"/>
          <w:sz w:val="24"/>
          <w:szCs w:val="24"/>
        </w:rPr>
        <w:t xml:space="preserve">ным подразделениям, оформлен 201 уголок пожарной безопасности, 114 многодетных семей получили материальную помощь на приобретение, установку и обслуживание автономных дымовых пожарных извещателей в жилых помещениях. Потушено 602 пожара, спасено 28 человек.</w:t>
      </w:r>
      <w:r>
        <w:rPr>
          <w:rFonts w:ascii="PT Astra Serif" w:hAnsi="PT Astra Serif" w:cs="PT Astra Serif"/>
          <w:sz w:val="24"/>
          <w:szCs w:val="24"/>
        </w:rPr>
      </w:r>
      <w:r>
        <w:rPr>
          <w:rFonts w:ascii="PT Astra Serif" w:hAnsi="PT Astra Serif" w:cs="PT Astra Serif"/>
          <w:sz w:val="24"/>
          <w:szCs w:val="24"/>
        </w:rPr>
      </w:r>
    </w:p>
    <w:p>
      <w:pPr>
        <w:ind w:firstLine="708"/>
        <w:jc w:val="both"/>
        <w:spacing w:after="0" w:line="240" w:lineRule="auto"/>
        <w:rPr>
          <w:rFonts w:ascii="PT Astra Serif" w:hAnsi="PT Astra Serif" w:cs="PT Astra Serif"/>
          <w:sz w:val="24"/>
          <w:szCs w:val="24"/>
        </w:rPr>
      </w:pPr>
      <w:r>
        <w:rPr>
          <w:rFonts w:ascii="PT Astra Serif" w:hAnsi="PT Astra Serif" w:cs="PT Astra Serif"/>
          <w:sz w:val="24"/>
          <w:szCs w:val="24"/>
        </w:rPr>
        <w:t xml:space="preserve">В 2023 году отмечается снижение количества пожаров и погибших при пожарах (17,8% и 14,1% к предыдущему году соответственно).</w:t>
      </w:r>
      <w:r>
        <w:rPr>
          <w:rFonts w:ascii="PT Astra Serif" w:hAnsi="PT Astra Serif" w:cs="PT Astra Serif"/>
          <w:sz w:val="24"/>
          <w:szCs w:val="24"/>
        </w:rPr>
      </w:r>
      <w:r>
        <w:rPr>
          <w:rFonts w:ascii="PT Astra Serif" w:hAnsi="PT Astra Serif" w:cs="PT Astra Serif"/>
          <w:sz w:val="24"/>
          <w:szCs w:val="24"/>
        </w:rPr>
      </w:r>
    </w:p>
    <w:p>
      <w:pPr>
        <w:ind w:firstLine="708"/>
        <w:jc w:val="both"/>
        <w:spacing w:after="0" w:line="240" w:lineRule="auto"/>
        <w:rPr>
          <w:rFonts w:ascii="PT Astra Serif" w:hAnsi="PT Astra Serif" w:cs="PT Astra Serif"/>
          <w:strike/>
          <w:sz w:val="24"/>
          <w:szCs w:val="24"/>
        </w:rPr>
      </w:pPr>
      <w:r>
        <w:rPr>
          <w:rFonts w:ascii="PT Astra Serif" w:hAnsi="PT Astra Serif" w:cs="PT Astra Serif"/>
          <w:sz w:val="24"/>
          <w:szCs w:val="24"/>
        </w:rPr>
        <w:t xml:space="preserve">Противопаводковые мепроприятия: ледовзрывные и ледорезные работы на реках Томь и Обь в 2023 году проведены в полном объеме, обеспечен безаварийный пропуск паводковых вод.</w:t>
      </w:r>
      <w:r>
        <w:rPr>
          <w:rFonts w:ascii="PT Astra Serif" w:hAnsi="PT Astra Serif" w:cs="PT Astra Serif"/>
          <w:strike/>
          <w:sz w:val="24"/>
          <w:szCs w:val="24"/>
        </w:rPr>
      </w:r>
      <w:r>
        <w:rPr>
          <w:rFonts w:ascii="PT Astra Serif" w:hAnsi="PT Astra Serif" w:cs="PT Astra Serif"/>
          <w:strike/>
          <w:sz w:val="24"/>
          <w:szCs w:val="24"/>
        </w:rPr>
      </w:r>
    </w:p>
    <w:p>
      <w:pPr>
        <w:ind w:firstLine="708"/>
        <w:jc w:val="both"/>
        <w:spacing w:after="0" w:line="240" w:lineRule="auto"/>
        <w:rPr>
          <w:rFonts w:ascii="PT Astra Serif" w:hAnsi="PT Astra Serif" w:cs="PT Astra Serif"/>
          <w:strike/>
          <w:sz w:val="24"/>
          <w:szCs w:val="24"/>
        </w:rPr>
      </w:pPr>
      <w:r>
        <w:rPr>
          <w:rFonts w:ascii="PT Astra Serif" w:hAnsi="PT Astra Serif" w:cs="PT Astra Serif"/>
          <w:sz w:val="24"/>
          <w:szCs w:val="24"/>
        </w:rPr>
        <w:t xml:space="preserve">В рамках развития региональной поисково-спастельной службы и в целях повышения оперативности работы в 2023 году в с. Молчаново Молчановского района создан поисково-спасательный отряд (ПСО) с личным составом спасателей </w:t>
      </w:r>
      <w:r>
        <w:rPr>
          <w:rFonts w:ascii="PT Astra Serif" w:hAnsi="PT Astra Serif" w:eastAsia="Calibri"/>
          <w:sz w:val="24"/>
          <w:szCs w:val="24"/>
        </w:rPr>
        <w:t xml:space="preserve">–</w:t>
      </w:r>
      <w:r>
        <w:rPr>
          <w:rFonts w:ascii="PT Astra Serif" w:hAnsi="PT Astra Serif" w:cs="PT Astra Serif"/>
          <w:sz w:val="24"/>
          <w:szCs w:val="24"/>
        </w:rPr>
        <w:t xml:space="preserve"> 16 человек. Район выезда включает границы территории Молчановского района и территории Кривошеинского, Чаинского, Колпашевского, Парабельского, Каргасокского и Александровского районов.</w:t>
      </w:r>
      <w:r>
        <w:rPr>
          <w:rFonts w:ascii="PT Astra Serif" w:hAnsi="PT Astra Serif" w:cs="PT Astra Serif"/>
          <w:strike/>
          <w:sz w:val="24"/>
          <w:szCs w:val="24"/>
        </w:rPr>
      </w:r>
      <w:r>
        <w:rPr>
          <w:rFonts w:ascii="PT Astra Serif" w:hAnsi="PT Astra Serif" w:cs="PT Astra Serif"/>
          <w:strike/>
          <w:sz w:val="24"/>
          <w:szCs w:val="24"/>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65"/>
        <w:ind w:firstLine="709"/>
        <w:jc w:val="both"/>
        <w:rPr>
          <w:color w:val="auto"/>
        </w:rPr>
      </w:pPr>
      <w:r>
        <w:rPr>
          <w:color w:val="auto"/>
        </w:rPr>
        <w:t xml:space="preserve">1. Повышение уровня безопасности населения через профилактику правонарушений и привлечение общественных объединений правоохранительной направленности к охране правопорядка, внедрение технических средств по обеспечению правопорядка. </w:t>
      </w:r>
      <w:r>
        <w:rPr>
          <w:color w:val="auto"/>
        </w:rPr>
      </w:r>
      <w:r>
        <w:rPr>
          <w:color w:val="auto"/>
        </w:rPr>
      </w:r>
    </w:p>
    <w:p>
      <w:pPr>
        <w:pStyle w:val="1165"/>
        <w:ind w:firstLine="709"/>
        <w:jc w:val="both"/>
        <w:rPr>
          <w:color w:val="auto"/>
        </w:rPr>
      </w:pPr>
      <w:r>
        <w:rPr>
          <w:color w:val="auto"/>
        </w:rPr>
        <w:t xml:space="preserve">2. Развитие аппаратно-программных комплексов «Безопасный город» (построение второго этапа АПК «Безопасный город»).</w:t>
      </w:r>
      <w:r>
        <w:rPr>
          <w:color w:val="auto"/>
        </w:rPr>
      </w:r>
      <w:r>
        <w:rPr>
          <w:color w:val="auto"/>
        </w:rPr>
      </w:r>
    </w:p>
    <w:p>
      <w:pPr>
        <w:pStyle w:val="1165"/>
        <w:ind w:firstLine="709"/>
        <w:jc w:val="both"/>
        <w:rPr>
          <w:strike/>
          <w:color w:val="auto"/>
        </w:rPr>
      </w:pPr>
      <w:r>
        <w:rPr>
          <w:color w:val="auto"/>
        </w:rPr>
        <w:t xml:space="preserve">3. Повышение готовности к ликвидации последствий чрезвычайных ситуаций, создание эффективной системы безопасности на водных объектах и системы пожарной безопасности.</w:t>
      </w:r>
      <w:r>
        <w:rPr>
          <w:strike/>
          <w:color w:val="auto"/>
        </w:rPr>
      </w:r>
      <w:r>
        <w:rPr>
          <w:strike/>
          <w:color w:val="auto"/>
        </w:rPr>
      </w:r>
    </w:p>
    <w:p>
      <w:pPr>
        <w:pStyle w:val="1165"/>
        <w:ind w:firstLine="709"/>
        <w:jc w:val="both"/>
        <w:rPr>
          <w:color w:val="auto"/>
        </w:rPr>
      </w:pPr>
      <w:r>
        <w:rPr>
          <w:color w:val="auto"/>
        </w:rPr>
        <w:t xml:space="preserve">4. Развитие противопожарной службы региона в рамках реализации Концепции развития подразделений пожарной охраны Томской области.</w:t>
      </w:r>
      <w:r>
        <w:rPr>
          <w:color w:val="auto"/>
        </w:rPr>
      </w:r>
      <w:r>
        <w:rPr>
          <w:color w:val="auto"/>
        </w:rPr>
      </w:r>
    </w:p>
    <w:p>
      <w:pPr>
        <w:pStyle w:val="1165"/>
        <w:ind w:firstLine="709"/>
        <w:jc w:val="both"/>
        <w:rPr>
          <w:strike/>
          <w:color w:val="auto"/>
        </w:rPr>
      </w:pPr>
      <w:r>
        <w:rPr>
          <w:color w:val="auto"/>
        </w:rPr>
        <w:t xml:space="preserve">5. Реконструкция и модернизация регионального сегмента системы оповещения населения Томской области (РАСЦО) и решение вопроса о реконструкции муниципальных систем оповещения населения.</w:t>
      </w:r>
      <w:r>
        <w:rPr>
          <w:strike/>
          <w:color w:val="auto"/>
        </w:rPr>
      </w:r>
      <w:r>
        <w:rPr>
          <w:strike/>
          <w:color w:val="auto"/>
        </w:rPr>
      </w:r>
    </w:p>
    <w:p>
      <w:pPr>
        <w:pStyle w:val="1165"/>
        <w:ind w:firstLine="709"/>
        <w:jc w:val="both"/>
        <w:rPr>
          <w:color w:val="auto"/>
        </w:rPr>
      </w:pPr>
      <w:r>
        <w:rPr>
          <w:color w:val="auto"/>
        </w:rPr>
        <w:t xml:space="preserve">6. Формирование поискового отряда на базе ОГБУ «Томская областная поисково-спасательная служба» с местом расположения в г. Асино. </w:t>
      </w:r>
      <w:r>
        <w:rPr>
          <w:color w:val="auto"/>
        </w:rPr>
      </w:r>
      <w:r>
        <w:rPr>
          <w:color w:val="auto"/>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46"/>
        <w:outlineLvl w:val="1"/>
      </w:pPr>
      <w:r/>
      <w:bookmarkStart w:id="17" w:name="_Toc134630407"/>
      <w:r>
        <w:t xml:space="preserve">3.5. Обеспечение развития физической культуры и спорта, проведение эффективной молодежной политики</w:t>
      </w:r>
      <w:bookmarkEnd w:id="17"/>
      <w:r/>
      <w:r/>
    </w:p>
    <w:p>
      <w:pPr>
        <w:ind w:firstLine="567"/>
        <w:jc w:val="both"/>
        <w:spacing w:after="0" w:line="240" w:lineRule="auto"/>
        <w:tabs>
          <w:tab w:val="left" w:pos="0" w:leader="none"/>
          <w:tab w:val="left" w:pos="851"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shd w:val="clear" w:color="auto" w:fill="eaf1dd" w:themeFill="accent3" w:themeFillTint="33"/>
        <w:tabs>
          <w:tab w:val="left" w:pos="0" w:leader="none"/>
          <w:tab w:val="left" w:pos="851" w:leader="none"/>
        </w:tabs>
        <w:rPr>
          <w:rFonts w:ascii="PT Astra Serif" w:hAnsi="PT Astra Serif"/>
          <w:b/>
          <w:sz w:val="24"/>
          <w:szCs w:val="24"/>
        </w:rPr>
      </w:pPr>
      <w:r>
        <w:rPr>
          <w:rFonts w:ascii="PT Astra Serif" w:hAnsi="PT Astra Serif"/>
          <w:b/>
          <w:sz w:val="24"/>
          <w:szCs w:val="24"/>
        </w:rPr>
        <w:t xml:space="preserve">Физическая культура и спорт</w:t>
      </w:r>
      <w:r>
        <w:rPr>
          <w:rStyle w:val="1138"/>
          <w:b/>
        </w:rPr>
        <w:footnoteReference w:id="7"/>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Создание условий, обеспечивающих равные возможности жителям Томской области вести здоровый образ жизни, систематически заниматься</w:t>
      </w:r>
      <w:r>
        <w:rPr>
          <w:rFonts w:ascii="PT Astra Serif" w:hAnsi="PT Astra Serif"/>
          <w:sz w:val="24"/>
          <w:szCs w:val="24"/>
        </w:rPr>
        <w:t xml:space="preserve"> физической культурой и спортом</w:t>
      </w:r>
      <w:r>
        <w:rPr>
          <w:rFonts w:ascii="PT Astra Serif" w:hAnsi="PT Astra Serif"/>
          <w:sz w:val="24"/>
          <w:szCs w:val="24"/>
        </w:rPr>
        <w:t xml:space="preserve"> и способствующих повышению конкурентоспособности томского спорта</w:t>
      </w:r>
      <w:r>
        <w:rPr>
          <w:rFonts w:ascii="PT Astra Serif" w:hAnsi="PT Astra Serif"/>
          <w:sz w:val="24"/>
          <w:szCs w:val="24"/>
        </w:rPr>
        <w:t xml:space="preserve">,</w:t>
      </w:r>
      <w:r>
        <w:rPr>
          <w:rFonts w:ascii="PT Astra Serif" w:hAnsi="PT Astra Serif"/>
          <w:sz w:val="24"/>
          <w:szCs w:val="24"/>
        </w:rPr>
        <w:t xml:space="preserve"> – основные задачи региона в области физической культуры и спорта.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Развитие спортивной инфраструктуры, проведение физкультурно-спортивной р</w:t>
      </w:r>
      <w:r>
        <w:rPr>
          <w:rFonts w:ascii="PT Astra Serif" w:hAnsi="PT Astra Serif"/>
          <w:sz w:val="24"/>
          <w:szCs w:val="24"/>
        </w:rPr>
        <w:t xml:space="preserve">аботы с населением, повышение привлекательности занятий физической культурой и спортом способствовало в 2023 году увеличению доли граждан Томской области, систематически занимающихся физической культурой и спортом, с 49,6% в 2022 году до 54,7% в 2023 году.</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целях развития спортивной инфраструктуры в 2023 году:</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введен в эксплуатацию «Физкультурно-спортивный комплекс с универсальным игровым залом» в с. Молчаново Молчановского района;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sz w:val="24"/>
          <w:szCs w:val="24"/>
        </w:rPr>
        <w:t xml:space="preserve">установлены 3 «умные» спортивные площадки для жителей г. Томска, городского округа Стрежевой, Молчановского района;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sz w:val="24"/>
          <w:szCs w:val="24"/>
        </w:rPr>
        <w:t xml:space="preserve">установлены 3 малых спортивных площадки для проведения тестирования населения в соответствии с Всероссийским физкультурно-спортивным комплексом «Готов к труду и обороне» (ВФСК ГТО) в Александровском районе, Тегульдетском районе, г. Кедровом.</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спортсмены Томской области приняли участие в 400 спортивных соревнованиях различного уровня за пределами региона, где завоевали 1443 медали.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На территории Томской области проведено 480 официальных спортивных соревнований, в которых приняли участие более 47 тысяч спортсменов, в том числе: Чемпионат и Первенство Рос</w:t>
      </w:r>
      <w:r>
        <w:rPr>
          <w:rFonts w:ascii="PT Astra Serif" w:hAnsi="PT Astra Serif"/>
          <w:sz w:val="24"/>
          <w:szCs w:val="24"/>
        </w:rPr>
        <w:t xml:space="preserve">сии по альпинизму (108 участников), Первенство России по гиревому спорту (431 участник), Первенство России по подводному спорту (416 участников), Первенство России по рафтингу (112 участников), Чемпионат России по спортивному ориентированию (101 участник).</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С целью развития массового спорта проведено 116 физкультурных мероприяти</w:t>
      </w:r>
      <w:r>
        <w:rPr>
          <w:rFonts w:ascii="PT Astra Serif" w:hAnsi="PT Astra Serif"/>
          <w:sz w:val="24"/>
          <w:szCs w:val="24"/>
        </w:rPr>
        <w:t xml:space="preserve">й</w:t>
      </w:r>
      <w:r>
        <w:rPr>
          <w:rFonts w:ascii="PT Astra Serif" w:hAnsi="PT Astra Serif"/>
          <w:sz w:val="24"/>
          <w:szCs w:val="24"/>
        </w:rPr>
        <w:t xml:space="preserve"> среди различных категорий и возрастных групп населения, участие в которых приняли около 36 тысяч жителей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Семейная команда из Томской области стала лучшей по итогам IV Всероссийского фестиваля ГТО среди семейных команд в г.</w:t>
      </w:r>
      <w:r>
        <w:rPr>
          <w:rFonts w:ascii="PT Astra Serif" w:hAnsi="PT Astra Serif"/>
          <w:sz w:val="24"/>
          <w:szCs w:val="24"/>
        </w:rPr>
        <w:t xml:space="preserve"> </w:t>
      </w:r>
      <w:r>
        <w:rPr>
          <w:rFonts w:ascii="PT Astra Serif" w:hAnsi="PT Astra Serif"/>
          <w:sz w:val="24"/>
          <w:szCs w:val="24"/>
        </w:rPr>
        <w:t xml:space="preserve">Санкт-Петербурге. Благодаря этой победе Томская область удостоилась права проведения в 2024 году финала Фестиваля Всероссийского физкультурно-спортивного комплекса «Готов к труду и обороне» (ГТО) среди семейных команд.</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trike/>
          <w:sz w:val="24"/>
          <w:szCs w:val="24"/>
        </w:rPr>
      </w:pPr>
      <w:r>
        <w:rPr>
          <w:rFonts w:ascii="PT Astra Serif" w:hAnsi="PT Astra Serif"/>
          <w:sz w:val="24"/>
          <w:szCs w:val="24"/>
        </w:rPr>
        <w:t xml:space="preserve">Осуществляется финансовая поддержка наиболее талантливых спортсменов и их тренеров:</w:t>
      </w:r>
      <w:r>
        <w:rPr>
          <w:rFonts w:ascii="PT Astra Serif" w:hAnsi="PT Astra Serif"/>
          <w:strike/>
          <w:sz w:val="24"/>
          <w:szCs w:val="24"/>
        </w:rPr>
      </w:r>
      <w:r>
        <w:rPr>
          <w:rFonts w:ascii="PT Astra Serif" w:hAnsi="PT Astra Serif"/>
          <w:strike/>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sz w:val="24"/>
          <w:szCs w:val="24"/>
        </w:rPr>
        <w:t xml:space="preserve">ежемесячное дополнительное материальное обеспечение </w:t>
      </w:r>
      <w:r>
        <w:rPr>
          <w:rFonts w:ascii="PT Astra Serif" w:hAnsi="PT Astra Serif"/>
          <w:sz w:val="24"/>
          <w:szCs w:val="24"/>
        </w:rPr>
        <w:t xml:space="preserve">за выдающиеся достижения и особые заслуги перед Российской Федерацией в сфере физической культуры и спорта </w:t>
      </w:r>
      <w:r>
        <w:rPr>
          <w:rFonts w:ascii="PT Astra Serif" w:hAnsi="PT Astra Serif"/>
          <w:sz w:val="24"/>
          <w:szCs w:val="24"/>
        </w:rPr>
        <w:t xml:space="preserve">в размере 5 750 рублей получили 52 человека</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ежемесячная стипендия Губернатора Томской области выплачивалась 25 спортсменам по 16 000 рублей, 18 тренерам - по 13 000 рублей;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единовременное вознаграждение за победы и призовые места на официальных всероссийских и международных соревнованиях получили 126 спортсменов и тренеров Томской области по 17 видам спорта.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рамках регионального проекта «Спорт - норма жизни» в муниципальных образованиях Томской области из областного бюджета предоставлялись следующие субсидии местным бюджетам:</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на приобретение 30 комплектов оборудования для малобюджетных спортивных площадок по месту жительства и учебы;</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на приобретение спортивного оборудования, инвентаря и экипировки по различным видам спорта, обеспечение участия спортсменов и тренеров в учебно-тренировочных сборах и спортивных соревнованиях для 24 муниципальных спортивных школ;</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на оплату труда инструкторов по спорту и приобретение спортивного инвентаря и оборудования для физкультурно-оздоровительной и спортивно-массовой работы</w:t>
      </w:r>
      <w:r>
        <w:rPr>
          <w:rFonts w:ascii="PT Astra Serif" w:hAnsi="PT Astra Serif"/>
          <w:sz w:val="24"/>
          <w:szCs w:val="24"/>
        </w:rPr>
        <w:t xml:space="preserve">;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на поддержку организаций, осуществляющих подготовку по базовым видам спорта Томской области (гиревой спорт,</w:t>
      </w:r>
      <w:r>
        <w:rPr>
          <w:rFonts w:ascii="PT Astra Serif" w:hAnsi="PT Astra Serif"/>
          <w:sz w:val="24"/>
          <w:szCs w:val="24"/>
        </w:rPr>
        <w:t xml:space="preserve"> городошный спорт, конькобежный спорт, легкая атлетика, лыжные гонки, самбо, керлинг, фристайл), в части приобретения оборудования, инвентаря, экипировки, обеспечения участия спортсменов и тренеров в учебно-тренировочных сборах и спортивных соревнованиях.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451 инструктор по спорту вел работу по привлечению населения различных социальных групп и возрастов к занятиям физической культурой и спортом. Общее число занимающихся физической культурой и спортом у инструкторов</w:t>
      </w:r>
      <w:r>
        <w:rPr>
          <w:rFonts w:ascii="PT Astra Serif" w:hAnsi="PT Astra Serif"/>
          <w:sz w:val="24"/>
          <w:szCs w:val="24"/>
        </w:rPr>
        <w:t xml:space="preserve"> по спорту составило 30,3 тыс.</w:t>
      </w:r>
      <w:r>
        <w:rPr>
          <w:rFonts w:ascii="PT Astra Serif" w:hAnsi="PT Astra Serif"/>
          <w:sz w:val="24"/>
          <w:szCs w:val="24"/>
        </w:rPr>
        <w:t xml:space="preserve"> человек.</w:t>
      </w:r>
      <w:r>
        <w:rPr>
          <w:rFonts w:ascii="PT Astra Serif" w:hAnsi="PT Astra Serif"/>
          <w:sz w:val="24"/>
          <w:szCs w:val="24"/>
        </w:rPr>
      </w:r>
      <w:r>
        <w:rPr>
          <w:rFonts w:ascii="PT Astra Serif" w:hAnsi="PT Astra Serif"/>
          <w:sz w:val="24"/>
          <w:szCs w:val="24"/>
        </w:rPr>
      </w:r>
    </w:p>
    <w:p>
      <w:pPr>
        <w:ind w:firstLine="567"/>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2023 году с целью увеличения финансового обеспечения спортивных мероприятий и приобретения спортивного инвентаря в сферу физической культуры и спорта привлечены некоммерческие организации и частный бизнес. В 2023 году в номинации «Мецена</w:t>
      </w:r>
      <w:r>
        <w:rPr>
          <w:rFonts w:ascii="PT Astra Serif" w:hAnsi="PT Astra Serif" w:eastAsia="Calibri"/>
          <w:sz w:val="24"/>
          <w:szCs w:val="24"/>
        </w:rPr>
        <w:t xml:space="preserve">т спорта» областного конкурса «Спортивная Элита» лауреатами стали: АО «Томское пиво», ООО «Химотекс», ООО «Сибирские ресурсы», АО «Сибирская аграрная группа», ООО «ТОМСКНЕФТЕХИМ» - СИБУР, ООО «ГАЗПРОМНЕФТЬ-ВОСТОК», ООО «Газпром трансгаз Томск», ОАО «ТДСК».</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1. Организация и проведение в 2024 году финала Фестиваля Всероссийского физкультурно-спортивного комплекса «Готов к труду и обороне» (ГТО) среди семейных команд.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2. Проведение значимых спортивных мероприятий всероссийского уровня: Чемпионата России по альпинизму, Чемпионата России по спортивному ориентированию, Первенства России по борьбе на п</w:t>
      </w:r>
      <w:r>
        <w:rPr>
          <w:rFonts w:ascii="PT Astra Serif" w:hAnsi="PT Astra Serif"/>
          <w:sz w:val="24"/>
          <w:szCs w:val="24"/>
        </w:rPr>
        <w:t xml:space="preserve">оясах, Всероссийских соревнований «Снежные ласты» по подводному спорту, Всероссийских соревнований «Ритмы весны» по спортивной аэробике, Всероссийских соревнований «Кубок Сибири памяти первого российского чемпиона мира Сергея Елисеева» по тяжелой атлетике.</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shd w:val="clear" w:color="auto" w:fill="eaf1dd" w:themeFill="accent3" w:themeFillTint="33"/>
        <w:rPr>
          <w:rFonts w:ascii="PT Astra Serif" w:hAnsi="PT Astra Serif" w:eastAsia="Calibri"/>
          <w:b/>
          <w:sz w:val="24"/>
          <w:szCs w:val="24"/>
        </w:rPr>
      </w:pPr>
      <w:r>
        <w:rPr>
          <w:rFonts w:ascii="PT Astra Serif" w:hAnsi="PT Astra Serif" w:eastAsia="Calibri"/>
          <w:b/>
          <w:sz w:val="24"/>
          <w:szCs w:val="24"/>
          <w:shd w:val="clear" w:color="auto" w:fill="eaf1dd" w:themeFill="accent3" w:themeFillTint="33"/>
        </w:rPr>
        <w:t xml:space="preserve">Молодежная политика и волонтерство</w:t>
      </w:r>
      <w:r>
        <w:rPr>
          <w:rFonts w:ascii="PT Astra Serif" w:hAnsi="PT Astra Serif" w:eastAsia="Calibri"/>
          <w:b/>
          <w:sz w:val="24"/>
          <w:szCs w:val="24"/>
        </w:rPr>
      </w:r>
      <w:r>
        <w:rPr>
          <w:rFonts w:ascii="PT Astra Serif" w:hAnsi="PT Astra Serif" w:eastAsia="Calibri"/>
          <w:b/>
          <w:sz w:val="24"/>
          <w:szCs w:val="24"/>
        </w:rPr>
      </w:r>
    </w:p>
    <w:p>
      <w:pPr>
        <w:ind w:firstLine="709"/>
        <w:jc w:val="both"/>
        <w:spacing w:after="0" w:line="240" w:lineRule="auto"/>
        <w:rPr>
          <w:rFonts w:ascii="PT Astra Serif" w:hAnsi="PT Astra Serif"/>
          <w:strike/>
          <w:sz w:val="24"/>
          <w:szCs w:val="24"/>
        </w:rPr>
      </w:pPr>
      <w:r>
        <w:rPr>
          <w:rFonts w:ascii="PT Astra Serif" w:hAnsi="PT Astra Serif" w:cstheme="minorHAnsi"/>
          <w:sz w:val="24"/>
          <w:szCs w:val="24"/>
        </w:rPr>
        <w:t xml:space="preserve">Создание условий для успешной самореализации и профессионального роста молодежи,</w:t>
      </w:r>
      <w:r>
        <w:t xml:space="preserve"> </w:t>
      </w:r>
      <w:r>
        <w:rPr>
          <w:rFonts w:ascii="PT Astra Serif" w:hAnsi="PT Astra Serif" w:cstheme="minorHAnsi"/>
          <w:sz w:val="24"/>
          <w:szCs w:val="24"/>
        </w:rPr>
        <w:t xml:space="preserve">с которой связано будущее всего региона, </w:t>
      </w:r>
      <w:r>
        <w:rPr>
          <w:rFonts w:ascii="PT Astra Serif" w:hAnsi="PT Astra Serif"/>
          <w:sz w:val="24"/>
          <w:szCs w:val="24"/>
        </w:rPr>
        <w:t xml:space="preserve">развитие системы поддержки волонтерской деятельности и инициативных молодежных проектов было в центре региональной политики в 2023 году.</w:t>
      </w:r>
      <w:r>
        <w:rPr>
          <w:rFonts w:ascii="PT Astra Serif" w:hAnsi="PT Astra Serif"/>
          <w:strike/>
          <w:sz w:val="24"/>
          <w:szCs w:val="24"/>
        </w:rPr>
      </w:r>
      <w:r>
        <w:rPr>
          <w:rFonts w:ascii="PT Astra Serif" w:hAnsi="PT Astra Serif"/>
          <w:strike/>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сентябре 2023 года в г. Томске проведен областной этап Российской национальной премии образовательных организаций высшего и среднего профессионального образования Томской области «Студент года </w:t>
      </w:r>
      <w:r>
        <w:rPr>
          <w:rFonts w:ascii="PT Astra Serif" w:hAnsi="PT Astra Serif" w:eastAsia="Calibri"/>
          <w:sz w:val="24"/>
          <w:szCs w:val="24"/>
        </w:rPr>
        <w:t xml:space="preserve">–</w:t>
      </w:r>
      <w:r>
        <w:rPr>
          <w:rFonts w:ascii="PT Astra Serif" w:hAnsi="PT Astra Serif"/>
          <w:sz w:val="24"/>
          <w:szCs w:val="24"/>
        </w:rPr>
        <w:t xml:space="preserve"> 2023», участниками которого стали более 300 обучающихся.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состоялись масштабные мероприятия регионального молодежного форума «СМОРодина» и областной конкурс молодежных проектов «Твоя идея», в рамках которых активная молодежь городов Томск, Колпаш</w:t>
      </w:r>
      <w:r>
        <w:rPr>
          <w:rFonts w:ascii="PT Astra Serif" w:hAnsi="PT Astra Serif"/>
          <w:sz w:val="24"/>
          <w:szCs w:val="24"/>
        </w:rPr>
        <w:t xml:space="preserve">ево, Асино, ЗАТО Северск, Бакчарского, Первомайского, Тегульдетского, Чаинского, Шегарского и Кожевниковского районов обменивалась опытом, участвовала в тематических мастер-классах по двенадцати направлениям: от молодежной политики и спорта, до медиа и IT.</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К концу 2023 года была выполнена одна из пр</w:t>
      </w:r>
      <w:r>
        <w:rPr>
          <w:rFonts w:ascii="PT Astra Serif" w:hAnsi="PT Astra Serif"/>
          <w:sz w:val="24"/>
          <w:szCs w:val="24"/>
        </w:rPr>
        <w:t xml:space="preserve">иоритетных задач – число волонте</w:t>
      </w:r>
      <w:r>
        <w:rPr>
          <w:rFonts w:ascii="PT Astra Serif" w:hAnsi="PT Astra Serif"/>
          <w:sz w:val="24"/>
          <w:szCs w:val="24"/>
        </w:rPr>
        <w:t xml:space="preserve">ров возросло до 60,2 человек.</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На базе Ресурсного Центра ведет работу Региональный штаб помощи</w:t>
      </w:r>
      <w:r>
        <w:rPr>
          <w:rFonts w:ascii="PT Astra Serif" w:hAnsi="PT Astra Serif"/>
          <w:sz w:val="24"/>
          <w:szCs w:val="24"/>
        </w:rPr>
        <w:t xml:space="preserve"> «МыВместе» за 2023 год, волонте</w:t>
      </w:r>
      <w:r>
        <w:rPr>
          <w:rFonts w:ascii="PT Astra Serif" w:hAnsi="PT Astra Serif"/>
          <w:sz w:val="24"/>
          <w:szCs w:val="24"/>
        </w:rPr>
        <w:t xml:space="preserve">ры штаба оказали помощь по доставке продуктов и лекарств на дом маломобильным гражданам и пенсионерам. Была отработана 831 заявка, более 100 заявителей получили адресную помощь. Также оказана помощь по чистке снега, подготовке дров и др.</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Ресурсный центр</w:t>
      </w:r>
      <w:r>
        <w:rPr>
          <w:rFonts w:ascii="PT Astra Serif" w:hAnsi="PT Astra Serif"/>
          <w:sz w:val="24"/>
          <w:szCs w:val="24"/>
        </w:rPr>
        <w:t xml:space="preserve"> совместно с Комисс</w:t>
      </w:r>
      <w:r>
        <w:rPr>
          <w:rFonts w:ascii="PT Astra Serif" w:hAnsi="PT Astra Serif"/>
          <w:sz w:val="24"/>
          <w:szCs w:val="24"/>
        </w:rPr>
        <w:t xml:space="preserve">ией по делам несовершеннолетних</w:t>
      </w:r>
      <w:r>
        <w:rPr>
          <w:rFonts w:ascii="PT Astra Serif" w:hAnsi="PT Astra Serif"/>
          <w:sz w:val="24"/>
          <w:szCs w:val="24"/>
        </w:rPr>
        <w:t xml:space="preserve"> в Дни профилактики проводит выезды в школы на территории г. Томска, с презентацией о Добровольчестве и работе Ресурсного центра.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Приоритетной задачей на 2023 год также являлось «Увеличение численности па</w:t>
      </w:r>
      <w:r>
        <w:rPr>
          <w:rFonts w:ascii="PT Astra Serif" w:hAnsi="PT Astra Serif"/>
          <w:sz w:val="24"/>
          <w:szCs w:val="24"/>
        </w:rPr>
        <w:t xml:space="preserve">триотически настроенной молодежи». В январе 2023 года волонтеры Томского регионального отделения Всероссийского общественного движения (ТРО ВОД) «Волонтеры Победы» организовали проведение в г. Томске региональных мероприятий Всероссийской акции «Блокадный </w:t>
      </w:r>
      <w:r>
        <w:rPr>
          <w:rFonts w:ascii="PT Astra Serif" w:hAnsi="PT Astra Serif"/>
          <w:sz w:val="24"/>
          <w:szCs w:val="24"/>
        </w:rPr>
        <w:t xml:space="preserve">хлеб», участие в которой приняли более 3 000 человек. Также совместно с ТРО ВОД «Волонтеры Победы» весной 2023 года организовано проведение на региональном уровне Всероссийской акции «Георгиевская ленточка», в которой приняли участие более 45 тыс. человек.</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октябре 2023 года про</w:t>
      </w:r>
      <w:r>
        <w:rPr>
          <w:rFonts w:ascii="PT Astra Serif" w:hAnsi="PT Astra Serif"/>
          <w:sz w:val="24"/>
          <w:szCs w:val="24"/>
        </w:rPr>
        <w:t xml:space="preserve">шел мемориальный марафон им. Д.</w:t>
      </w:r>
      <w:r>
        <w:rPr>
          <w:rFonts w:ascii="PT Astra Serif" w:hAnsi="PT Astra Serif"/>
          <w:sz w:val="24"/>
          <w:szCs w:val="24"/>
        </w:rPr>
        <w:t xml:space="preserve">А.</w:t>
      </w:r>
      <w:r>
        <w:rPr>
          <w:rFonts w:ascii="PT Astra Serif" w:hAnsi="PT Astra Serif"/>
          <w:sz w:val="24"/>
          <w:szCs w:val="24"/>
        </w:rPr>
        <w:t xml:space="preserve"> </w:t>
      </w:r>
      <w:r>
        <w:rPr>
          <w:rFonts w:ascii="PT Astra Serif" w:hAnsi="PT Astra Serif"/>
          <w:sz w:val="24"/>
          <w:szCs w:val="24"/>
        </w:rPr>
        <w:t xml:space="preserve">Козлова, цель которого формирование патриотизма и мотивации к ведению здорового образа жизни у подрастающего поколения. Общее количество участников </w:t>
      </w:r>
      <w:r>
        <w:rPr>
          <w:rFonts w:ascii="PT Astra Serif" w:hAnsi="PT Astra Serif" w:eastAsia="Calibri"/>
          <w:sz w:val="24"/>
          <w:szCs w:val="24"/>
        </w:rPr>
        <w:t xml:space="preserve">–</w:t>
      </w:r>
      <w:r>
        <w:rPr>
          <w:rFonts w:ascii="PT Astra Serif" w:hAnsi="PT Astra Serif"/>
          <w:sz w:val="24"/>
          <w:szCs w:val="24"/>
        </w:rPr>
        <w:t xml:space="preserve"> 150 человек.</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реализован проект «Диалоги</w:t>
      </w:r>
      <w:r>
        <w:rPr>
          <w:rFonts w:ascii="PT Astra Serif" w:hAnsi="PT Astra Serif"/>
          <w:sz w:val="24"/>
          <w:szCs w:val="24"/>
        </w:rPr>
        <w:t xml:space="preserve"> с Героями», проведено 5 встреч, в рамках которых участники и спикеры обсуждали важные вопросы: отношение к войне и жизнь в условиях боевых действий, особенности службы в армии, необходимость работы в сфере гражданского и военно-патриотического воспитания.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28 представител</w:t>
      </w:r>
      <w:r>
        <w:rPr>
          <w:rFonts w:ascii="PT Astra Serif" w:hAnsi="PT Astra Serif"/>
          <w:sz w:val="24"/>
          <w:szCs w:val="24"/>
        </w:rPr>
        <w:t xml:space="preserve">ей</w:t>
      </w:r>
      <w:r>
        <w:rPr>
          <w:rFonts w:ascii="PT Astra Serif" w:hAnsi="PT Astra Serif"/>
          <w:sz w:val="24"/>
          <w:szCs w:val="24"/>
        </w:rPr>
        <w:t xml:space="preserve"> поискового движения Регионального отделения Общероссийского общественного</w:t>
      </w:r>
      <w:r>
        <w:rPr>
          <w:rFonts w:ascii="PT Astra Serif" w:hAnsi="PT Astra Serif"/>
          <w:sz w:val="24"/>
          <w:szCs w:val="24"/>
        </w:rPr>
        <w:t xml:space="preserve"> движения по увековечению памяти погибших при защите Отечества «Поисковое движение России» приняли участие в военно-исторической экспедиции «Западный фронт, Варшавское шоссе», Всероссийская «Вахта памяти – 2023», осеннем этапе Межрегиональной Вахты Памяти.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ресурсном центре проводится обучение волонтеро</w:t>
      </w:r>
      <w:r>
        <w:rPr>
          <w:rFonts w:ascii="PT Astra Serif" w:hAnsi="PT Astra Serif"/>
          <w:sz w:val="24"/>
          <w:szCs w:val="24"/>
        </w:rPr>
        <w:t xml:space="preserve">в, создаются учебно-методические, инструктивные материалы, осуществляется иная поддержка представителей волонтерского сообщества Томской области, на постоянной основе проводятся консультации по подготовке проектов, их реализации, работает региональный коор</w:t>
      </w:r>
      <w:r>
        <w:rPr>
          <w:rFonts w:ascii="PT Astra Serif" w:hAnsi="PT Astra Serif"/>
          <w:sz w:val="24"/>
          <w:szCs w:val="24"/>
        </w:rPr>
        <w:t xml:space="preserve">динатор в сфере работы с грантами. 4 представителя от Томской области получили статус экспертов Росмолодежи по грантам. По итогам 2023 года на реализацию молодежных инициатив в регион привлечено свыше 32 млн рублей средств внебюджетных источников (гранты).</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1. Создание молодежного грантового офиса для оказания консультационной, методической, организационной и экспертной помощи представителям Томской области – участникам грантовых конкурсов, проводимых на </w:t>
      </w:r>
      <w:r>
        <w:rPr>
          <w:rFonts w:ascii="PT Astra Serif" w:hAnsi="PT Astra Serif"/>
          <w:sz w:val="24"/>
          <w:szCs w:val="24"/>
        </w:rPr>
        <w:t xml:space="preserve">территории Российской Федерации.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2. </w:t>
      </w:r>
      <w:r>
        <w:rPr>
          <w:rFonts w:ascii="PT Astra Serif" w:hAnsi="PT Astra Serif"/>
          <w:sz w:val="24"/>
          <w:szCs w:val="24"/>
        </w:rPr>
        <w:t xml:space="preserve">Обеспечение развития и реализации молодежных инициатив посредством привлечения средств из внебюджетных источников и за счет грантовой поддержки.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3. Проведение областного молодежного форума по основным направлениям госу</w:t>
      </w:r>
      <w:r>
        <w:rPr>
          <w:rFonts w:ascii="PT Astra Serif" w:hAnsi="PT Astra Serif"/>
          <w:sz w:val="24"/>
          <w:szCs w:val="24"/>
        </w:rPr>
        <w:t xml:space="preserve">дарственной молодежной политики.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trike/>
          <w:sz w:val="24"/>
          <w:szCs w:val="24"/>
        </w:rPr>
      </w:pPr>
      <w:r>
        <w:rPr>
          <w:rFonts w:ascii="PT Astra Serif" w:hAnsi="PT Astra Serif"/>
          <w:sz w:val="24"/>
          <w:szCs w:val="24"/>
        </w:rPr>
        <w:t xml:space="preserve">4</w:t>
      </w:r>
      <w:r>
        <w:rPr>
          <w:rFonts w:ascii="PT Astra Serif" w:hAnsi="PT Astra Serif"/>
          <w:sz w:val="24"/>
          <w:szCs w:val="24"/>
        </w:rPr>
        <w:t xml:space="preserve">. </w:t>
      </w:r>
      <w:r>
        <w:rPr>
          <w:rFonts w:ascii="PT Astra Serif" w:hAnsi="PT Astra Serif"/>
          <w:sz w:val="24"/>
          <w:szCs w:val="24"/>
        </w:rPr>
        <w:t xml:space="preserve">Создание молодежного кадрового резерва при Департаменте по молодежной политике</w:t>
      </w:r>
      <w:r>
        <w:rPr>
          <w:rFonts w:ascii="PT Astra Serif" w:hAnsi="PT Astra Serif"/>
          <w:sz w:val="24"/>
          <w:szCs w:val="24"/>
        </w:rPr>
        <w:t xml:space="preserve"> Томской области</w:t>
      </w:r>
      <w:r>
        <w:rPr>
          <w:rFonts w:ascii="PT Astra Serif" w:hAnsi="PT Astra Serif"/>
          <w:sz w:val="24"/>
          <w:szCs w:val="24"/>
        </w:rPr>
        <w:t xml:space="preserve">.</w:t>
      </w:r>
      <w:r>
        <w:rPr>
          <w:rFonts w:ascii="PT Astra Serif" w:hAnsi="PT Astra Serif"/>
          <w:strike/>
          <w:sz w:val="24"/>
          <w:szCs w:val="24"/>
        </w:rPr>
        <w:t xml:space="preserve"> </w:t>
      </w:r>
      <w:r>
        <w:rPr>
          <w:rFonts w:ascii="PT Astra Serif" w:hAnsi="PT Astra Serif"/>
          <w:strike/>
          <w:sz w:val="24"/>
          <w:szCs w:val="24"/>
        </w:rPr>
      </w:r>
      <w:r>
        <w:rPr>
          <w:rFonts w:ascii="PT Astra Serif" w:hAnsi="PT Astra Serif"/>
          <w:strike/>
          <w:sz w:val="24"/>
          <w:szCs w:val="24"/>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46"/>
        <w:outlineLvl w:val="1"/>
      </w:pPr>
      <w:r/>
      <w:bookmarkStart w:id="18" w:name="_Toc134630408"/>
      <w:r>
        <w:t xml:space="preserve">3.6. Содействие развитию эффективного рынка труда и кадровому обеспечению экономики</w:t>
      </w:r>
      <w:bookmarkEnd w:id="18"/>
      <w: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Государственная региональная политика в сфере развития рынка труда напр</w:t>
      </w:r>
      <w:r>
        <w:rPr>
          <w:rFonts w:ascii="PT Astra Serif" w:hAnsi="PT Astra Serif"/>
          <w:sz w:val="24"/>
          <w:szCs w:val="24"/>
        </w:rPr>
        <w:t xml:space="preserve">авлена на обеспечение эффективной занятости населения, содействие трудоустройству граждан, улучшение условий и охраны труда, развитие социального партнерства, содействие добровольному переселению в Томскую область соотечественников, проживающих за рубежом.</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на рынке труда Томской области сохранялась стабильная ситуация, отмечалось снижение общей (по методологии МОТ) и зарегистрированной безработицы, увеличени</w:t>
      </w:r>
      <w:r>
        <w:rPr>
          <w:rFonts w:ascii="PT Astra Serif" w:hAnsi="PT Astra Serif"/>
          <w:sz w:val="24"/>
          <w:szCs w:val="24"/>
        </w:rPr>
        <w:t xml:space="preserve">е</w:t>
      </w:r>
      <w:r>
        <w:rPr>
          <w:rFonts w:ascii="PT Astra Serif" w:hAnsi="PT Astra Serif"/>
          <w:sz w:val="24"/>
          <w:szCs w:val="24"/>
        </w:rPr>
        <w:t xml:space="preserve"> уровня занятости населения, рост дефицита кадров. </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eastAsiaTheme="minorHAnsi"/>
          <w:sz w:val="24"/>
          <w:szCs w:val="24"/>
        </w:rPr>
      </w:pPr>
      <w:r>
        <w:rPr>
          <w:rFonts w:ascii="PT Astra Serif" w:hAnsi="PT Astra Serif" w:eastAsiaTheme="minorHAnsi"/>
          <w:sz w:val="24"/>
          <w:szCs w:val="24"/>
        </w:rPr>
        <w:t xml:space="preserve">Уровень общей безработицы по оценке Росстата снизился с 5,2% до 4% численности рабочей силы. </w:t>
      </w:r>
      <w:r>
        <w:rPr>
          <w:rFonts w:ascii="PT Astra Serif" w:hAnsi="PT Astra Serif" w:eastAsia="PT Astra Serif" w:cs="PT Astra Serif"/>
          <w:sz w:val="24"/>
          <w:szCs w:val="24"/>
        </w:rPr>
        <w:t xml:space="preserve">Численность зарегистрированных безработных граждан по состоянию на 01.01.2024 составила 3 486 человек, что меньше на 1</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510 человек по сравне</w:t>
      </w:r>
      <w:r>
        <w:rPr>
          <w:rFonts w:ascii="PT Astra Serif" w:hAnsi="PT Astra Serif" w:eastAsia="PT Astra Serif" w:cs="PT Astra Serif"/>
          <w:sz w:val="24"/>
          <w:szCs w:val="24"/>
        </w:rPr>
        <w:t xml:space="preserve">нию с данными на 01.01.2023 – 4 </w:t>
      </w:r>
      <w:r>
        <w:rPr>
          <w:rFonts w:ascii="PT Astra Serif" w:hAnsi="PT Astra Serif" w:eastAsia="PT Astra Serif" w:cs="PT Astra Serif"/>
          <w:sz w:val="24"/>
          <w:szCs w:val="24"/>
        </w:rPr>
        <w:t xml:space="preserve">996 человек. Уровень зарегистрированной безработицы снизился на 0,26 процентн</w:t>
      </w:r>
      <w:r>
        <w:rPr>
          <w:rFonts w:ascii="PT Astra Serif" w:hAnsi="PT Astra Serif" w:eastAsia="PT Astra Serif" w:cs="PT Astra Serif"/>
          <w:sz w:val="24"/>
          <w:szCs w:val="24"/>
        </w:rPr>
        <w:t xml:space="preserve">ых</w:t>
      </w:r>
      <w:r>
        <w:rPr>
          <w:rFonts w:ascii="PT Astra Serif" w:hAnsi="PT Astra Serif" w:eastAsia="PT Astra Serif" w:cs="PT Astra Serif"/>
          <w:sz w:val="24"/>
          <w:szCs w:val="24"/>
        </w:rPr>
        <w:t xml:space="preserve"> пункта и составил 0,65%. </w:t>
      </w:r>
      <w:r>
        <w:rPr>
          <w:rFonts w:ascii="PT Astra Serif" w:hAnsi="PT Astra Serif" w:eastAsiaTheme="minorHAnsi"/>
          <w:sz w:val="24"/>
          <w:szCs w:val="24"/>
        </w:rPr>
        <w:t xml:space="preserve">Уровень занятости населения в возрасте 15 лет и старше увеличился с 57,7% до 58,2%.</w:t>
      </w:r>
      <w:r>
        <w:rPr>
          <w:rFonts w:ascii="PT Astra Serif" w:hAnsi="PT Astra Serif" w:eastAsiaTheme="minorHAnsi"/>
          <w:sz w:val="24"/>
          <w:szCs w:val="24"/>
        </w:rPr>
      </w:r>
      <w:r>
        <w:rPr>
          <w:rFonts w:ascii="PT Astra Serif" w:hAnsi="PT Astra Serif" w:eastAsiaTheme="minorHAnsi"/>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Коэффициент напряженности на рынке труда (численность</w:t>
      </w:r>
      <w:r>
        <w:rPr>
          <w:rFonts w:ascii="PT Astra Serif" w:hAnsi="PT Astra Serif" w:eastAsia="PT Astra Serif" w:cs="PT Astra Serif"/>
          <w:sz w:val="24"/>
          <w:szCs w:val="24"/>
        </w:rPr>
        <w:t xml:space="preserve"> безработных граждан, зарегистрированных в органах службы занятости, в расчете на одно вакантное рабочее место) составил 0,4 человека. Спрос на рабочую силу, заявленный работодателями, превышал численность зарегистрированных безработных граждан в 2,7 раза.</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2023 году в службы занятости обратились 21,8 тыс. человек, признаны безработными 10,8 тыс. человек, что меньше показателей 2022 года </w:t>
      </w:r>
      <w:r>
        <w:rPr>
          <w:rFonts w:ascii="PT Astra Serif" w:hAnsi="PT Astra Serif" w:eastAsia="Calibri"/>
          <w:sz w:val="24"/>
          <w:szCs w:val="24"/>
        </w:rPr>
        <w:t xml:space="preserve">– </w:t>
      </w:r>
      <w:r>
        <w:rPr>
          <w:rFonts w:ascii="PT Astra Serif" w:hAnsi="PT Astra Serif" w:eastAsia="PT Astra Serif" w:cs="PT Astra Serif"/>
          <w:sz w:val="24"/>
          <w:szCs w:val="24"/>
        </w:rPr>
        <w:t xml:space="preserve">26,6 тыс. человек и 14,6 тыс. человек соответственно. </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pStyle w:val="1152"/>
        <w:ind w:left="0" w:firstLine="709"/>
        <w:jc w:val="both"/>
        <w:spacing w:after="0" w:line="240" w:lineRule="auto"/>
        <w:rPr>
          <w:rFonts w:ascii="PT Astra Serif" w:hAnsi="PT Astra Serif" w:eastAsiaTheme="minorHAnsi"/>
          <w:sz w:val="24"/>
          <w:szCs w:val="24"/>
        </w:rPr>
      </w:pPr>
      <w:r>
        <w:rPr>
          <w:rFonts w:ascii="PT Astra Serif" w:hAnsi="PT Astra Serif" w:eastAsiaTheme="minorHAnsi"/>
          <w:sz w:val="24"/>
          <w:szCs w:val="24"/>
        </w:rPr>
        <w:t xml:space="preserve">В рамках реализации мероприятий государственной политики занятости в 2023 году: </w:t>
      </w:r>
      <w:r>
        <w:rPr>
          <w:rFonts w:ascii="PT Astra Serif" w:hAnsi="PT Astra Serif" w:eastAsiaTheme="minorHAnsi"/>
          <w:sz w:val="24"/>
          <w:szCs w:val="24"/>
        </w:rPr>
      </w:r>
      <w:r>
        <w:rPr>
          <w:rFonts w:ascii="PT Astra Serif" w:hAnsi="PT Astra Serif" w:eastAsiaTheme="minorHAnsi"/>
          <w:sz w:val="24"/>
          <w:szCs w:val="24"/>
        </w:rPr>
      </w:r>
    </w:p>
    <w:p>
      <w:pPr>
        <w:pStyle w:val="1152"/>
        <w:ind w:left="0" w:firstLine="709"/>
        <w:jc w:val="both"/>
        <w:spacing w:after="0" w:line="240" w:lineRule="auto"/>
        <w:rPr>
          <w:rFonts w:ascii="PT Astra Serif" w:hAnsi="PT Astra Serif" w:eastAsiaTheme="minorHAnsi"/>
          <w:sz w:val="24"/>
          <w:szCs w:val="24"/>
        </w:rPr>
      </w:pPr>
      <w:r>
        <w:rPr>
          <w:rFonts w:ascii="PT Astra Serif" w:hAnsi="PT Astra Serif"/>
          <w:sz w:val="24"/>
          <w:szCs w:val="24"/>
        </w:rPr>
        <w:t xml:space="preserve">–</w:t>
      </w:r>
      <w:r>
        <w:rPr>
          <w:rFonts w:ascii="PT Astra Serif" w:hAnsi="PT Astra Serif" w:eastAsiaTheme="minorHAnsi"/>
          <w:sz w:val="24"/>
          <w:szCs w:val="24"/>
        </w:rPr>
        <w:t xml:space="preserve"> обеспечены социальными выплатами (пособия, стипендии, пенсии, назначенные досрочно) 14,7 тыс. человек (в 2022 году – 19,8 тыс. человек);</w:t>
      </w:r>
      <w:r>
        <w:rPr>
          <w:rFonts w:ascii="PT Astra Serif" w:hAnsi="PT Astra Serif" w:eastAsiaTheme="minorHAnsi"/>
          <w:sz w:val="24"/>
          <w:szCs w:val="24"/>
        </w:rPr>
      </w:r>
      <w:r>
        <w:rPr>
          <w:rFonts w:ascii="PT Astra Serif" w:hAnsi="PT Astra Serif" w:eastAsiaTheme="minorHAnsi"/>
          <w:sz w:val="24"/>
          <w:szCs w:val="24"/>
        </w:rPr>
      </w:r>
    </w:p>
    <w:p>
      <w:pPr>
        <w:pStyle w:val="1152"/>
        <w:ind w:left="0" w:firstLine="709"/>
        <w:jc w:val="both"/>
        <w:spacing w:after="0" w:line="240" w:lineRule="auto"/>
        <w:rPr>
          <w:rFonts w:ascii="PT Astra Serif" w:hAnsi="PT Astra Serif" w:eastAsiaTheme="minorHAnsi"/>
          <w:sz w:val="24"/>
          <w:szCs w:val="24"/>
        </w:rPr>
      </w:pPr>
      <w:r>
        <w:rPr>
          <w:rFonts w:ascii="PT Astra Serif" w:hAnsi="PT Astra Serif"/>
          <w:sz w:val="24"/>
          <w:szCs w:val="24"/>
        </w:rPr>
        <w:t xml:space="preserve">–</w:t>
      </w:r>
      <w:r>
        <w:rPr>
          <w:rFonts w:ascii="PT Astra Serif" w:hAnsi="PT Astra Serif" w:eastAsiaTheme="minorHAnsi"/>
          <w:sz w:val="24"/>
          <w:szCs w:val="24"/>
        </w:rPr>
        <w:t xml:space="preserve"> трудоустроены при содействии органов службы занятости 14,5 тыс. человек (в 2022 году 16,4 тыс. человек);</w:t>
      </w:r>
      <w:r>
        <w:rPr>
          <w:rFonts w:ascii="PT Astra Serif" w:hAnsi="PT Astra Serif" w:eastAsiaTheme="minorHAnsi"/>
          <w:sz w:val="24"/>
          <w:szCs w:val="24"/>
        </w:rPr>
      </w:r>
      <w:r>
        <w:rPr>
          <w:rFonts w:ascii="PT Astra Serif" w:hAnsi="PT Astra Serif" w:eastAsiaTheme="minorHAnsi"/>
          <w:sz w:val="24"/>
          <w:szCs w:val="24"/>
        </w:rPr>
      </w:r>
    </w:p>
    <w:p>
      <w:pPr>
        <w:pStyle w:val="1152"/>
        <w:ind w:left="0" w:firstLine="709"/>
        <w:jc w:val="both"/>
        <w:spacing w:after="0" w:line="240" w:lineRule="auto"/>
        <w:rPr>
          <w:rFonts w:ascii="PT Astra Serif" w:hAnsi="PT Astra Serif" w:eastAsiaTheme="minorHAnsi"/>
          <w:sz w:val="24"/>
          <w:szCs w:val="24"/>
        </w:rPr>
      </w:pPr>
      <w:r>
        <w:rPr>
          <w:rFonts w:ascii="PT Astra Serif" w:hAnsi="PT Astra Serif"/>
          <w:sz w:val="24"/>
          <w:szCs w:val="24"/>
        </w:rPr>
        <w:t xml:space="preserve">–</w:t>
      </w:r>
      <w:r>
        <w:rPr>
          <w:rFonts w:ascii="PT Astra Serif" w:hAnsi="PT Astra Serif" w:eastAsiaTheme="minorHAnsi"/>
          <w:sz w:val="24"/>
          <w:szCs w:val="24"/>
        </w:rPr>
        <w:t xml:space="preserve"> приступили к профессиональному обучению 1,3 тыс. человек (в 2022 году – 1,6 тыс. человек);</w:t>
      </w:r>
      <w:r>
        <w:rPr>
          <w:rFonts w:ascii="PT Astra Serif" w:hAnsi="PT Astra Serif" w:eastAsiaTheme="minorHAnsi"/>
          <w:sz w:val="24"/>
          <w:szCs w:val="24"/>
        </w:rPr>
      </w:r>
      <w:r>
        <w:rPr>
          <w:rFonts w:ascii="PT Astra Serif" w:hAnsi="PT Astra Serif" w:eastAsiaTheme="minorHAnsi"/>
          <w:sz w:val="24"/>
          <w:szCs w:val="24"/>
        </w:rPr>
      </w:r>
    </w:p>
    <w:p>
      <w:pPr>
        <w:pStyle w:val="1152"/>
        <w:ind w:left="0" w:firstLine="709"/>
        <w:jc w:val="both"/>
        <w:spacing w:after="0" w:line="240" w:lineRule="auto"/>
        <w:rPr>
          <w:rFonts w:ascii="PT Astra Serif" w:hAnsi="PT Astra Serif" w:eastAsiaTheme="minorHAnsi"/>
          <w:sz w:val="24"/>
          <w:szCs w:val="24"/>
        </w:rPr>
      </w:pPr>
      <w:r>
        <w:rPr>
          <w:rFonts w:ascii="PT Astra Serif" w:hAnsi="PT Astra Serif"/>
          <w:sz w:val="24"/>
          <w:szCs w:val="24"/>
        </w:rPr>
        <w:t xml:space="preserve">–</w:t>
      </w:r>
      <w:r>
        <w:rPr>
          <w:rFonts w:ascii="PT Astra Serif" w:hAnsi="PT Astra Serif" w:eastAsiaTheme="minorHAnsi"/>
          <w:sz w:val="24"/>
          <w:szCs w:val="24"/>
        </w:rPr>
        <w:t xml:space="preserve"> приняли участие в общественных работах 0,6 </w:t>
      </w:r>
      <w:r>
        <w:rPr>
          <w:rFonts w:ascii="PT Astra Serif" w:hAnsi="PT Astra Serif" w:eastAsiaTheme="minorHAnsi"/>
          <w:sz w:val="24"/>
          <w:szCs w:val="24"/>
        </w:rPr>
        <w:t xml:space="preserve">тыс. человек (в 2022 году – 0,7 </w:t>
      </w:r>
      <w:r>
        <w:rPr>
          <w:rFonts w:ascii="PT Astra Serif" w:hAnsi="PT Astra Serif" w:eastAsiaTheme="minorHAnsi"/>
          <w:sz w:val="24"/>
          <w:szCs w:val="24"/>
        </w:rPr>
        <w:t xml:space="preserve">тыс. человек); </w:t>
      </w:r>
      <w:r>
        <w:rPr>
          <w:rFonts w:ascii="PT Astra Serif" w:hAnsi="PT Astra Serif" w:eastAsiaTheme="minorHAnsi"/>
          <w:sz w:val="24"/>
          <w:szCs w:val="24"/>
        </w:rPr>
      </w:r>
      <w:r>
        <w:rPr>
          <w:rFonts w:ascii="PT Astra Serif" w:hAnsi="PT Astra Serif" w:eastAsiaTheme="minorHAnsi"/>
          <w:sz w:val="24"/>
          <w:szCs w:val="24"/>
        </w:rPr>
      </w:r>
    </w:p>
    <w:p>
      <w:pPr>
        <w:pStyle w:val="1152"/>
        <w:ind w:left="0" w:firstLine="709"/>
        <w:jc w:val="both"/>
        <w:spacing w:after="0" w:line="240" w:lineRule="auto"/>
        <w:rPr>
          <w:rFonts w:ascii="PT Astra Serif" w:hAnsi="PT Astra Serif" w:eastAsiaTheme="minorHAnsi"/>
          <w:sz w:val="24"/>
          <w:szCs w:val="24"/>
        </w:rPr>
      </w:pPr>
      <w:r>
        <w:rPr>
          <w:rFonts w:ascii="PT Astra Serif" w:hAnsi="PT Astra Serif"/>
          <w:sz w:val="24"/>
          <w:szCs w:val="24"/>
        </w:rPr>
        <w:t xml:space="preserve">–</w:t>
      </w:r>
      <w:r>
        <w:rPr>
          <w:rFonts w:ascii="PT Astra Serif" w:hAnsi="PT Astra Serif"/>
          <w:sz w:val="24"/>
          <w:szCs w:val="24"/>
        </w:rPr>
        <w:t xml:space="preserve"> получили государственную услугу по содействию самозанятости  0,7</w:t>
      </w:r>
      <w:r>
        <w:rPr>
          <w:rFonts w:ascii="PT Astra Serif" w:hAnsi="PT Astra Serif" w:eastAsiaTheme="minorHAnsi"/>
          <w:sz w:val="24"/>
          <w:szCs w:val="24"/>
        </w:rPr>
        <w:t xml:space="preserve"> </w:t>
      </w:r>
      <w:r>
        <w:rPr>
          <w:rFonts w:ascii="PT Astra Serif" w:hAnsi="PT Astra Serif"/>
          <w:sz w:val="24"/>
          <w:szCs w:val="24"/>
        </w:rPr>
        <w:t xml:space="preserve">тыс.</w:t>
      </w:r>
      <w:r>
        <w:rPr>
          <w:rFonts w:ascii="PT Astra Serif" w:hAnsi="PT Astra Serif" w:eastAsiaTheme="minorHAnsi"/>
          <w:sz w:val="24"/>
          <w:szCs w:val="24"/>
        </w:rPr>
        <w:t xml:space="preserve"> </w:t>
      </w:r>
      <w:r>
        <w:rPr>
          <w:rFonts w:ascii="PT Astra Serif" w:hAnsi="PT Astra Serif"/>
          <w:sz w:val="24"/>
          <w:szCs w:val="24"/>
        </w:rPr>
        <w:t xml:space="preserve">безработных граждан (в 2022 году – 0,7</w:t>
      </w:r>
      <w:r>
        <w:rPr>
          <w:rFonts w:ascii="PT Astra Serif" w:hAnsi="PT Astra Serif" w:eastAsiaTheme="minorHAnsi"/>
          <w:sz w:val="24"/>
          <w:szCs w:val="24"/>
        </w:rPr>
        <w:t xml:space="preserve"> </w:t>
      </w:r>
      <w:r>
        <w:rPr>
          <w:rFonts w:ascii="PT Astra Serif" w:hAnsi="PT Astra Serif"/>
          <w:sz w:val="24"/>
          <w:szCs w:val="24"/>
        </w:rPr>
        <w:t xml:space="preserve">тыс.</w:t>
      </w:r>
      <w:r>
        <w:rPr>
          <w:rFonts w:ascii="PT Astra Serif" w:hAnsi="PT Astra Serif" w:eastAsiaTheme="minorHAnsi"/>
          <w:sz w:val="24"/>
          <w:szCs w:val="24"/>
        </w:rPr>
        <w:t xml:space="preserve"> </w:t>
      </w:r>
      <w:r>
        <w:rPr>
          <w:rFonts w:ascii="PT Astra Serif" w:hAnsi="PT Astra Serif"/>
          <w:sz w:val="24"/>
          <w:szCs w:val="24"/>
        </w:rPr>
        <w:t xml:space="preserve">человек), собственное дело открыли 0,2 тыс. человек (в 2022 – 0,2</w:t>
      </w:r>
      <w:r>
        <w:rPr>
          <w:rFonts w:ascii="PT Astra Serif" w:hAnsi="PT Astra Serif" w:eastAsiaTheme="minorHAnsi"/>
          <w:sz w:val="24"/>
          <w:szCs w:val="24"/>
        </w:rPr>
        <w:t xml:space="preserve"> </w:t>
      </w:r>
      <w:r>
        <w:rPr>
          <w:rFonts w:ascii="PT Astra Serif" w:hAnsi="PT Astra Serif"/>
          <w:sz w:val="24"/>
          <w:szCs w:val="24"/>
        </w:rPr>
        <w:t xml:space="preserve">тыс. человек).</w:t>
      </w:r>
      <w:r>
        <w:rPr>
          <w:rFonts w:ascii="PT Astra Serif" w:hAnsi="PT Astra Serif" w:eastAsiaTheme="minorHAnsi"/>
          <w:sz w:val="24"/>
          <w:szCs w:val="24"/>
        </w:rPr>
      </w:r>
      <w:r>
        <w:rPr>
          <w:rFonts w:ascii="PT Astra Serif" w:hAnsi="PT Astra Serif" w:eastAsiaTheme="minorHAnsi"/>
          <w:sz w:val="24"/>
          <w:szCs w:val="24"/>
        </w:rPr>
      </w:r>
    </w:p>
    <w:p>
      <w:pPr>
        <w:pStyle w:val="1152"/>
        <w:ind w:left="0" w:firstLine="709"/>
        <w:jc w:val="both"/>
        <w:spacing w:after="0" w:line="240" w:lineRule="auto"/>
        <w:rPr>
          <w:rFonts w:ascii="PT Astra Serif" w:hAnsi="PT Astra Serif" w:eastAsiaTheme="minorHAnsi"/>
          <w:sz w:val="24"/>
          <w:szCs w:val="24"/>
        </w:rPr>
      </w:pPr>
      <w:r>
        <w:rPr>
          <w:rFonts w:ascii="PT Astra Serif" w:hAnsi="PT Astra Serif"/>
          <w:sz w:val="24"/>
          <w:szCs w:val="24"/>
        </w:rPr>
        <w:t xml:space="preserve">В 2023 году </w:t>
      </w:r>
      <w:r>
        <w:rPr>
          <w:rFonts w:ascii="PT Astra Serif" w:hAnsi="PT Astra Serif" w:eastAsia="Times New Roman"/>
          <w:sz w:val="24"/>
          <w:szCs w:val="24"/>
          <w:lang w:eastAsia="ru-RU"/>
        </w:rPr>
        <w:t xml:space="preserve">на особом контроле </w:t>
      </w:r>
      <w:r>
        <w:rPr>
          <w:rFonts w:ascii="PT Astra Serif" w:hAnsi="PT Astra Serif"/>
          <w:sz w:val="24"/>
          <w:szCs w:val="24"/>
        </w:rPr>
        <w:t xml:space="preserve">службы занятости</w:t>
      </w:r>
      <w:r>
        <w:rPr>
          <w:rFonts w:ascii="PT Astra Serif" w:hAnsi="PT Astra Serif" w:eastAsia="Times New Roman"/>
          <w:sz w:val="24"/>
          <w:szCs w:val="24"/>
          <w:lang w:eastAsia="ru-RU"/>
        </w:rPr>
        <w:t xml:space="preserve"> находились предприятия оборонно-промышленного комплекса (ОПК). </w:t>
      </w:r>
      <w:r>
        <w:rPr>
          <w:rFonts w:ascii="PT Astra Serif" w:hAnsi="PT Astra Serif"/>
          <w:sz w:val="24"/>
          <w:szCs w:val="24"/>
        </w:rPr>
        <w:t xml:space="preserve">В целях обеспечения потребности предприятий ОПК проводится еженедельный мониторинг. Организовано взаимодействие по вопросам кадрового обеспечения, формирования базы потенциальных кандидатов, оказания содействия в подборе работников. </w:t>
      </w:r>
      <w:r>
        <w:rPr>
          <w:rFonts w:ascii="PT Astra Serif" w:hAnsi="PT Astra Serif"/>
          <w:sz w:val="24"/>
          <w:szCs w:val="24"/>
        </w:rPr>
        <w:t xml:space="preserve">В 2023 году направлено к работодателю на собеседование 886 человек. По состоянию н</w:t>
      </w:r>
      <w:r>
        <w:rPr>
          <w:rFonts w:ascii="PT Astra Serif" w:hAnsi="PT Astra Serif" w:eastAsia="Times New Roman"/>
          <w:sz w:val="24"/>
          <w:szCs w:val="24"/>
          <w:lang w:eastAsia="ru-RU"/>
        </w:rPr>
        <w:t xml:space="preserve">а 01.01.2024 на предприятия ОПК трудоустроены 1 616 человек, в том числе при содействии службы занятости 287 человек; потребность в 339 работниках испытывало 21 предприятие ОПК.</w:t>
      </w:r>
      <w:r>
        <w:rPr>
          <w:rFonts w:ascii="PT Astra Serif" w:hAnsi="PT Astra Serif" w:eastAsiaTheme="minorHAnsi"/>
          <w:sz w:val="24"/>
          <w:szCs w:val="24"/>
        </w:rPr>
      </w:r>
      <w:r>
        <w:rPr>
          <w:rFonts w:ascii="PT Astra Serif" w:hAnsi="PT Astra Serif" w:eastAsiaTheme="minorHAnsi"/>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В целях развития образовательной инфраструктуры для бесшовной смены профессий за счет обучения по дополнительным профессиональным программам, в том числе с использованием</w:t>
      </w:r>
      <w:r>
        <w:rPr>
          <w:rFonts w:ascii="PT Astra Serif" w:hAnsi="PT Astra Serif"/>
          <w:sz w:val="24"/>
          <w:szCs w:val="24"/>
        </w:rPr>
        <w:t xml:space="preserve"> мер государственной поддержки, в рамках проекта «Содействие занятости» национального проекта «Демография» в 2023 году приступили к обучению 1716 человек, завершили 1493 человека, по окончании обучения трудоустроены/сохранили занятость 1150 человек (77%). </w:t>
      </w:r>
      <w:r>
        <w:rPr>
          <w:rFonts w:ascii="PT Astra Serif" w:hAnsi="PT Astra Serif"/>
          <w:sz w:val="24"/>
          <w:szCs w:val="24"/>
        </w:rPr>
      </w:r>
      <w:r>
        <w:rPr>
          <w:rFonts w:ascii="PT Astra Serif" w:hAnsi="PT Astra Serif"/>
          <w:sz w:val="24"/>
          <w:szCs w:val="24"/>
        </w:rPr>
      </w:r>
    </w:p>
    <w:p>
      <w:pPr>
        <w:ind w:firstLine="709"/>
        <w:jc w:val="both"/>
        <w:spacing w:after="0" w:line="240" w:lineRule="auto"/>
        <w:widowControl w:val="off"/>
        <w:rPr>
          <w:rFonts w:ascii="PT Astra Serif" w:hAnsi="PT Astra Serif"/>
          <w:sz w:val="24"/>
          <w:szCs w:val="24"/>
        </w:rPr>
      </w:pPr>
      <w:r>
        <w:rPr>
          <w:rFonts w:ascii="PT Astra Serif" w:hAnsi="PT Astra Serif"/>
          <w:sz w:val="24"/>
          <w:szCs w:val="24"/>
        </w:rPr>
        <w:t xml:space="preserve">Профессиональное обучение и дополнительное профессиональное образование жителе</w:t>
      </w:r>
      <w:r>
        <w:rPr>
          <w:rFonts w:ascii="PT Astra Serif" w:hAnsi="PT Astra Serif"/>
          <w:sz w:val="24"/>
          <w:szCs w:val="24"/>
        </w:rPr>
        <w:t xml:space="preserve">й Томской области организовано федеральными операторами ТГУ, ИРПО и РАНХиГС. Наиболее востребованные направления обучения: «психология управления», таргетолог и SMM-специалист, «кадровое делопроизводство со знанием 1С зарплата и управлением персоналом», те</w:t>
      </w:r>
      <w:r>
        <w:rPr>
          <w:rFonts w:ascii="PT Astra Serif" w:hAnsi="PT Astra Serif"/>
          <w:sz w:val="24"/>
          <w:szCs w:val="24"/>
        </w:rPr>
        <w:t xml:space="preserve">стировщик программного обеспечения, менеджер по работе с маркетплейсами, «управление государственными и муниципальными закупками», бухгалтер, графический дизайнер, веб-программист, 1С-разработчик, UI-дизайнер, психолог-консультант, аналитик маркетплейсов.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Органы слу</w:t>
      </w:r>
      <w:r>
        <w:rPr>
          <w:rFonts w:ascii="PT Astra Serif" w:hAnsi="PT Astra Serif"/>
          <w:sz w:val="24"/>
          <w:szCs w:val="24"/>
        </w:rPr>
        <w:t xml:space="preserve">жбы занятости оказали содействие работодателям в подборе необходимых работников из числа молодежи, работников, находящихся под риском увольнения, сокращенных граждан и уволенных в связи с ликвидацией предприятия, участников СВО: трудоустроены 198 человек.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целях снижения напряженности на рынке труда в 2023 году реализованы дополнительные мероприятия: </w:t>
      </w:r>
      <w:r>
        <w:rPr>
          <w:rFonts w:ascii="PT Astra Serif" w:hAnsi="PT Astra Serif"/>
          <w:sz w:val="24"/>
          <w:szCs w:val="24"/>
        </w:rPr>
      </w:r>
      <w:r>
        <w:rPr>
          <w:rFonts w:ascii="PT Astra Serif" w:hAnsi="PT Astra Serif"/>
          <w:sz w:val="24"/>
          <w:szCs w:val="24"/>
        </w:rPr>
      </w:r>
    </w:p>
    <w:p>
      <w:pPr>
        <w:pStyle w:val="1152"/>
        <w:ind w:left="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организация общественных работ - трудоустроены 387 человек;</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организация временного трудоустройства работников организаций, находящихся под риском увольнения </w:t>
      </w:r>
      <w:r>
        <w:rPr>
          <w:rFonts w:ascii="PT Astra Serif" w:hAnsi="PT Astra Serif"/>
          <w:sz w:val="24"/>
          <w:szCs w:val="24"/>
        </w:rPr>
        <w:t xml:space="preserve">-</w:t>
      </w:r>
      <w:r>
        <w:rPr>
          <w:rFonts w:ascii="PT Astra Serif" w:hAnsi="PT Astra Serif"/>
          <w:sz w:val="24"/>
          <w:szCs w:val="24"/>
        </w:rPr>
        <w:t xml:space="preserve"> трудоустроено 24 человека;</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организация профессионального обучения и дополнительного профессионального образова</w:t>
      </w:r>
      <w:r>
        <w:rPr>
          <w:rFonts w:ascii="PT Astra Serif" w:hAnsi="PT Astra Serif"/>
          <w:sz w:val="24"/>
          <w:szCs w:val="24"/>
        </w:rPr>
        <w:t xml:space="preserve">ния работников предприятий ОПК, д</w:t>
      </w:r>
      <w:r>
        <w:rPr>
          <w:rFonts w:ascii="PT Astra Serif" w:hAnsi="PT Astra Serif"/>
          <w:sz w:val="24"/>
          <w:szCs w:val="24"/>
        </w:rPr>
        <w:t xml:space="preserve">ля 3</w:t>
      </w:r>
      <w:r>
        <w:rPr>
          <w:rFonts w:ascii="PT Astra Serif" w:hAnsi="PT Astra Serif"/>
          <w:sz w:val="24"/>
          <w:szCs w:val="24"/>
        </w:rPr>
        <w:t xml:space="preserve"> предприятий ОПК обучено 113 работников.</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В рамках оказания содействия добровольному переселению в Российскую Федерацию соотечественников, проживающих за рубежом</w:t>
      </w:r>
      <w:r>
        <w:rPr>
          <w:rFonts w:ascii="PT Astra Serif" w:hAnsi="PT Astra Serif" w:eastAsia="Calibri"/>
          <w:sz w:val="24"/>
          <w:szCs w:val="24"/>
        </w:rPr>
        <w:t xml:space="preserve">,</w:t>
      </w:r>
      <w:r>
        <w:rPr>
          <w:rFonts w:ascii="PT Astra Serif" w:hAnsi="PT Astra Serif" w:eastAsia="Calibri"/>
          <w:sz w:val="24"/>
          <w:szCs w:val="24"/>
        </w:rPr>
        <w:t xml:space="preserve"> в 2023 году рассмотрено 54 </w:t>
      </w:r>
      <w:r>
        <w:rPr>
          <w:rFonts w:ascii="PT Astra Serif" w:hAnsi="PT Astra Serif" w:eastAsia="Calibri"/>
          <w:sz w:val="24"/>
          <w:szCs w:val="24"/>
        </w:rPr>
        <w:t xml:space="preserve"> з</w:t>
      </w:r>
      <w:r>
        <w:rPr>
          <w:rFonts w:ascii="PT Astra Serif" w:hAnsi="PT Astra Serif" w:eastAsia="Calibri"/>
          <w:sz w:val="24"/>
          <w:szCs w:val="24"/>
        </w:rPr>
        <w:t xml:space="preserve">аявления (2022 год </w:t>
      </w:r>
      <w:r>
        <w:rPr>
          <w:rFonts w:ascii="PT Astra Serif" w:hAnsi="PT Astra Serif" w:eastAsia="Calibri"/>
          <w:sz w:val="24"/>
          <w:szCs w:val="24"/>
        </w:rPr>
        <w:t xml:space="preserve">– </w:t>
      </w:r>
      <w:r>
        <w:rPr>
          <w:rFonts w:ascii="PT Astra Serif" w:hAnsi="PT Astra Serif" w:eastAsia="Calibri"/>
          <w:sz w:val="24"/>
          <w:szCs w:val="24"/>
        </w:rPr>
        <w:t xml:space="preserve">165 заявлений), получили свидетельство участника и переселились на территорию Томской области 40 соотечественников (2022 год </w:t>
      </w:r>
      <w:r>
        <w:rPr>
          <w:rFonts w:ascii="PT Astra Serif" w:hAnsi="PT Astra Serif" w:eastAsia="Calibri"/>
          <w:sz w:val="24"/>
          <w:szCs w:val="24"/>
        </w:rPr>
        <w:t xml:space="preserve">– </w:t>
      </w:r>
      <w:r>
        <w:rPr>
          <w:rFonts w:ascii="PT Astra Serif" w:hAnsi="PT Astra Serif" w:eastAsia="Calibri"/>
          <w:sz w:val="24"/>
          <w:szCs w:val="24"/>
        </w:rPr>
        <w:t xml:space="preserve">117 </w:t>
      </w:r>
      <w:r>
        <w:rPr>
          <w:rFonts w:ascii="PT Astra Serif" w:hAnsi="PT Astra Serif" w:eastAsia="Calibri"/>
          <w:sz w:val="24"/>
          <w:szCs w:val="24"/>
        </w:rPr>
        <w:t xml:space="preserve">человек) </w:t>
      </w:r>
      <w:r>
        <w:rPr>
          <w:rFonts w:ascii="PT Astra Serif" w:hAnsi="PT Astra Serif" w:eastAsia="Calibri"/>
          <w:sz w:val="24"/>
          <w:szCs w:val="24"/>
        </w:rPr>
        <w:t xml:space="preserve">и 41 член их семьи (2022 год – 100 членов семьи).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Times New Roman"/>
          <w:sz w:val="24"/>
          <w:szCs w:val="24"/>
          <w:lang w:eastAsia="ru-RU"/>
        </w:rPr>
        <w:t xml:space="preserve">Одним из направлений развития рынка труда Томской области является проектная деятельность. </w:t>
      </w:r>
      <w:r>
        <w:rPr>
          <w:rFonts w:ascii="PT Astra Serif" w:hAnsi="PT Astra Serif"/>
          <w:sz w:val="24"/>
          <w:szCs w:val="24"/>
        </w:rPr>
        <w:t xml:space="preserve">С 2022 года совместно с кадровым центром «Работа России» проводится конкурс «Стартап как диплом», направл</w:t>
      </w:r>
      <w:r>
        <w:rPr>
          <w:rFonts w:ascii="PT Astra Serif" w:hAnsi="PT Astra Serif"/>
          <w:sz w:val="24"/>
          <w:szCs w:val="24"/>
        </w:rPr>
        <w:t xml:space="preserve">енный на поддержку молодого бизнеса и вовлечение студентов еще на этапе учебы в сферу технологического предпринимательства. В 2023 году победителями конкурса стали 7 выпускников НИ ТПУ и ТГАСУ, получившие по 100 тыс. рублей на реализацию своей инициативы.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Получили развитие профориентационные проекты:</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в сфере информационных технологий </w:t>
      </w:r>
      <w:r>
        <w:rPr>
          <w:rFonts w:ascii="PT Astra Serif" w:hAnsi="PT Astra Serif" w:eastAsia="Calibri"/>
          <w:sz w:val="24"/>
          <w:szCs w:val="24"/>
        </w:rPr>
        <w:t xml:space="preserve">–</w:t>
      </w:r>
      <w:r>
        <w:rPr>
          <w:rFonts w:ascii="PT Astra Serif" w:hAnsi="PT Astra Serif"/>
          <w:sz w:val="24"/>
          <w:szCs w:val="24"/>
        </w:rPr>
        <w:t xml:space="preserve"> проект «IT-start»: знакомство школьников с лучшими носителями компетенций сферы информационных технологий. В н</w:t>
      </w:r>
      <w:r>
        <w:rPr>
          <w:rFonts w:ascii="PT Astra Serif" w:hAnsi="PT Astra Serif"/>
          <w:sz w:val="24"/>
          <w:szCs w:val="24"/>
        </w:rPr>
        <w:t xml:space="preserve">е</w:t>
      </w:r>
      <w:r>
        <w:rPr>
          <w:rFonts w:ascii="PT Astra Serif" w:hAnsi="PT Astra Serif"/>
          <w:sz w:val="24"/>
          <w:szCs w:val="24"/>
        </w:rPr>
        <w:t xml:space="preserve">м принимает участие 21 школа города Томска и Томского района (400 учащихся) и 15 ИТ-компаний.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в сфере ле</w:t>
      </w:r>
      <w:r>
        <w:rPr>
          <w:rFonts w:ascii="PT Astra Serif" w:hAnsi="PT Astra Serif"/>
          <w:sz w:val="24"/>
          <w:szCs w:val="24"/>
        </w:rPr>
        <w:t xml:space="preserve">гкой промышленности </w:t>
      </w:r>
      <w:r>
        <w:rPr>
          <w:rFonts w:ascii="PT Astra Serif" w:hAnsi="PT Astra Serif" w:eastAsia="Calibri"/>
          <w:sz w:val="24"/>
          <w:szCs w:val="24"/>
        </w:rPr>
        <w:t xml:space="preserve">–</w:t>
      </w:r>
      <w:r>
        <w:rPr>
          <w:rFonts w:ascii="PT Astra Serif" w:hAnsi="PT Astra Serif"/>
          <w:sz w:val="24"/>
          <w:szCs w:val="24"/>
        </w:rPr>
        <w:t xml:space="preserve"> проект «На всю катушку» для комплексного решения проблемы притока молодых кадров в швейную отрасль, 390 школьников в 2022</w:t>
      </w:r>
      <w:r>
        <w:rPr>
          <w:rFonts w:ascii="PT Astra Serif" w:hAnsi="PT Astra Serif" w:eastAsia="Calibri"/>
          <w:sz w:val="24"/>
          <w:szCs w:val="24"/>
        </w:rPr>
        <w:t xml:space="preserve">–</w:t>
      </w:r>
      <w:r>
        <w:rPr>
          <w:rFonts w:ascii="PT Astra Serif" w:hAnsi="PT Astra Serif"/>
          <w:sz w:val="24"/>
          <w:szCs w:val="24"/>
        </w:rPr>
        <w:t xml:space="preserve">2023 году.</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на базе кадрового центра «Работа России» стартовала работа: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коммуникационной площадки для женщин «PrоДвиЖЕНие» для освоения тайм-менеджмента, разбора как совместить семью и работу, самореализации в бизнесе или превращения идеи в успешный проект;</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молодежного клуба единомышленников HR-комьюнити: прямая коммуникация студентов с руководством и HR-специалистами предприятий, получение предложений о практиках, стажировках и трудоустройстве, наращивание надпрофессиональных компетенций. </w:t>
      </w:r>
      <w:r>
        <w:rPr>
          <w:rFonts w:ascii="PT Astra Serif" w:hAnsi="PT Astra Serif"/>
          <w:sz w:val="24"/>
          <w:szCs w:val="24"/>
        </w:rPr>
        <w:t xml:space="preserve">В стартовом мероприятии молодежного клуба приняли участие компании </w:t>
      </w:r>
      <w:r>
        <w:rPr>
          <w:rFonts w:ascii="PT Astra Serif" w:hAnsi="PT Astra Serif"/>
          <w:sz w:val="24"/>
          <w:szCs w:val="24"/>
        </w:rPr>
        <w:t xml:space="preserve">МТС, ОЙЛТИМ, Хоум банк, Тинкофф, Сибкабель, НПЦ «Полюс», МТС банк, «Газпром газораспределение Томск», «Газпром ЦПС», Г</w:t>
      </w:r>
      <w:r>
        <w:rPr>
          <w:rFonts w:ascii="PT Astra Serif" w:hAnsi="PT Astra Serif"/>
          <w:sz w:val="24"/>
          <w:szCs w:val="24"/>
        </w:rPr>
        <w:t xml:space="preserve">К ЛАМА, Почта России и более 70 </w:t>
      </w:r>
      <w:r>
        <w:rPr>
          <w:rFonts w:ascii="PT Astra Serif" w:hAnsi="PT Astra Serif"/>
          <w:sz w:val="24"/>
          <w:szCs w:val="24"/>
        </w:rPr>
        <w:t xml:space="preserve">студентов томских вузов.</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п</w:t>
      </w:r>
      <w:r>
        <w:rPr>
          <w:rFonts w:ascii="PT Astra Serif" w:hAnsi="PT Astra Serif"/>
          <w:sz w:val="24"/>
          <w:szCs w:val="24"/>
        </w:rPr>
        <w:t xml:space="preserve">роведен карьерный форум «Труд крут», приуроченный к 60-летию движения студотрядов, в котором приняли участие ведущие предприятия нефтегазовой, химической, пищевой отраслей, а также сферы информационных технологий и обрабатывающей промышленности Томской обл</w:t>
      </w:r>
      <w:r>
        <w:rPr>
          <w:rFonts w:ascii="PT Astra Serif" w:hAnsi="PT Astra Serif"/>
          <w:sz w:val="24"/>
          <w:szCs w:val="24"/>
        </w:rPr>
        <w:t xml:space="preserve">асти. Форум посетило более 3000 </w:t>
      </w:r>
      <w:r>
        <w:rPr>
          <w:rFonts w:ascii="PT Astra Serif" w:hAnsi="PT Astra Serif"/>
          <w:sz w:val="24"/>
          <w:szCs w:val="24"/>
        </w:rPr>
        <w:t xml:space="preserve">молодых людей из шести томских вузов.</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рамках направления «Развити</w:t>
      </w:r>
      <w:r>
        <w:rPr>
          <w:rFonts w:ascii="PT Astra Serif" w:hAnsi="PT Astra Serif"/>
          <w:sz w:val="24"/>
          <w:szCs w:val="24"/>
        </w:rPr>
        <w:t xml:space="preserve">е</w:t>
      </w:r>
      <w:r>
        <w:rPr>
          <w:rFonts w:ascii="PT Astra Serif" w:hAnsi="PT Astra Serif"/>
          <w:sz w:val="24"/>
          <w:szCs w:val="24"/>
        </w:rPr>
        <w:t xml:space="preserve"> социального партнерства, улучшение условий и охраны труда» в 2023 году: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проведено 50 мероприятий по охране труда, более 3000 участников (в 2022 году </w:t>
      </w:r>
      <w:r>
        <w:rPr>
          <w:rFonts w:ascii="PT Astra Serif" w:hAnsi="PT Astra Serif" w:eastAsia="Calibri"/>
          <w:sz w:val="24"/>
          <w:szCs w:val="24"/>
        </w:rPr>
        <w:t xml:space="preserve">–</w:t>
      </w:r>
      <w:r>
        <w:rPr>
          <w:rFonts w:ascii="PT Astra Serif" w:hAnsi="PT Astra Serif"/>
          <w:sz w:val="24"/>
          <w:szCs w:val="24"/>
        </w:rPr>
        <w:t xml:space="preserve"> 2500 человек);</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trike/>
          <w:sz w:val="24"/>
          <w:szCs w:val="24"/>
        </w:rPr>
      </w:pPr>
      <w:r>
        <w:rPr>
          <w:rFonts w:ascii="PT Astra Serif" w:hAnsi="PT Astra Serif" w:eastAsia="Calibri"/>
          <w:sz w:val="24"/>
          <w:szCs w:val="24"/>
        </w:rPr>
        <w:t xml:space="preserve">–</w:t>
      </w:r>
      <w:r>
        <w:rPr>
          <w:rFonts w:ascii="PT Astra Serif" w:hAnsi="PT Astra Serif"/>
          <w:sz w:val="24"/>
          <w:szCs w:val="24"/>
        </w:rPr>
        <w:t xml:space="preserve"> организованы и проведены 3 областных конкурса по охране труда;</w:t>
      </w:r>
      <w:r>
        <w:rPr>
          <w:rFonts w:ascii="PT Astra Serif" w:hAnsi="PT Astra Serif"/>
          <w:strike/>
          <w:sz w:val="24"/>
          <w:szCs w:val="24"/>
        </w:rPr>
      </w:r>
      <w:r>
        <w:rPr>
          <w:rFonts w:ascii="PT Astra Serif" w:hAnsi="PT Astra Serif"/>
          <w:strike/>
          <w:sz w:val="24"/>
          <w:szCs w:val="24"/>
        </w:rPr>
      </w:r>
    </w:p>
    <w:p>
      <w:pPr>
        <w:ind w:firstLine="709"/>
        <w:jc w:val="both"/>
        <w:spacing w:after="0" w:line="240" w:lineRule="auto"/>
        <w:rPr>
          <w:rFonts w:ascii="PT Astra Serif" w:hAnsi="PT Astra Serif"/>
          <w:strike/>
          <w:sz w:val="24"/>
          <w:szCs w:val="24"/>
        </w:rPr>
      </w:pPr>
      <w:r>
        <w:rPr>
          <w:rFonts w:ascii="PT Astra Serif" w:hAnsi="PT Astra Serif" w:eastAsia="Calibri"/>
          <w:sz w:val="24"/>
          <w:szCs w:val="24"/>
        </w:rPr>
        <w:t xml:space="preserve">–</w:t>
      </w:r>
      <w:r>
        <w:rPr>
          <w:rFonts w:ascii="PT Astra Serif" w:hAnsi="PT Astra Serif"/>
          <w:sz w:val="24"/>
          <w:szCs w:val="24"/>
        </w:rPr>
        <w:t xml:space="preserve"> заключено тр</w:t>
      </w:r>
      <w:r>
        <w:rPr>
          <w:rFonts w:ascii="PT Astra Serif" w:hAnsi="PT Astra Serif"/>
          <w:sz w:val="24"/>
          <w:szCs w:val="24"/>
        </w:rPr>
        <w:t xml:space="preserve">е</w:t>
      </w:r>
      <w:r>
        <w:rPr>
          <w:rFonts w:ascii="PT Astra Serif" w:hAnsi="PT Astra Serif"/>
          <w:sz w:val="24"/>
          <w:szCs w:val="24"/>
        </w:rPr>
        <w:t xml:space="preserve">хстороннее Региональное соглашение о минимальной заработной плате в Томской области на 2023 год, уровень минимальной заработной платы в регионе с </w:t>
      </w:r>
      <w:r>
        <w:rPr>
          <w:rFonts w:ascii="PT Astra Serif" w:hAnsi="PT Astra Serif"/>
          <w:sz w:val="24"/>
          <w:szCs w:val="24"/>
        </w:rPr>
        <w:t xml:space="preserve">01.01.2023 составил 16 242 рубля.</w:t>
      </w:r>
      <w:r>
        <w:rPr>
          <w:rFonts w:ascii="PT Astra Serif" w:hAnsi="PT Astra Serif"/>
          <w:strike/>
          <w:sz w:val="24"/>
          <w:szCs w:val="24"/>
        </w:rPr>
        <w:t xml:space="preserve"> </w:t>
      </w:r>
      <w:r>
        <w:rPr>
          <w:rFonts w:ascii="PT Astra Serif" w:hAnsi="PT Astra Serif"/>
          <w:strike/>
          <w:sz w:val="24"/>
          <w:szCs w:val="24"/>
        </w:rPr>
      </w:r>
      <w:r>
        <w:rPr>
          <w:rFonts w:ascii="PT Astra Serif" w:hAnsi="PT Astra Serif"/>
          <w:strike/>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tabs>
          <w:tab w:val="left" w:pos="4962" w:leader="none"/>
        </w:tabs>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1. Развитие цифровых сервисов, проведение оперативного мониторинга состояния рынка труда в целях обеспечения занятости населения; достижени</w:t>
      </w:r>
      <w:r>
        <w:rPr>
          <w:rFonts w:ascii="PT Astra Serif" w:hAnsi="PT Astra Serif" w:eastAsiaTheme="minorEastAsia"/>
          <w:sz w:val="24"/>
          <w:szCs w:val="24"/>
          <w:lang w:eastAsia="ru-RU"/>
        </w:rPr>
        <w:t xml:space="preserve">е</w:t>
      </w:r>
      <w:r>
        <w:rPr>
          <w:rFonts w:ascii="PT Astra Serif" w:hAnsi="PT Astra Serif" w:eastAsiaTheme="minorEastAsia"/>
          <w:sz w:val="24"/>
          <w:szCs w:val="24"/>
          <w:lang w:eastAsia="ru-RU"/>
        </w:rPr>
        <w:t xml:space="preserve"> уровня безработицы по методологии МОТ (общей безработицы) </w:t>
      </w:r>
      <w:r>
        <w:rPr>
          <w:rFonts w:ascii="PT Astra Serif" w:hAnsi="PT Astra Serif" w:eastAsiaTheme="minorEastAsia"/>
          <w:sz w:val="24"/>
          <w:szCs w:val="24"/>
          <w:lang w:eastAsia="ru-RU"/>
        </w:rPr>
        <w:t xml:space="preserve">не более </w:t>
      </w:r>
      <w:r>
        <w:rPr>
          <w:rFonts w:ascii="PT Astra Serif" w:hAnsi="PT Astra Serif" w:eastAsiaTheme="minorEastAsia"/>
          <w:sz w:val="24"/>
          <w:szCs w:val="24"/>
          <w:lang w:eastAsia="ru-RU"/>
        </w:rPr>
        <w:t xml:space="preserve">4,0%.</w:t>
      </w:r>
      <w:r>
        <w:rPr>
          <w:rFonts w:ascii="PT Astra Serif" w:hAnsi="PT Astra Serif" w:eastAsiaTheme="minorEastAsia"/>
          <w:sz w:val="24"/>
          <w:szCs w:val="24"/>
          <w:lang w:eastAsia="ru-RU"/>
        </w:rPr>
      </w:r>
      <w:r>
        <w:rPr>
          <w:rFonts w:ascii="PT Astra Serif" w:hAnsi="PT Astra Serif" w:eastAsiaTheme="minorEastAsia"/>
          <w:sz w:val="24"/>
          <w:szCs w:val="24"/>
          <w:lang w:eastAsia="ru-RU"/>
        </w:rPr>
      </w:r>
    </w:p>
    <w:p>
      <w:pPr>
        <w:ind w:firstLine="709"/>
        <w:jc w:val="both"/>
        <w:spacing w:after="0" w:line="240" w:lineRule="auto"/>
        <w:tabs>
          <w:tab w:val="left" w:pos="4962" w:leader="none"/>
        </w:tabs>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2. Повышение карьерной и трудовой грамотности. Оказание содействия в переобучении и переквалификации отдельных категорий граждан.</w:t>
      </w:r>
      <w:r>
        <w:rPr>
          <w:rFonts w:ascii="PT Astra Serif" w:hAnsi="PT Astra Serif" w:eastAsiaTheme="minorEastAsia"/>
          <w:sz w:val="24"/>
          <w:szCs w:val="24"/>
          <w:lang w:eastAsia="ru-RU"/>
        </w:rPr>
      </w:r>
      <w:r>
        <w:rPr>
          <w:rFonts w:ascii="PT Astra Serif" w:hAnsi="PT Astra Serif" w:eastAsiaTheme="minorEastAsia"/>
          <w:sz w:val="24"/>
          <w:szCs w:val="24"/>
          <w:lang w:eastAsia="ru-RU"/>
        </w:rPr>
      </w:r>
    </w:p>
    <w:p>
      <w:pPr>
        <w:ind w:firstLine="709"/>
        <w:jc w:val="both"/>
        <w:spacing w:after="0" w:line="240" w:lineRule="auto"/>
        <w:tabs>
          <w:tab w:val="left" w:pos="4962" w:leader="none"/>
        </w:tabs>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3. Системная работа над улучшением условий охраны труда в регионе, развитие инфраструктуры распространения знаний в области охраны труда.</w:t>
      </w:r>
      <w:r>
        <w:rPr>
          <w:rFonts w:ascii="PT Astra Serif" w:hAnsi="PT Astra Serif" w:eastAsiaTheme="minorEastAsia"/>
          <w:sz w:val="24"/>
          <w:szCs w:val="24"/>
          <w:lang w:eastAsia="ru-RU"/>
        </w:rPr>
      </w:r>
      <w:r>
        <w:rPr>
          <w:rFonts w:ascii="PT Astra Serif" w:hAnsi="PT Astra Serif" w:eastAsiaTheme="minorEastAsia"/>
          <w:sz w:val="24"/>
          <w:szCs w:val="24"/>
          <w:lang w:eastAsia="ru-RU"/>
        </w:rPr>
      </w:r>
    </w:p>
    <w:p>
      <w:pPr>
        <w:ind w:firstLine="709"/>
        <w:jc w:val="both"/>
        <w:spacing w:after="0" w:line="240" w:lineRule="auto"/>
        <w:tabs>
          <w:tab w:val="left" w:pos="4962" w:leader="none"/>
        </w:tabs>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4. Обеспечение потребности в кадрах предприятий ОПК. </w:t>
      </w:r>
      <w:r>
        <w:rPr>
          <w:rFonts w:ascii="PT Astra Serif" w:hAnsi="PT Astra Serif" w:eastAsiaTheme="minorEastAsia"/>
          <w:sz w:val="24"/>
          <w:szCs w:val="24"/>
          <w:lang w:eastAsia="ru-RU"/>
        </w:rPr>
      </w:r>
      <w:r>
        <w:rPr>
          <w:rFonts w:ascii="PT Astra Serif" w:hAnsi="PT Astra Serif" w:eastAsiaTheme="minorEastAsia"/>
          <w:sz w:val="24"/>
          <w:szCs w:val="24"/>
          <w:lang w:eastAsia="ru-RU"/>
        </w:rPr>
      </w:r>
    </w:p>
    <w:p>
      <w:pPr>
        <w:ind w:firstLine="709"/>
        <w:jc w:val="both"/>
        <w:spacing w:after="0" w:line="240" w:lineRule="auto"/>
        <w:tabs>
          <w:tab w:val="left" w:pos="4962" w:leader="none"/>
        </w:tabs>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5. Создание условий для профессиональной самореализации подростков.</w:t>
      </w:r>
      <w:r>
        <w:rPr>
          <w:rFonts w:ascii="PT Astra Serif" w:hAnsi="PT Astra Serif" w:eastAsiaTheme="minorEastAsia"/>
          <w:sz w:val="24"/>
          <w:szCs w:val="24"/>
          <w:lang w:eastAsia="ru-RU"/>
        </w:rPr>
      </w:r>
      <w:r>
        <w:rPr>
          <w:rFonts w:ascii="PT Astra Serif" w:hAnsi="PT Astra Serif" w:eastAsiaTheme="minorEastAsia"/>
          <w:sz w:val="24"/>
          <w:szCs w:val="24"/>
          <w:lang w:eastAsia="ru-RU"/>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46"/>
        <w:outlineLvl w:val="1"/>
      </w:pPr>
      <w:r/>
      <w:bookmarkStart w:id="19" w:name="_Toc134630409"/>
      <w:r>
        <w:t xml:space="preserve">3.7. Повышение качества, актуальности и доступности услуг в сфере культуры</w:t>
      </w:r>
      <w:bookmarkEnd w:id="19"/>
      <w:r/>
      <w:r/>
    </w:p>
    <w:p>
      <w:pPr>
        <w:ind w:firstLine="709"/>
        <w:jc w:val="both"/>
        <w:spacing w:after="0" w:line="240" w:lineRule="auto"/>
        <w:tabs>
          <w:tab w:val="left" w:pos="4962" w:leader="none"/>
        </w:tabs>
        <w:rPr>
          <w:rFonts w:ascii="PT Astra Serif" w:hAnsi="PT Astra Serif" w:eastAsia="Times New Roman"/>
          <w:b/>
          <w:sz w:val="24"/>
          <w:szCs w:val="24"/>
        </w:rPr>
      </w:pPr>
      <w:r>
        <w:rPr>
          <w:rFonts w:ascii="PT Astra Serif" w:hAnsi="PT Astra Serif" w:eastAsia="Times New Roman"/>
          <w:b/>
          <w:sz w:val="24"/>
          <w:szCs w:val="24"/>
        </w:rPr>
      </w:r>
      <w:r>
        <w:rPr>
          <w:rFonts w:ascii="PT Astra Serif" w:hAnsi="PT Astra Serif" w:eastAsia="Times New Roman"/>
          <w:b/>
          <w:sz w:val="24"/>
          <w:szCs w:val="24"/>
        </w:rPr>
      </w:r>
      <w:r>
        <w:rPr>
          <w:rFonts w:ascii="PT Astra Serif" w:hAnsi="PT Astra Serif" w:eastAsia="Times New Roman"/>
          <w:b/>
          <w:sz w:val="24"/>
          <w:szCs w:val="24"/>
        </w:rPr>
      </w:r>
    </w:p>
    <w:p>
      <w:pPr>
        <w:jc w:val="both"/>
        <w:spacing w:after="0" w:line="240" w:lineRule="auto"/>
        <w:shd w:val="clear" w:color="auto" w:fill="eaf1dd" w:themeFill="accent3" w:themeFillTint="33"/>
        <w:rPr>
          <w:rFonts w:ascii="PT Astra Serif" w:hAnsi="PT Astra Serif"/>
          <w:b/>
          <w:sz w:val="24"/>
          <w:szCs w:val="24"/>
        </w:rPr>
      </w:pPr>
      <w:r>
        <w:rPr>
          <w:rFonts w:ascii="PT Astra Serif" w:hAnsi="PT Astra Serif"/>
          <w:b/>
          <w:sz w:val="24"/>
          <w:szCs w:val="24"/>
        </w:rPr>
        <w:t xml:space="preserve">Культура и архивное дело</w:t>
      </w:r>
      <w:r>
        <w:rPr>
          <w:rStyle w:val="1138"/>
          <w:b/>
        </w:rPr>
        <w:footnoteReference w:id="8"/>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Основной целью региональной политики в области культуры является обеспечение общедоступности культурной деятельности и культурных ценностей для граждан. Результатом развития отрасли является неуклонный рост посещаемости учреждений культуры, </w:t>
      </w:r>
      <w:r>
        <w:rPr>
          <w:rFonts w:ascii="PT Astra Serif" w:hAnsi="PT Astra Serif" w:eastAsia="PT Astra Serif" w:cs="PT Astra Serif"/>
          <w:sz w:val="24"/>
          <w:szCs w:val="24"/>
        </w:rPr>
        <w:t xml:space="preserve">в 2023 году данный показатель составил </w:t>
      </w:r>
      <w:r>
        <w:rPr>
          <w:rFonts w:ascii="PT Astra Serif" w:hAnsi="PT Astra Serif"/>
          <w:sz w:val="24"/>
          <w:szCs w:val="24"/>
        </w:rPr>
        <w:t xml:space="preserve">16 312,06 тыс. человек </w:t>
      </w:r>
      <w:r>
        <w:rPr>
          <w:rFonts w:ascii="PT Astra Serif" w:hAnsi="PT Astra Serif" w:eastAsia="PT Astra Serif" w:cs="PT Astra Serif"/>
          <w:sz w:val="24"/>
          <w:szCs w:val="24"/>
        </w:rPr>
        <w:t xml:space="preserve">(рост по сравнению с 2022 годом на 20,1%)</w:t>
      </w:r>
      <w:r>
        <w:rPr>
          <w:rFonts w:ascii="PT Astra Serif" w:hAnsi="PT Astra Serif" w:eastAsia="Calibri"/>
          <w:sz w:val="24"/>
          <w:szCs w:val="24"/>
        </w:rPr>
        <w:t xml:space="preserve">, в том числе реализация национального проекта «Культура».</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По региональному проекту «Культурная среда»:</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создано 7 модельных библиотек, (с. Подгорное, с. Комсомольск (п. Берегаево, с. Назино, с. Пудовка, д. Крутоложное и с. Нарым);</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завершен капитальный ремонт ОГАУК «Томский областной театр юного зрителя», дома культуры с. Нарым; </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проведен капитальный ремонт 2 детских школ искусст</w:t>
      </w:r>
      <w:r>
        <w:rPr>
          <w:rFonts w:ascii="PT Astra Serif" w:hAnsi="PT Astra Serif" w:eastAsia="PT Astra Serif" w:cs="PT Astra Serif"/>
          <w:sz w:val="24"/>
          <w:szCs w:val="24"/>
        </w:rPr>
        <w:t xml:space="preserve">в в г. Асино, </w:t>
      </w:r>
      <w:r>
        <w:rPr>
          <w:rFonts w:ascii="PT Astra Serif" w:hAnsi="PT Astra Serif" w:eastAsia="PT Astra Serif" w:cs="PT Astra Serif"/>
          <w:sz w:val="24"/>
          <w:szCs w:val="24"/>
        </w:rPr>
        <w:t xml:space="preserve">с. </w:t>
      </w:r>
      <w:r>
        <w:rPr>
          <w:rFonts w:ascii="PT Astra Serif" w:hAnsi="PT Astra Serif" w:eastAsia="PT Astra Serif" w:cs="PT Astra Serif"/>
          <w:sz w:val="24"/>
          <w:szCs w:val="24"/>
        </w:rPr>
        <w:t xml:space="preserve">Первомайское;</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продолжается проведение ремонта детской школы искусств в п. Самусь, ОГАУК Томский областной театр куклы и актера «Скоморох» имени Романа Виндермана (ОГАУК ТОТК и А «Скоморох» им. Р. Виндермана) и </w:t>
      </w:r>
      <w:r>
        <w:rPr>
          <w:rFonts w:ascii="PT Astra Serif" w:hAnsi="PT Astra Serif" w:eastAsia="PT Astra Serif" w:cs="PT Astra Serif"/>
          <w:sz w:val="24"/>
          <w:szCs w:val="24"/>
        </w:rPr>
        <w:t xml:space="preserve">музея г. </w:t>
      </w:r>
      <w:r>
        <w:rPr>
          <w:rFonts w:ascii="PT Astra Serif" w:hAnsi="PT Astra Serif" w:eastAsia="PT Astra Serif" w:cs="PT Astra Serif"/>
          <w:sz w:val="24"/>
          <w:szCs w:val="24"/>
        </w:rPr>
        <w:t xml:space="preserve">Северска (завершение работ планируется в 2024 году);</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завершено техническое оснащение ОГАУК «Театр драмы», МАУ «Музей истории Томска» и МБУК «Зырянский краеведческий музей», ОГАУК «Томский областной краеведческий музей им. М.Б. Шатилова»</w:t>
      </w: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приобретены многофункциональные культурные центры (автоклубы) в Асиновский, Колпашевский, Первомайский, Томский районы.</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По региональному проекту «Творческие люди»:</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оказана государственная поддержка 8 лучшим сельским учреждениям культуры и 8 лучшим работникам сельских учреждений культуры;</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 проведен XI Губернаторский фестиваль народного творчества </w:t>
      </w:r>
      <w:r>
        <w:rPr>
          <w:rFonts w:ascii="PT Astra Serif" w:hAnsi="PT Astra Serif"/>
          <w:sz w:val="24"/>
          <w:szCs w:val="24"/>
        </w:rPr>
        <w:t xml:space="preserve">с вручением премий лучшим творческим коллективам</w:t>
      </w: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 продолжается </w:t>
      </w:r>
      <w:r>
        <w:rPr>
          <w:rFonts w:ascii="PT Astra Serif" w:hAnsi="PT Astra Serif"/>
          <w:sz w:val="24"/>
          <w:szCs w:val="24"/>
        </w:rPr>
        <w:t xml:space="preserve">регистрация волонтеров культуры в единой информационной системе в сфере развития добровольчества (волонтерства) «Добро.ру» </w:t>
      </w:r>
      <w:r>
        <w:rPr>
          <w:rFonts w:ascii="PT Astra Serif" w:hAnsi="PT Astra Serif" w:eastAsia="PT Astra Serif" w:cs="PT Astra Serif"/>
          <w:sz w:val="24"/>
          <w:szCs w:val="24"/>
        </w:rPr>
        <w:t xml:space="preserve">в рамках проекта «Волонтеры культуры». Общее число зарегистрированных волонтеров на 01.01.2024 составило 3 363 человек </w:t>
      </w:r>
      <w:r>
        <w:rPr>
          <w:rFonts w:ascii="PT Astra Serif" w:hAnsi="PT Astra Serif"/>
          <w:sz w:val="24"/>
          <w:szCs w:val="24"/>
        </w:rPr>
        <w:t xml:space="preserve">(121% от планового значения – 2 779 человек)</w:t>
      </w: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283 специалиста отрасли культуры прошли обучение на базе центров непрерывного образования, сформированных Минкультуры России.</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рамках федерального проекта «Культура малой Родины» Всероссийской политической партии «ЕДИНАЯ РОССИЯ» укреплена материально-техническая база домов культуры и театров: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w:t>
      </w:r>
      <w:r>
        <w:rPr>
          <w:rFonts w:ascii="PT Astra Serif" w:hAnsi="PT Astra Serif"/>
          <w:sz w:val="24"/>
          <w:szCs w:val="24"/>
        </w:rPr>
        <w:t xml:space="preserve"> проект «Местный дом культуры» </w:t>
      </w:r>
      <w:r>
        <w:rPr>
          <w:rFonts w:ascii="PT Astra Serif" w:hAnsi="PT Astra Serif" w:eastAsia="PT Astra Serif" w:cs="PT Astra Serif"/>
          <w:sz w:val="24"/>
          <w:szCs w:val="24"/>
        </w:rPr>
        <w:t xml:space="preserve">–</w:t>
      </w:r>
      <w:r>
        <w:rPr>
          <w:rFonts w:ascii="PT Astra Serif" w:hAnsi="PT Astra Serif"/>
          <w:sz w:val="24"/>
          <w:szCs w:val="24"/>
        </w:rPr>
        <w:t xml:space="preserve"> новое оборудование поступило в 16 домов культуры</w:t>
      </w:r>
      <w:r>
        <w:rPr>
          <w:rFonts w:ascii="PT Astra Serif" w:hAnsi="PT Astra Serif" w:eastAsia="PT Astra Serif" w:cs="PT Astra Serif"/>
          <w:sz w:val="24"/>
          <w:szCs w:val="24"/>
        </w:rPr>
        <w:t xml:space="preserve">, расположенных в 8 муниципальных образованиях: Верхнекетский, Зырянский, Молчановский, Тегульдетский, Шегарский районы, г.о. Кедровый, Стрежевой и г. Томск;</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PT Astra Serif" w:cs="PT Astra Serif"/>
          <w:sz w:val="24"/>
          <w:szCs w:val="24"/>
        </w:rPr>
        <w:t xml:space="preserve">– </w:t>
      </w:r>
      <w:r>
        <w:rPr>
          <w:rFonts w:ascii="PT Astra Serif" w:hAnsi="PT Astra Serif"/>
          <w:sz w:val="24"/>
          <w:szCs w:val="24"/>
        </w:rPr>
        <w:t xml:space="preserve">проект «Театры детям»</w:t>
      </w:r>
      <w:r>
        <w:rPr>
          <w:rFonts w:ascii="PT Astra Serif" w:hAnsi="PT Astra Serif" w:eastAsia="PT Astra Serif" w:cs="PT Astra Serif"/>
          <w:sz w:val="24"/>
          <w:szCs w:val="24"/>
        </w:rPr>
        <w:t xml:space="preserve"> –</w:t>
      </w:r>
      <w:r>
        <w:rPr>
          <w:rFonts w:ascii="PT Astra Serif" w:hAnsi="PT Astra Serif"/>
          <w:sz w:val="24"/>
          <w:szCs w:val="24"/>
        </w:rPr>
        <w:t xml:space="preserve"> специализированное оборудование получили 3 театра (</w:t>
      </w:r>
      <w:r>
        <w:rPr>
          <w:rFonts w:ascii="PT Astra Serif" w:hAnsi="PT Astra Serif" w:eastAsia="PT Astra Serif" w:cs="PT Astra Serif"/>
          <w:sz w:val="24"/>
          <w:szCs w:val="24"/>
        </w:rPr>
        <w:t xml:space="preserve">ОГАУК ТОТК и А «Скоморох» им. Р. Виндермана</w:t>
      </w:r>
      <w:r>
        <w:rPr>
          <w:rFonts w:ascii="PT Astra Serif" w:hAnsi="PT Astra Serif"/>
          <w:sz w:val="24"/>
          <w:szCs w:val="24"/>
        </w:rPr>
        <w:t xml:space="preserve">», ОГАУК «Томский областной театр юного зрителя», МБУ «Северский театр для детей и юношества»), состоялись 6 новых постановок;</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trike/>
          <w:sz w:val="24"/>
          <w:szCs w:val="24"/>
        </w:rPr>
      </w:pPr>
      <w:r>
        <w:rPr>
          <w:rFonts w:ascii="PT Astra Serif" w:hAnsi="PT Astra Serif" w:eastAsia="PT Astra Serif" w:cs="PT Astra Serif"/>
          <w:sz w:val="24"/>
          <w:szCs w:val="24"/>
        </w:rPr>
        <w:t xml:space="preserve">– </w:t>
      </w:r>
      <w:r>
        <w:rPr>
          <w:rFonts w:ascii="PT Astra Serif" w:hAnsi="PT Astra Serif"/>
          <w:sz w:val="24"/>
          <w:szCs w:val="24"/>
        </w:rPr>
        <w:t xml:space="preserve">проект «Театры малых городов» </w:t>
      </w:r>
      <w:r>
        <w:rPr>
          <w:rFonts w:ascii="PT Astra Serif" w:hAnsi="PT Astra Serif" w:eastAsia="PT Astra Serif" w:cs="PT Astra Serif"/>
          <w:sz w:val="24"/>
          <w:szCs w:val="24"/>
        </w:rPr>
        <w:t xml:space="preserve">–</w:t>
      </w:r>
      <w:r>
        <w:rPr>
          <w:rFonts w:ascii="PT Astra Serif" w:hAnsi="PT Astra Serif"/>
          <w:sz w:val="24"/>
          <w:szCs w:val="24"/>
        </w:rPr>
        <w:t xml:space="preserve"> в театрах ЗАТО Северск: МБУ «Северский музыкальный театр» и Молодежного театра «Наш мир» приобретено техническое оборудование (в том числе, световое и звуковое) и а</w:t>
      </w:r>
      <w:r>
        <w:rPr>
          <w:rFonts w:ascii="PT Astra Serif" w:hAnsi="PT Astra Serif"/>
          <w:sz w:val="24"/>
          <w:szCs w:val="24"/>
        </w:rPr>
        <w:t xml:space="preserve">втобус, состоялась постановка 6 </w:t>
      </w:r>
      <w:r>
        <w:rPr>
          <w:rFonts w:ascii="PT Astra Serif" w:hAnsi="PT Astra Serif"/>
          <w:sz w:val="24"/>
          <w:szCs w:val="24"/>
        </w:rPr>
        <w:t xml:space="preserve">спектаклей.</w:t>
      </w:r>
      <w:r>
        <w:rPr>
          <w:rFonts w:ascii="PT Astra Serif" w:hAnsi="PT Astra Serif"/>
          <w:strike/>
          <w:sz w:val="24"/>
          <w:szCs w:val="24"/>
        </w:rPr>
      </w:r>
      <w:r>
        <w:rPr>
          <w:rFonts w:ascii="PT Astra Serif" w:hAnsi="PT Astra Serif"/>
          <w:strike/>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рамках федерального проекта «Придумано в России»: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sz w:val="24"/>
          <w:szCs w:val="24"/>
        </w:rPr>
        <w:t xml:space="preserve">– по программе «Пушкинская карта</w:t>
      </w:r>
      <w:r>
        <w:rPr>
          <w:rFonts w:ascii="PT Astra Serif" w:hAnsi="PT Astra Serif" w:eastAsia="PT Astra Serif" w:cs="PT Astra Serif"/>
          <w:sz w:val="24"/>
          <w:szCs w:val="24"/>
        </w:rPr>
        <w:t xml:space="preserve"> принимали участие 130 учреждений культуры, которы</w:t>
      </w:r>
      <w:r>
        <w:rPr>
          <w:rFonts w:ascii="PT Astra Serif" w:hAnsi="PT Astra Serif" w:eastAsia="PT Astra Serif" w:cs="PT Astra Serif"/>
          <w:sz w:val="24"/>
          <w:szCs w:val="24"/>
        </w:rPr>
        <w:t xml:space="preserve">е в течение года провели 4 732 мероприятия, количество приобретенных билетов – 91 956 штук (рост по сравнению с 2022 годом на 24,2%), в 2022 году в реализации программы приняли участие 111 учреждений культуры, количество проданных билетов составило 74 019;</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PT Astra Serif" w:cs="PT Astra Serif"/>
          <w:sz w:val="24"/>
          <w:szCs w:val="24"/>
        </w:rPr>
        <w:t xml:space="preserve">– </w:t>
      </w:r>
      <w:r>
        <w:rPr>
          <w:rFonts w:ascii="PT Astra Serif" w:hAnsi="PT Astra Serif"/>
          <w:sz w:val="24"/>
          <w:szCs w:val="24"/>
        </w:rPr>
        <w:t xml:space="preserve">на базе </w:t>
      </w:r>
      <w:r>
        <w:rPr>
          <w:rFonts w:ascii="PT Astra Serif" w:hAnsi="PT Astra Serif" w:eastAsia="Calibri"/>
          <w:sz w:val="24"/>
          <w:szCs w:val="24"/>
        </w:rPr>
        <w:t xml:space="preserve">ОГАПОУ «Томский музыкальный колледж им. Э.В. Денисова» </w:t>
      </w:r>
      <w:r>
        <w:rPr>
          <w:rFonts w:ascii="PT Astra Serif" w:hAnsi="PT Astra Serif"/>
          <w:sz w:val="24"/>
          <w:szCs w:val="24"/>
        </w:rPr>
        <w:t xml:space="preserve">создана школа креативных индустрий, в которой функционируют 3 творческие студии;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bCs/>
          <w:sz w:val="24"/>
          <w:szCs w:val="24"/>
        </w:rPr>
      </w:pPr>
      <w:r>
        <w:rPr>
          <w:rFonts w:ascii="PT Astra Serif" w:hAnsi="PT Astra Serif"/>
          <w:sz w:val="24"/>
          <w:szCs w:val="24"/>
        </w:rPr>
        <w:t xml:space="preserve">– в реализации проекта по развитию точек концентрации талантов «Гений места» участвовали </w:t>
      </w:r>
      <w:r>
        <w:rPr>
          <w:rFonts w:ascii="PT Astra Serif" w:hAnsi="PT Astra Serif"/>
          <w:bCs/>
          <w:sz w:val="24"/>
          <w:szCs w:val="24"/>
        </w:rPr>
        <w:t xml:space="preserve">6 модельных библиотек Томской о</w:t>
      </w:r>
      <w:r>
        <w:rPr>
          <w:rFonts w:ascii="PT Astra Serif" w:hAnsi="PT Astra Serif"/>
          <w:bCs/>
          <w:sz w:val="24"/>
          <w:szCs w:val="24"/>
        </w:rPr>
        <w:t xml:space="preserve">бласти, где состоялось более 30 </w:t>
      </w:r>
      <w:r>
        <w:rPr>
          <w:rFonts w:ascii="PT Astra Serif" w:hAnsi="PT Astra Serif"/>
          <w:bCs/>
          <w:sz w:val="24"/>
          <w:szCs w:val="24"/>
        </w:rPr>
        <w:t xml:space="preserve">мероприятий по креативным направлениям (мастер-классы, выставки, беседы). </w:t>
      </w:r>
      <w:r>
        <w:rPr>
          <w:rFonts w:ascii="PT Astra Serif" w:hAnsi="PT Astra Serif"/>
          <w:bCs/>
          <w:sz w:val="24"/>
          <w:szCs w:val="24"/>
        </w:rPr>
      </w:r>
      <w:r>
        <w:rPr>
          <w:rFonts w:ascii="PT Astra Serif" w:hAnsi="PT Astra Serif"/>
          <w:bCs/>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bCs/>
          <w:sz w:val="24"/>
          <w:szCs w:val="24"/>
        </w:rPr>
        <w:t xml:space="preserve">Для жителей и гостей Томской области</w:t>
      </w:r>
      <w:r>
        <w:rPr>
          <w:rFonts w:ascii="PT Astra Serif" w:hAnsi="PT Astra Serif" w:eastAsia="PT Astra Serif" w:cs="PT Astra Serif"/>
          <w:sz w:val="24"/>
          <w:szCs w:val="24"/>
        </w:rPr>
        <w:t xml:space="preserve"> реализованы следующие крупные проекты (мероприятия):</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pStyle w:val="1152"/>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концерты Сводного детского хора Томской области;</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концерт симфонического оркестра Мариинского театра под управлением В.А. Гергиева в рамках Московского пасхального фестиваля;</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993" w:leader="none"/>
        </w:tabs>
        <w:rPr>
          <w:rFonts w:ascii="PT Astra Serif" w:hAnsi="PT Astra Serif"/>
          <w:strike/>
          <w:sz w:val="24"/>
          <w:szCs w:val="24"/>
        </w:rPr>
      </w:pPr>
      <w:r>
        <w:rPr>
          <w:rFonts w:ascii="PT Astra Serif" w:hAnsi="PT Astra Serif"/>
          <w:sz w:val="24"/>
          <w:szCs w:val="24"/>
        </w:rPr>
        <w:t xml:space="preserve">–</w:t>
      </w:r>
      <w:r>
        <w:rPr>
          <w:rFonts w:ascii="PT Astra Serif" w:hAnsi="PT Astra Serif"/>
          <w:sz w:val="24"/>
          <w:szCs w:val="24"/>
        </w:rPr>
        <w:t xml:space="preserve"> ежегодные крупные мероприятия по выявлению талантливых детей и молодежи, поддержке молодых дарований на территории Томской области: Международный Фестиваль-конкурс детского и молод</w:t>
      </w:r>
      <w:r>
        <w:rPr>
          <w:rFonts w:ascii="PT Astra Serif" w:hAnsi="PT Astra Serif"/>
          <w:sz w:val="24"/>
          <w:szCs w:val="24"/>
        </w:rPr>
        <w:t xml:space="preserve">е</w:t>
      </w:r>
      <w:r>
        <w:rPr>
          <w:rFonts w:ascii="PT Astra Serif" w:hAnsi="PT Astra Serif"/>
          <w:sz w:val="24"/>
          <w:szCs w:val="24"/>
        </w:rPr>
        <w:t xml:space="preserve">жного литературного творчества «Устами детей говорит мир», Фестиваль «Денис Мацуев и друзья» и пр</w:t>
      </w:r>
      <w:r>
        <w:rPr>
          <w:rFonts w:ascii="PT Astra Serif" w:hAnsi="PT Astra Serif"/>
          <w:sz w:val="24"/>
          <w:szCs w:val="24"/>
        </w:rPr>
        <w:t xml:space="preserve">осветительский проект Благотворительного фонда «Новые имена», Областной Губернаторский конкурс молодых исполнителей «Дети играют с оркестром», Молодежный фестиваль визуальных искусств имени Александра Невского и другие профессионально значимые мероприятия;</w:t>
      </w:r>
      <w:r>
        <w:rPr>
          <w:rFonts w:ascii="PT Astra Serif" w:hAnsi="PT Astra Serif"/>
          <w:strike/>
          <w:sz w:val="24"/>
          <w:szCs w:val="24"/>
        </w:rPr>
      </w:r>
      <w:r>
        <w:rPr>
          <w:rFonts w:ascii="PT Astra Serif" w:hAnsi="PT Astra Serif"/>
          <w:strike/>
          <w:sz w:val="24"/>
          <w:szCs w:val="24"/>
        </w:rPr>
      </w:r>
    </w:p>
    <w:p>
      <w:pPr>
        <w:pStyle w:val="1152"/>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спектакли Театра классического </w:t>
      </w:r>
      <w:r>
        <w:rPr>
          <w:rFonts w:ascii="PT Astra Serif" w:hAnsi="PT Astra Serif"/>
          <w:sz w:val="24"/>
          <w:szCs w:val="24"/>
        </w:rPr>
        <w:t xml:space="preserve">балета Н. Касаткиной и В. Василе</w:t>
      </w:r>
      <w:r>
        <w:rPr>
          <w:rFonts w:ascii="PT Astra Serif" w:hAnsi="PT Astra Serif"/>
          <w:sz w:val="24"/>
          <w:szCs w:val="24"/>
        </w:rPr>
        <w:t xml:space="preserve">ва и спектакли театра-студии «</w:t>
      </w:r>
      <w:r>
        <w:rPr>
          <w:rFonts w:ascii="PT Astra Serif" w:hAnsi="PT Astra Serif"/>
          <w:sz w:val="24"/>
          <w:szCs w:val="24"/>
        </w:rPr>
        <w:t xml:space="preserve">Театральный ковчег» (г. Сергиев </w:t>
      </w:r>
      <w:r>
        <w:rPr>
          <w:rFonts w:ascii="PT Astra Serif" w:hAnsi="PT Astra Serif"/>
          <w:sz w:val="24"/>
          <w:szCs w:val="24"/>
        </w:rPr>
        <w:t xml:space="preserve">Посад);</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традиционные крупные событийные праздники в районах области: «Праздник топора», «Праздник </w:t>
      </w:r>
      <w:r>
        <w:rPr>
          <w:rFonts w:ascii="PT Astra Serif" w:hAnsi="PT Astra Serif"/>
          <w:sz w:val="24"/>
          <w:szCs w:val="24"/>
        </w:rPr>
        <w:t xml:space="preserve">Нового </w:t>
      </w:r>
      <w:r>
        <w:rPr>
          <w:rFonts w:ascii="PT Astra Serif" w:hAnsi="PT Astra Serif"/>
          <w:sz w:val="24"/>
          <w:szCs w:val="24"/>
        </w:rPr>
        <w:t xml:space="preserve">Солнца на Яновом хуторе», «Гербер», «Праздник жимолости», «Праздник у семи оз</w:t>
      </w:r>
      <w:r>
        <w:rPr>
          <w:rFonts w:ascii="PT Astra Serif" w:hAnsi="PT Astra Serif"/>
          <w:sz w:val="24"/>
          <w:szCs w:val="24"/>
        </w:rPr>
        <w:t xml:space="preserve">е</w:t>
      </w:r>
      <w:r>
        <w:rPr>
          <w:rFonts w:ascii="PT Astra Serif" w:hAnsi="PT Astra Serif"/>
          <w:sz w:val="24"/>
          <w:szCs w:val="24"/>
        </w:rPr>
        <w:t xml:space="preserve">р», «Братина», «Этюды Севера», «Праздник хлеба», «Золотая береста», «Большой Амикан», «Россия </w:t>
      </w:r>
      <w:r>
        <w:rPr>
          <w:rFonts w:ascii="PT Astra Serif" w:hAnsi="PT Astra Serif"/>
          <w:sz w:val="24"/>
          <w:szCs w:val="24"/>
        </w:rPr>
        <w:t xml:space="preserve">–</w:t>
      </w:r>
      <w:r>
        <w:rPr>
          <w:rFonts w:ascii="PT Astra Serif" w:hAnsi="PT Astra Serif"/>
          <w:sz w:val="24"/>
          <w:szCs w:val="24"/>
        </w:rPr>
        <w:t xml:space="preserve"> это мы! Сэтьме эрямо тенк (Мир вам)!»;</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ежегодный областной книжный фестиваль «Томская книга».</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В 2023 году в рамках</w:t>
      </w:r>
      <w:r>
        <w:rPr>
          <w:rFonts w:ascii="PT Astra Serif" w:hAnsi="PT Astra Serif" w:eastAsia="PT Astra Serif" w:cs="PT Astra Serif"/>
          <w:sz w:val="24"/>
          <w:szCs w:val="24"/>
        </w:rPr>
        <w:t xml:space="preserve"> регионального проекта «Цифровая культура» (национального проекта «Культура») </w:t>
      </w:r>
      <w:r>
        <w:rPr>
          <w:rFonts w:ascii="PT Astra Serif" w:hAnsi="PT Astra Serif"/>
          <w:sz w:val="24"/>
          <w:szCs w:val="24"/>
        </w:rPr>
        <w:t xml:space="preserve">продолжалась работа над повышением доступности мероприятий для жителей Томской области, </w:t>
      </w:r>
      <w:r>
        <w:rPr>
          <w:rFonts w:ascii="PT Astra Serif" w:hAnsi="PT Astra Serif" w:eastAsia="PT Astra Serif" w:cs="PT Astra Serif"/>
          <w:sz w:val="24"/>
          <w:szCs w:val="24"/>
        </w:rPr>
        <w:t xml:space="preserve">проведено 35 трансляций концертов. </w:t>
      </w:r>
      <w:r>
        <w:rPr>
          <w:rFonts w:ascii="PT Astra Serif" w:hAnsi="PT Astra Serif"/>
          <w:sz w:val="24"/>
          <w:szCs w:val="24"/>
        </w:rPr>
        <w:t xml:space="preserve">Силами Томской филармонии было</w:t>
      </w:r>
      <w:r>
        <w:rPr>
          <w:rFonts w:ascii="PT Astra Serif" w:hAnsi="PT Astra Serif" w:eastAsia="PT Astra Serif" w:cs="PT Astra Serif"/>
          <w:sz w:val="24"/>
          <w:szCs w:val="24"/>
        </w:rPr>
        <w:t xml:space="preserve"> организовано 113 прямых трансляций культурных мероприятий (концерты, спектакли, мастер-классы); количество просмотров – 43 000.</w:t>
      </w:r>
      <w:r>
        <w:rPr>
          <w:rFonts w:ascii="PT Astra Serif" w:hAnsi="PT Astra Serif"/>
          <w:sz w:val="24"/>
          <w:szCs w:val="24"/>
        </w:rPr>
        <w:t xml:space="preserve"> </w:t>
      </w:r>
      <w:r>
        <w:rPr>
          <w:rFonts w:ascii="PT Astra Serif" w:hAnsi="PT Astra Serif" w:eastAsia="PT Astra Serif" w:cs="PT Astra Serif"/>
          <w:sz w:val="24"/>
          <w:szCs w:val="24"/>
        </w:rPr>
        <w:t xml:space="preserve">Благодаря организованным трансляциям жители Томской области смогли увидеть в том числе: концерты Фестиваля «Денис Мацуев и друзья», «Дети играют с оркестром», «Сила духа» и другие.</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tabs>
          <w:tab w:val="left" w:pos="851" w:leader="none"/>
        </w:tabs>
        <w:rPr>
          <w:rFonts w:ascii="PT Astra Serif" w:hAnsi="PT Astra Serif"/>
          <w:sz w:val="24"/>
          <w:szCs w:val="24"/>
        </w:rPr>
      </w:pPr>
      <w:r>
        <w:rPr>
          <w:rFonts w:ascii="PT Astra Serif" w:hAnsi="PT Astra Serif"/>
          <w:sz w:val="24"/>
          <w:szCs w:val="24"/>
        </w:rPr>
        <w:t xml:space="preserve">1. Модернизация по модельному стандарту 7 библиотек (ЗАТО Северск, г. Томск, Верхнекетский, Зырянский, Каргасокский, Парабельский, Чаинский районы).</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851" w:leader="none"/>
        </w:tabs>
        <w:rPr>
          <w:rFonts w:ascii="PT Astra Serif" w:hAnsi="PT Astra Serif"/>
          <w:sz w:val="24"/>
          <w:szCs w:val="24"/>
        </w:rPr>
      </w:pPr>
      <w:r>
        <w:rPr>
          <w:rFonts w:ascii="PT Astra Serif" w:hAnsi="PT Astra Serif"/>
          <w:sz w:val="24"/>
          <w:szCs w:val="24"/>
        </w:rPr>
        <w:t xml:space="preserve">2. Завершение капитального ремонт</w:t>
      </w:r>
      <w:r>
        <w:rPr>
          <w:rFonts w:ascii="PT Astra Serif" w:hAnsi="PT Astra Serif"/>
          <w:sz w:val="24"/>
          <w:szCs w:val="24"/>
        </w:rPr>
        <w:t xml:space="preserve">а ОГАУК ТОТК и А «Скоморох» им. </w:t>
      </w:r>
      <w:r>
        <w:rPr>
          <w:rFonts w:ascii="PT Astra Serif" w:hAnsi="PT Astra Serif"/>
          <w:sz w:val="24"/>
          <w:szCs w:val="24"/>
        </w:rPr>
        <w:t xml:space="preserve">Р.Виндермана, Музея города Северска, </w:t>
      </w:r>
      <w:r>
        <w:rPr>
          <w:rFonts w:ascii="PT Astra Serif" w:hAnsi="PT Astra Serif" w:eastAsia="PT Astra Serif" w:cs="PT Astra Serif"/>
          <w:sz w:val="24"/>
          <w:szCs w:val="24"/>
        </w:rPr>
        <w:t xml:space="preserve">детской школы искусств в п. Самусь</w:t>
      </w:r>
      <w:r>
        <w:rPr>
          <w:rFonts w:ascii="PT Astra Serif" w:hAnsi="PT Astra Serif"/>
          <w:sz w:val="24"/>
          <w:szCs w:val="24"/>
        </w:rPr>
        <w:t xml:space="preserve">, </w:t>
      </w:r>
      <w:r>
        <w:rPr>
          <w:rFonts w:ascii="PT Astra Serif" w:hAnsi="PT Astra Serif"/>
          <w:sz w:val="24"/>
          <w:szCs w:val="24"/>
        </w:rPr>
        <w:t xml:space="preserve">культурно-спортивного центра «Радость» пос. Мирный</w:t>
      </w:r>
      <w:r>
        <w:rPr>
          <w:rFonts w:ascii="PT Astra Serif" w:hAnsi="PT Astra Serif"/>
          <w:sz w:val="24"/>
          <w:szCs w:val="24"/>
        </w:rPr>
        <w:t xml:space="preserve">,</w:t>
      </w:r>
      <w:r>
        <w:rPr>
          <w:rFonts w:ascii="PT Astra Serif" w:hAnsi="PT Astra Serif"/>
          <w:sz w:val="24"/>
          <w:szCs w:val="24"/>
        </w:rPr>
        <w:t xml:space="preserve"> стилобата ОГАУК «Театр драмы».</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851" w:leader="none"/>
        </w:tabs>
        <w:rPr>
          <w:rFonts w:ascii="PT Astra Serif" w:hAnsi="PT Astra Serif"/>
          <w:sz w:val="24"/>
          <w:szCs w:val="24"/>
        </w:rPr>
      </w:pPr>
      <w:r>
        <w:rPr>
          <w:rFonts w:ascii="PT Astra Serif" w:hAnsi="PT Astra Serif"/>
          <w:sz w:val="24"/>
          <w:szCs w:val="24"/>
        </w:rPr>
        <w:t xml:space="preserve">3. Оснащение 4 детских школ искусств музыкальными инструментами, оборудованием и учебными материалами (г. Стрежевой, ЗАТО Северск, Парабельский и Чаинский районы), а также региональных и муниципальных театров</w:t>
      </w:r>
      <w:r>
        <w:rPr>
          <w:rFonts w:ascii="PT Astra Serif" w:hAnsi="PT Astra Serif"/>
          <w:sz w:val="24"/>
          <w:szCs w:val="24"/>
        </w:rPr>
        <w:t xml:space="preserve">, Музея города Северска и Шегарского краеведческого музея современным оборудованием.</w:t>
      </w:r>
      <w:r>
        <w:rPr>
          <w:rFonts w:ascii="PT Astra Serif" w:hAnsi="PT Astra Serif"/>
          <w:sz w:val="24"/>
          <w:szCs w:val="24"/>
        </w:rPr>
        <w:t xml:space="preserve">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4. Проведение традиционных культурно-массовых праздников, а также мероприятий,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spacing w:after="0" w:line="240" w:lineRule="auto"/>
        <w:shd w:val="clear" w:color="auto" w:fill="eaf1dd" w:themeFill="accent3" w:themeFillTint="33"/>
        <w:tabs>
          <w:tab w:val="left" w:pos="426" w:leader="none"/>
          <w:tab w:val="left" w:pos="567" w:leader="none"/>
        </w:tabs>
        <w:rPr>
          <w:rFonts w:ascii="PT Astra Serif" w:hAnsi="PT Astra Serif" w:eastAsia="Times New Roman"/>
          <w:b/>
          <w:sz w:val="24"/>
          <w:szCs w:val="24"/>
        </w:rPr>
      </w:pPr>
      <w:r>
        <w:rPr>
          <w:rFonts w:ascii="PT Astra Serif" w:hAnsi="PT Astra Serif" w:eastAsia="Times New Roman"/>
          <w:b/>
          <w:sz w:val="24"/>
          <w:szCs w:val="24"/>
        </w:rPr>
        <w:t xml:space="preserve">Охрана объектов культурного наследия</w:t>
      </w:r>
      <w:r>
        <w:rPr>
          <w:rStyle w:val="1138"/>
          <w:rFonts w:eastAsia="Times New Roman"/>
          <w:b/>
        </w:rPr>
        <w:footnoteReference w:id="9"/>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Основными направлениями деятельности сохранения объектов культурного наследия являются осуществление функций государственного надзора, учета </w:t>
      </w:r>
      <w:r>
        <w:rPr>
          <w:rFonts w:ascii="PT Astra Serif" w:hAnsi="PT Astra Serif"/>
          <w:sz w:val="24"/>
          <w:szCs w:val="24"/>
        </w:rPr>
        <w:t xml:space="preserve">объектов культурного наследия, выполнени</w:t>
      </w:r>
      <w:r>
        <w:rPr>
          <w:rFonts w:ascii="PT Astra Serif" w:hAnsi="PT Astra Serif"/>
          <w:sz w:val="24"/>
          <w:szCs w:val="24"/>
        </w:rPr>
        <w:t xml:space="preserve">е</w:t>
      </w:r>
      <w:r>
        <w:rPr>
          <w:rFonts w:ascii="PT Astra Serif" w:hAnsi="PT Astra Serif"/>
          <w:sz w:val="24"/>
          <w:szCs w:val="24"/>
        </w:rPr>
        <w:t xml:space="preserve"> </w:t>
      </w:r>
      <w:r>
        <w:rPr>
          <w:rFonts w:ascii="PT Astra Serif" w:hAnsi="PT Astra Serif" w:eastAsia="Calibri"/>
          <w:sz w:val="24"/>
          <w:szCs w:val="24"/>
        </w:rPr>
        <w:t xml:space="preserve">работ по сохранению объектов культурного наследия, направленных на повышение доли объектов, находящихся в удовлетворительном состоянии, по отношению к их общему количеству.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течение года организована работа:</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1) по установлению границ территорий памятников истории и культуры, границ территорий и зон охраны объектов культурного наследия. Утверждение границ территорий объектов культурного наследия является важнейшим звеном в обеспечении их государственной</w:t>
      </w:r>
      <w:r>
        <w:rPr>
          <w:rFonts w:ascii="PT Astra Serif" w:hAnsi="PT Astra Serif" w:eastAsia="Calibri"/>
          <w:sz w:val="24"/>
          <w:szCs w:val="24"/>
        </w:rPr>
        <w:t xml:space="preserve"> охраны и в предотвращении уничтожения в процессе осуществления хозяйственной деятельности. При реализации проекта о предоставлении пространственных данных внесено 100% необходимой информации в отношении объектов культурного наследия федерального значения;</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2) по организации проведения государственной историко-культурной экспертизы в целях обоснования включения объектов архео</w:t>
      </w:r>
      <w:r>
        <w:rPr>
          <w:rFonts w:ascii="PT Astra Serif" w:hAnsi="PT Astra Serif" w:eastAsia="Calibri"/>
          <w:sz w:val="24"/>
          <w:szCs w:val="24"/>
        </w:rPr>
        <w:t xml:space="preserve">логического наследия в единый государственный реестр объектов культурного наследия (памятников истории и культуры) народов Российской Федерации. Внесение данных в АИС Единый государственный реестр объектов культурного наследия ведется на постоянной основе.</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ind w:firstLine="709"/>
        <w:jc w:val="center"/>
        <w:spacing w:after="0" w:line="240" w:lineRule="auto"/>
        <w:tabs>
          <w:tab w:val="left" w:pos="4962" w:leader="none"/>
        </w:tabs>
        <w:rPr>
          <w:rFonts w:ascii="PT Astra Serif" w:hAnsi="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На территории Томской области по состоянию на 01.01.2024 находится </w:t>
      </w:r>
      <w:r>
        <w:rPr>
          <w:rFonts w:ascii="PT Astra Serif" w:hAnsi="PT Astra Serif"/>
          <w:b/>
          <w:sz w:val="24"/>
          <w:szCs w:val="24"/>
        </w:rPr>
      </w:r>
      <w:r>
        <w:rPr>
          <w:rFonts w:ascii="PT Astra Serif" w:hAnsi="PT Astra Serif"/>
          <w:b/>
          <w:sz w:val="24"/>
          <w:szCs w:val="24"/>
        </w:rPr>
      </w:r>
    </w:p>
    <w:p>
      <w:pPr>
        <w:ind w:firstLine="709"/>
        <w:jc w:val="center"/>
        <w:spacing w:after="0" w:line="240" w:lineRule="auto"/>
        <w:tabs>
          <w:tab w:val="left" w:pos="4962" w:leader="none"/>
        </w:tabs>
        <w:rPr>
          <w:rFonts w:ascii="PT Astra Serif" w:hAnsi="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837 объектов культурного наследия, в том числе федерального значения </w:t>
      </w:r>
      <w:r>
        <w:rPr>
          <w:rFonts w:ascii="PT Astra Serif" w:hAnsi="PT Astra Serif" w:eastAsia="Calibri"/>
          <w:b/>
          <w:sz w:val="24"/>
          <w:szCs w:val="24"/>
        </w:rPr>
        <w:t xml:space="preserve">– </w:t>
      </w:r>
      <w:r>
        <w:rPr>
          <w:rFonts w:ascii="PT Astra Serif" w:hAnsi="PT Astra Serif"/>
          <w:b/>
          <w:sz w:val="24"/>
          <w:szCs w:val="24"/>
        </w:rPr>
        <w:t xml:space="preserve">339 (из них объекты археологического наследия – 294), регионального значения –</w:t>
      </w:r>
      <w:r>
        <w:rPr>
          <w:rFonts w:ascii="PT Astra Serif" w:hAnsi="PT Astra Serif"/>
          <w:b/>
          <w:sz w:val="24"/>
          <w:szCs w:val="24"/>
        </w:rPr>
        <w:t xml:space="preserve"> </w:t>
      </w:r>
      <w:r>
        <w:rPr>
          <w:rFonts w:ascii="PT Astra Serif" w:hAnsi="PT Astra Serif"/>
          <w:b/>
          <w:sz w:val="24"/>
          <w:szCs w:val="24"/>
        </w:rPr>
        <w:t xml:space="preserve">498</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sz w:val="24"/>
          <w:szCs w:val="24"/>
        </w:rPr>
        <w:outlineLvl w:val="0"/>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outlineLvl w:val="0"/>
      </w:pPr>
      <w:r>
        <w:rPr>
          <w:rFonts w:ascii="PT Astra Serif" w:hAnsi="PT Astra Serif"/>
          <w:sz w:val="24"/>
          <w:szCs w:val="24"/>
        </w:rPr>
        <w:t xml:space="preserve">В 2023 году приказами Минкульт</w:t>
      </w:r>
      <w:r>
        <w:rPr>
          <w:rFonts w:ascii="PT Astra Serif" w:hAnsi="PT Astra Serif"/>
          <w:sz w:val="24"/>
          <w:szCs w:val="24"/>
        </w:rPr>
        <w:t xml:space="preserve">уры</w:t>
      </w:r>
      <w:r>
        <w:rPr>
          <w:rFonts w:ascii="PT Astra Serif" w:hAnsi="PT Astra Serif"/>
          <w:sz w:val="24"/>
          <w:szCs w:val="24"/>
        </w:rPr>
        <w:t xml:space="preserve"> России в Единый государственный реестр </w:t>
      </w:r>
      <w:r>
        <w:rPr>
          <w:rFonts w:ascii="PT Astra Serif" w:hAnsi="PT Astra Serif"/>
          <w:sz w:val="24"/>
          <w:szCs w:val="24"/>
        </w:rPr>
        <w:t xml:space="preserve">объектов культурного наследия</w:t>
      </w:r>
      <w:r>
        <w:rPr>
          <w:rFonts w:ascii="PT Astra Serif" w:hAnsi="PT Astra Serif"/>
          <w:sz w:val="24"/>
          <w:szCs w:val="24"/>
        </w:rPr>
        <w:t xml:space="preserve"> включены 19 объектов культурного наследия регионального значения.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outlineLvl w:val="0"/>
      </w:pPr>
      <w:r>
        <w:rPr>
          <w:rFonts w:ascii="PT Astra Serif" w:hAnsi="PT Astra Serif"/>
          <w:sz w:val="24"/>
          <w:szCs w:val="24"/>
        </w:rPr>
        <w:t xml:space="preserve">В рамках государ</w:t>
      </w:r>
      <w:r>
        <w:rPr>
          <w:rFonts w:ascii="PT Astra Serif" w:hAnsi="PT Astra Serif"/>
          <w:sz w:val="24"/>
          <w:szCs w:val="24"/>
        </w:rPr>
        <w:t xml:space="preserve">ственного надзора за состоянием, содержанием, сохранением, использованием, популяризацией и государственной охраной объектов культурного наследия проведено 128 внеплановых проверок в отношении юридических лиц, в том числе по объектам федерального значения </w:t>
      </w:r>
      <w:r>
        <w:rPr>
          <w:rFonts w:ascii="PT Astra Serif" w:hAnsi="PT Astra Serif" w:eastAsia="Calibri"/>
          <w:sz w:val="24"/>
          <w:szCs w:val="24"/>
        </w:rPr>
        <w:t xml:space="preserve">–</w:t>
      </w:r>
      <w:r>
        <w:rPr>
          <w:rFonts w:ascii="PT Astra Serif" w:hAnsi="PT Astra Serif"/>
          <w:sz w:val="24"/>
          <w:szCs w:val="24"/>
        </w:rPr>
        <w:t xml:space="preserve"> 35. По результатам проведенных проверок возбуждено 6 дел об административном правонарушении, в том числе по объектам федерального значения </w:t>
      </w:r>
      <w:r>
        <w:rPr>
          <w:rFonts w:ascii="PT Astra Serif" w:hAnsi="PT Astra Serif" w:eastAsia="Calibri"/>
          <w:sz w:val="24"/>
          <w:szCs w:val="24"/>
        </w:rPr>
        <w:t xml:space="preserve">–</w:t>
      </w:r>
      <w:r>
        <w:rPr>
          <w:rFonts w:ascii="PT Astra Serif" w:hAnsi="PT Astra Serif"/>
          <w:sz w:val="24"/>
          <w:szCs w:val="24"/>
        </w:rPr>
        <w:t xml:space="preserve"> 2.</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w:t>
      </w:r>
      <w:r>
        <w:rPr>
          <w:rFonts w:ascii="PT Astra Serif" w:hAnsi="PT Astra Serif"/>
          <w:sz w:val="24"/>
          <w:szCs w:val="24"/>
        </w:rPr>
        <w:t xml:space="preserve">у</w:t>
      </w:r>
      <w:r>
        <w:rPr>
          <w:rFonts w:ascii="PT Astra Serif" w:hAnsi="PT Astra Serif"/>
          <w:sz w:val="24"/>
          <w:szCs w:val="24"/>
        </w:rPr>
        <w:t xml:space="preserve"> в отношении объектов культурного наследия выдано: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101 разрешение на проведение работ по сохранению объектов культурного наследия;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75 заданий на проведение работ по сохранению объектов культурного наследия;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согласовано 25 разделов проектной документации на выполнение работ по сохранению объектов культурного наследия;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утверждена отчетная документация о выполнении работ и осуществлена приемка работ по сохранению 32 объектов культурного наследия;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выдано 48 паспортов на объекты культурного наследия.</w:t>
      </w:r>
      <w:r>
        <w:rPr>
          <w:rFonts w:ascii="PT Astra Serif" w:hAnsi="PT Astra Serif"/>
          <w:sz w:val="24"/>
          <w:szCs w:val="24"/>
        </w:rPr>
      </w:r>
      <w:r>
        <w:rPr>
          <w:rFonts w:ascii="PT Astra Serif" w:hAnsi="PT Astra Serif"/>
          <w:sz w:val="24"/>
          <w:szCs w:val="24"/>
        </w:rPr>
      </w:r>
    </w:p>
    <w:p>
      <w:pPr>
        <w:pStyle w:val="1177"/>
        <w:ind w:firstLine="709"/>
        <w:jc w:val="both"/>
        <w:spacing w:before="0" w:beforeAutospacing="0" w:after="0" w:afterAutospacing="0"/>
        <w:rPr>
          <w:rFonts w:ascii="PT Astra Serif" w:hAnsi="PT Astra Serif"/>
          <w:bCs/>
        </w:rPr>
      </w:pPr>
      <w:r>
        <w:rPr>
          <w:rFonts w:ascii="PT Astra Serif" w:hAnsi="PT Astra Serif"/>
          <w:bCs/>
        </w:rPr>
        <w:t xml:space="preserve">В организации работ по сохранению объектов культурного наследия проведены: </w:t>
      </w:r>
      <w:r>
        <w:rPr>
          <w:rFonts w:ascii="PT Astra Serif" w:hAnsi="PT Astra Serif"/>
          <w:bCs/>
        </w:rPr>
      </w:r>
      <w:r>
        <w:rPr>
          <w:rFonts w:ascii="PT Astra Serif" w:hAnsi="PT Astra Serif"/>
          <w:bCs/>
        </w:rPr>
      </w:r>
    </w:p>
    <w:p>
      <w:pPr>
        <w:pStyle w:val="1177"/>
        <w:ind w:firstLine="709"/>
        <w:jc w:val="both"/>
        <w:spacing w:before="0" w:beforeAutospacing="0" w:after="0" w:afterAutospacing="0"/>
        <w:rPr>
          <w:rFonts w:ascii="PT Astra Serif" w:hAnsi="PT Astra Serif"/>
          <w:bCs/>
        </w:rPr>
      </w:pPr>
      <w:r>
        <w:rPr>
          <w:rFonts w:ascii="PT Astra Serif" w:hAnsi="PT Astra Serif"/>
          <w:bCs/>
        </w:rPr>
        <w:t xml:space="preserve">1) </w:t>
      </w:r>
      <w:r>
        <w:rPr>
          <w:rFonts w:ascii="PT Astra Serif" w:hAnsi="PT Astra Serif"/>
          <w:bCs/>
        </w:rPr>
        <w:t xml:space="preserve">р</w:t>
      </w:r>
      <w:r>
        <w:rPr>
          <w:rFonts w:ascii="PT Astra Serif" w:hAnsi="PT Astra Serif"/>
          <w:bCs/>
        </w:rPr>
        <w:t xml:space="preserve">азработка ПСД по сохранению объектов культурного наследия регионального значения:</w:t>
      </w:r>
      <w:r>
        <w:rPr>
          <w:rFonts w:ascii="PT Astra Serif" w:hAnsi="PT Astra Serif"/>
          <w:bCs/>
        </w:rPr>
      </w:r>
      <w:r>
        <w:rPr>
          <w:rFonts w:ascii="PT Astra Serif" w:hAnsi="PT Astra Serif"/>
          <w:bCs/>
        </w:rPr>
      </w:r>
    </w:p>
    <w:p>
      <w:pPr>
        <w:pStyle w:val="1177"/>
        <w:ind w:firstLine="709"/>
        <w:jc w:val="both"/>
        <w:spacing w:before="0" w:beforeAutospacing="0" w:after="0" w:afterAutospacing="0"/>
        <w:rPr>
          <w:rFonts w:ascii="PT Astra Serif" w:hAnsi="PT Astra Serif"/>
          <w:bCs/>
        </w:rPr>
      </w:pPr>
      <w:r>
        <w:rPr>
          <w:rFonts w:ascii="PT Astra Serif" w:hAnsi="PT Astra Serif" w:eastAsia="Calibri"/>
        </w:rPr>
        <w:t xml:space="preserve">–</w:t>
      </w:r>
      <w:r>
        <w:rPr>
          <w:rFonts w:ascii="PT Astra Serif" w:hAnsi="PT Astra Serif"/>
          <w:bCs/>
        </w:rPr>
        <w:t xml:space="preserve"> «Административное здание» по адресу: г. Томск, пр. Ленина, 107 (капитальный ремонт фасадов);</w:t>
      </w:r>
      <w:r>
        <w:rPr>
          <w:rFonts w:ascii="PT Astra Serif" w:hAnsi="PT Astra Serif"/>
          <w:bCs/>
        </w:rPr>
      </w:r>
      <w:r>
        <w:rPr>
          <w:rFonts w:ascii="PT Astra Serif" w:hAnsi="PT Astra Serif"/>
          <w:bCs/>
        </w:rPr>
      </w:r>
    </w:p>
    <w:p>
      <w:pPr>
        <w:pStyle w:val="1177"/>
        <w:ind w:firstLine="709"/>
        <w:jc w:val="both"/>
        <w:spacing w:before="0" w:beforeAutospacing="0" w:after="0" w:afterAutospacing="0"/>
        <w:rPr>
          <w:rFonts w:ascii="PT Astra Serif" w:hAnsi="PT Astra Serif"/>
          <w:bCs/>
        </w:rPr>
      </w:pPr>
      <w:r>
        <w:rPr>
          <w:rFonts w:ascii="PT Astra Serif" w:hAnsi="PT Astra Serif" w:eastAsia="Calibri"/>
        </w:rPr>
        <w:t xml:space="preserve">–</w:t>
      </w:r>
      <w:r>
        <w:rPr>
          <w:rFonts w:ascii="PT Astra Serif" w:hAnsi="PT Astra Serif"/>
          <w:bCs/>
        </w:rPr>
        <w:t xml:space="preserve"> «Сибирский торговый банк» по адресу: г. Томск, пр. Ленина, 109;</w:t>
      </w:r>
      <w:r>
        <w:rPr>
          <w:rFonts w:ascii="PT Astra Serif" w:hAnsi="PT Astra Serif"/>
          <w:bCs/>
        </w:rPr>
      </w:r>
      <w:r>
        <w:rPr>
          <w:rFonts w:ascii="PT Astra Serif" w:hAnsi="PT Astra Serif"/>
          <w:bCs/>
        </w:rPr>
      </w:r>
    </w:p>
    <w:p>
      <w:pPr>
        <w:pStyle w:val="1177"/>
        <w:ind w:firstLine="709"/>
        <w:jc w:val="both"/>
        <w:spacing w:before="0" w:beforeAutospacing="0" w:after="0" w:afterAutospacing="0"/>
        <w:rPr>
          <w:rFonts w:ascii="PT Astra Serif" w:hAnsi="PT Astra Serif"/>
          <w:bCs/>
        </w:rPr>
      </w:pPr>
      <w:r>
        <w:rPr>
          <w:rFonts w:ascii="PT Astra Serif" w:hAnsi="PT Astra Serif" w:eastAsia="Calibri"/>
        </w:rPr>
        <w:t xml:space="preserve">–</w:t>
      </w:r>
      <w:r>
        <w:rPr>
          <w:rFonts w:ascii="PT Astra Serif" w:hAnsi="PT Astra Serif"/>
          <w:bCs/>
        </w:rPr>
        <w:t xml:space="preserve"> «Дом доходный Ф. Деева» по адресу: г. Томск, пер. Батенькова, 3 (капитальный ремонт помещений);</w:t>
      </w:r>
      <w:r>
        <w:rPr>
          <w:rFonts w:ascii="PT Astra Serif" w:hAnsi="PT Astra Serif"/>
          <w:bCs/>
        </w:rPr>
      </w:r>
      <w:r>
        <w:rPr>
          <w:rFonts w:ascii="PT Astra Serif" w:hAnsi="PT Astra Serif"/>
          <w:bCs/>
        </w:rPr>
      </w:r>
    </w:p>
    <w:p>
      <w:pPr>
        <w:pStyle w:val="1177"/>
        <w:ind w:firstLine="709"/>
        <w:jc w:val="both"/>
        <w:spacing w:before="0" w:beforeAutospacing="0" w:after="0" w:afterAutospacing="0"/>
        <w:rPr>
          <w:rFonts w:ascii="PT Astra Serif" w:hAnsi="PT Astra Serif"/>
          <w:bCs/>
        </w:rPr>
      </w:pPr>
      <w:r>
        <w:rPr>
          <w:rFonts w:ascii="PT Astra Serif" w:hAnsi="PT Astra Serif"/>
          <w:bCs/>
        </w:rPr>
        <w:t xml:space="preserve">2) </w:t>
      </w:r>
      <w:r>
        <w:rPr>
          <w:rFonts w:ascii="PT Astra Serif" w:hAnsi="PT Astra Serif"/>
          <w:bCs/>
        </w:rPr>
        <w:t xml:space="preserve">с</w:t>
      </w:r>
      <w:r>
        <w:rPr>
          <w:rFonts w:ascii="PT Astra Serif" w:hAnsi="PT Astra Serif"/>
          <w:bCs/>
        </w:rPr>
        <w:t xml:space="preserve">охранение (капитальный ремонт) объектов культурного наследия регионального значения:</w:t>
      </w:r>
      <w:r>
        <w:rPr>
          <w:rFonts w:ascii="PT Astra Serif" w:hAnsi="PT Astra Serif"/>
          <w:bCs/>
        </w:rPr>
      </w:r>
      <w:r>
        <w:rPr>
          <w:rFonts w:ascii="PT Astra Serif" w:hAnsi="PT Astra Serif"/>
          <w:bCs/>
        </w:rPr>
      </w:r>
    </w:p>
    <w:p>
      <w:pPr>
        <w:pStyle w:val="1177"/>
        <w:ind w:firstLine="709"/>
        <w:jc w:val="both"/>
        <w:spacing w:before="0" w:beforeAutospacing="0" w:after="0" w:afterAutospacing="0"/>
        <w:rPr>
          <w:rFonts w:ascii="PT Astra Serif" w:hAnsi="PT Astra Serif"/>
          <w:bCs/>
        </w:rPr>
      </w:pPr>
      <w:r>
        <w:rPr>
          <w:rFonts w:ascii="PT Astra Serif" w:hAnsi="PT Astra Serif" w:eastAsia="Calibri"/>
        </w:rPr>
        <w:t xml:space="preserve">–</w:t>
      </w:r>
      <w:r>
        <w:rPr>
          <w:rFonts w:ascii="PT Astra Serif" w:hAnsi="PT Astra Serif"/>
          <w:bCs/>
        </w:rPr>
        <w:t xml:space="preserve"> «Театр-синематограф «Новый» по адресу: г. Томск, пер. Нахановича, 4;</w:t>
      </w:r>
      <w:r>
        <w:rPr>
          <w:rFonts w:ascii="PT Astra Serif" w:hAnsi="PT Astra Serif"/>
          <w:bCs/>
        </w:rPr>
      </w:r>
      <w:r>
        <w:rPr>
          <w:rFonts w:ascii="PT Astra Serif" w:hAnsi="PT Astra Serif"/>
          <w:bCs/>
        </w:rPr>
      </w:r>
    </w:p>
    <w:p>
      <w:pPr>
        <w:pStyle w:val="1177"/>
        <w:ind w:firstLine="709"/>
        <w:jc w:val="both"/>
        <w:spacing w:before="0" w:beforeAutospacing="0" w:after="0" w:afterAutospacing="0"/>
        <w:rPr>
          <w:rFonts w:ascii="PT Astra Serif" w:hAnsi="PT Astra Serif"/>
          <w:bCs/>
        </w:rPr>
      </w:pPr>
      <w:r>
        <w:rPr>
          <w:rFonts w:ascii="PT Astra Serif" w:hAnsi="PT Astra Serif" w:eastAsia="Calibri"/>
        </w:rPr>
        <w:t xml:space="preserve">–</w:t>
      </w:r>
      <w:r>
        <w:rPr>
          <w:rFonts w:ascii="PT Astra Serif" w:hAnsi="PT Astra Serif"/>
          <w:bCs/>
        </w:rPr>
        <w:t xml:space="preserve"> «Пассаж Второва, нач. XX в.» по адресу: г. Томск, пр. Ленина, 111. II этап (внутренние работы, включая инженерные сети);</w:t>
      </w:r>
      <w:r>
        <w:rPr>
          <w:rFonts w:ascii="PT Astra Serif" w:hAnsi="PT Astra Serif"/>
          <w:bCs/>
        </w:rPr>
      </w:r>
      <w:r>
        <w:rPr>
          <w:rFonts w:ascii="PT Astra Serif" w:hAnsi="PT Astra Serif"/>
          <w:bCs/>
        </w:rPr>
      </w:r>
    </w:p>
    <w:p>
      <w:pPr>
        <w:pStyle w:val="1177"/>
        <w:ind w:firstLine="709"/>
        <w:jc w:val="both"/>
        <w:spacing w:before="0" w:beforeAutospacing="0" w:after="0" w:afterAutospacing="0"/>
        <w:rPr>
          <w:rFonts w:ascii="PT Astra Serif" w:hAnsi="PT Astra Serif"/>
          <w:bCs/>
        </w:rPr>
      </w:pPr>
      <w:r>
        <w:rPr>
          <w:rFonts w:ascii="PT Astra Serif" w:hAnsi="PT Astra Serif" w:eastAsia="Calibri"/>
        </w:rPr>
        <w:t xml:space="preserve">–</w:t>
      </w:r>
      <w:r>
        <w:rPr>
          <w:rFonts w:ascii="PT Astra Serif" w:hAnsi="PT Astra Serif"/>
          <w:bCs/>
        </w:rPr>
        <w:t xml:space="preserve"> «Ансамбль усадьбы братьев Кухтериных с кирпичными воротами и въездной аркой» в составе ансамбля «Главный дом усадьбы», пр. Фрунзе, 14</w:t>
      </w:r>
      <w:r>
        <w:rPr>
          <w:rFonts w:ascii="PT Astra Serif" w:hAnsi="PT Astra Serif"/>
          <w:bCs/>
        </w:rPr>
        <w:t xml:space="preserve">,</w:t>
      </w:r>
      <w:r>
        <w:rPr>
          <w:rFonts w:ascii="PT Astra Serif" w:hAnsi="PT Astra Serif"/>
          <w:bCs/>
        </w:rPr>
        <w:t xml:space="preserve"> угол Крылова, 29 (капитальный ремонт крыши и фасадов); </w:t>
      </w:r>
      <w:r>
        <w:rPr>
          <w:rFonts w:ascii="PT Astra Serif" w:hAnsi="PT Astra Serif"/>
          <w:bCs/>
        </w:rPr>
      </w:r>
      <w:r>
        <w:rPr>
          <w:rFonts w:ascii="PT Astra Serif" w:hAnsi="PT Astra Serif"/>
          <w:bCs/>
        </w:rPr>
      </w:r>
    </w:p>
    <w:p>
      <w:pPr>
        <w:pStyle w:val="1177"/>
        <w:ind w:firstLine="709"/>
        <w:jc w:val="both"/>
        <w:spacing w:before="0" w:beforeAutospacing="0" w:after="0" w:afterAutospacing="0"/>
        <w:rPr>
          <w:rFonts w:ascii="PT Astra Serif" w:hAnsi="PT Astra Serif"/>
          <w:bCs/>
        </w:rPr>
      </w:pPr>
      <w:r>
        <w:rPr>
          <w:rFonts w:ascii="PT Astra Serif" w:hAnsi="PT Astra Serif"/>
          <w:bCs/>
        </w:rPr>
        <w:t xml:space="preserve">3) </w:t>
      </w:r>
      <w:r>
        <w:rPr>
          <w:rFonts w:ascii="PT Astra Serif" w:hAnsi="PT Astra Serif"/>
          <w:bCs/>
        </w:rPr>
        <w:t xml:space="preserve">к</w:t>
      </w:r>
      <w:r>
        <w:rPr>
          <w:rFonts w:ascii="PT Astra Serif" w:hAnsi="PT Astra Serif"/>
          <w:bCs/>
        </w:rPr>
        <w:t xml:space="preserve">апитальный ремонт ОКН федерального значения «Дом науки, 1912г., арх.</w:t>
      </w:r>
      <w:r>
        <w:rPr>
          <w:rFonts w:ascii="PT Astra Serif" w:hAnsi="PT Astra Serif"/>
          <w:bCs/>
        </w:rPr>
        <w:t xml:space="preserve"> </w:t>
      </w:r>
      <w:r>
        <w:rPr>
          <w:rFonts w:ascii="PT Astra Serif" w:hAnsi="PT Astra Serif"/>
          <w:bCs/>
        </w:rPr>
        <w:t xml:space="preserve">Крячков А.Д.» по адресу: г. Томск, пл. Соляная, 4</w:t>
      </w:r>
      <w:r>
        <w:rPr>
          <w:rFonts w:ascii="PT Astra Serif" w:hAnsi="PT Astra Serif"/>
          <w:bCs/>
        </w:rPr>
        <w:t xml:space="preserve">,</w:t>
      </w:r>
      <w:r>
        <w:rPr>
          <w:rFonts w:ascii="PT Astra Serif" w:hAnsi="PT Astra Serif"/>
          <w:bCs/>
        </w:rPr>
        <w:t xml:space="preserve"> и выполнение работ по сохранению (восстановлению большого зала и крыши); </w:t>
      </w:r>
      <w:r>
        <w:rPr>
          <w:rFonts w:ascii="PT Astra Serif" w:hAnsi="PT Astra Serif"/>
          <w:bCs/>
        </w:rPr>
      </w:r>
      <w:r>
        <w:rPr>
          <w:rFonts w:ascii="PT Astra Serif" w:hAnsi="PT Astra Serif"/>
          <w:bCs/>
        </w:rPr>
      </w:r>
    </w:p>
    <w:p>
      <w:pPr>
        <w:pStyle w:val="1177"/>
        <w:ind w:firstLine="709"/>
        <w:jc w:val="both"/>
        <w:spacing w:before="0" w:beforeAutospacing="0" w:after="0" w:afterAutospacing="0"/>
        <w:rPr>
          <w:rFonts w:ascii="PT Astra Serif" w:hAnsi="PT Astra Serif"/>
          <w:bCs/>
        </w:rPr>
      </w:pPr>
      <w:r>
        <w:rPr>
          <w:rFonts w:ascii="PT Astra Serif" w:hAnsi="PT Astra Serif"/>
          <w:bCs/>
        </w:rPr>
        <w:t xml:space="preserve">4) </w:t>
      </w:r>
      <w:r>
        <w:rPr>
          <w:rFonts w:ascii="PT Astra Serif" w:hAnsi="PT Astra Serif"/>
          <w:bCs/>
        </w:rPr>
        <w:t xml:space="preserve">р</w:t>
      </w:r>
      <w:r>
        <w:rPr>
          <w:rFonts w:ascii="PT Astra Serif" w:hAnsi="PT Astra Serif"/>
          <w:bCs/>
        </w:rPr>
        <w:t xml:space="preserve">азработка научно-проектной документации на капитальный ремонт объекта культурного наследия регионального значения «Главный корпус» отделений № 8 и № 11 ОГАУЗ «Томская клиническая психиатрическая бо</w:t>
      </w:r>
      <w:r>
        <w:rPr>
          <w:rFonts w:ascii="PT Astra Serif" w:hAnsi="PT Astra Serif"/>
          <w:bCs/>
        </w:rPr>
        <w:t xml:space="preserve">льница» по адресу: г. Томск, ул. </w:t>
      </w:r>
      <w:r>
        <w:rPr>
          <w:rFonts w:ascii="PT Astra Serif" w:hAnsi="PT Astra Serif"/>
          <w:bCs/>
        </w:rPr>
        <w:t xml:space="preserve">Алеутская, 4;</w:t>
      </w:r>
      <w:r>
        <w:rPr>
          <w:rFonts w:ascii="PT Astra Serif" w:hAnsi="PT Astra Serif"/>
          <w:bCs/>
        </w:rPr>
      </w:r>
      <w:r>
        <w:rPr>
          <w:rFonts w:ascii="PT Astra Serif" w:hAnsi="PT Astra Serif"/>
          <w:bCs/>
        </w:rPr>
      </w:r>
    </w:p>
    <w:p>
      <w:pPr>
        <w:pStyle w:val="1177"/>
        <w:ind w:firstLine="709"/>
        <w:jc w:val="both"/>
        <w:spacing w:before="0" w:beforeAutospacing="0" w:after="0" w:afterAutospacing="0"/>
        <w:rPr>
          <w:rFonts w:ascii="PT Astra Serif" w:hAnsi="PT Astra Serif"/>
          <w:bCs/>
        </w:rPr>
      </w:pPr>
      <w:r>
        <w:rPr>
          <w:rFonts w:ascii="PT Astra Serif" w:hAnsi="PT Astra Serif"/>
          <w:bCs/>
        </w:rPr>
        <w:t xml:space="preserve">5) </w:t>
      </w:r>
      <w:r>
        <w:rPr>
          <w:rFonts w:ascii="PT Astra Serif" w:hAnsi="PT Astra Serif"/>
          <w:bCs/>
        </w:rPr>
        <w:t xml:space="preserve">п</w:t>
      </w:r>
      <w:r>
        <w:rPr>
          <w:rFonts w:ascii="PT Astra Serif" w:hAnsi="PT Astra Serif"/>
          <w:bCs/>
        </w:rPr>
        <w:t xml:space="preserve">роведение научно-исследовательских работ (НИР) по обследованию ценности объектов культурного наследия и ценных градоформирующих объектов; </w:t>
      </w:r>
      <w:r>
        <w:rPr>
          <w:rFonts w:ascii="PT Astra Serif" w:hAnsi="PT Astra Serif"/>
          <w:bCs/>
        </w:rPr>
      </w:r>
      <w:r>
        <w:rPr>
          <w:rFonts w:ascii="PT Astra Serif" w:hAnsi="PT Astra Serif"/>
          <w:bCs/>
        </w:rPr>
      </w:r>
    </w:p>
    <w:p>
      <w:pPr>
        <w:pStyle w:val="1177"/>
        <w:ind w:firstLine="709"/>
        <w:jc w:val="both"/>
        <w:spacing w:before="0" w:beforeAutospacing="0" w:after="0" w:afterAutospacing="0"/>
        <w:rPr>
          <w:rFonts w:ascii="PT Astra Serif" w:hAnsi="PT Astra Serif"/>
          <w:bCs/>
        </w:rPr>
      </w:pPr>
      <w:r>
        <w:rPr>
          <w:rFonts w:ascii="PT Astra Serif" w:hAnsi="PT Astra Serif"/>
          <w:bCs/>
        </w:rPr>
        <w:t xml:space="preserve">6) </w:t>
      </w:r>
      <w:r>
        <w:rPr>
          <w:rFonts w:ascii="PT Astra Serif" w:hAnsi="PT Astra Serif"/>
          <w:bCs/>
        </w:rPr>
        <w:t xml:space="preserve">у</w:t>
      </w:r>
      <w:r>
        <w:rPr>
          <w:rFonts w:ascii="PT Astra Serif" w:hAnsi="PT Astra Serif"/>
          <w:bCs/>
        </w:rPr>
        <w:t xml:space="preserve">становление памятной доски русскому писателю В.Я. Шишкову на здании по адресу: г.</w:t>
      </w:r>
      <w:r>
        <w:rPr>
          <w:rFonts w:ascii="PT Astra Serif" w:hAnsi="PT Astra Serif"/>
          <w:bCs/>
        </w:rPr>
        <w:t xml:space="preserve"> </w:t>
      </w:r>
      <w:r>
        <w:rPr>
          <w:rFonts w:ascii="PT Astra Serif" w:hAnsi="PT Astra Serif"/>
          <w:bCs/>
        </w:rPr>
        <w:t xml:space="preserve">Томск, ул. К. Маркса, 2.</w:t>
      </w:r>
      <w:r>
        <w:rPr>
          <w:rFonts w:ascii="PT Astra Serif" w:hAnsi="PT Astra Serif"/>
          <w:bCs/>
        </w:rPr>
      </w:r>
      <w:r>
        <w:rPr>
          <w:rFonts w:ascii="PT Astra Serif" w:hAnsi="PT Astra Serif"/>
          <w:bCs/>
        </w:rPr>
      </w:r>
    </w:p>
    <w:p>
      <w:pPr>
        <w:ind w:firstLine="709"/>
        <w:jc w:val="both"/>
        <w:spacing w:after="0" w:line="240" w:lineRule="auto"/>
        <w:rPr>
          <w:rFonts w:ascii="PT Astra Serif" w:hAnsi="PT Astra Serif"/>
          <w:sz w:val="24"/>
          <w:szCs w:val="24"/>
          <w:shd w:val="clear" w:color="auto" w:fill="ffffff"/>
        </w:rPr>
      </w:pPr>
      <w:r>
        <w:rPr>
          <w:rFonts w:ascii="PT Astra Serif" w:hAnsi="PT Astra Serif"/>
          <w:sz w:val="24"/>
          <w:szCs w:val="24"/>
          <w:shd w:val="clear" w:color="auto" w:fill="ffffff"/>
        </w:rPr>
        <w:t xml:space="preserve">По итогам 2023 года сохраняется тенденция по увеличению археологических полевых работ на территории области, включая выявление объектов археологического наследия (15 памятников археологии, датированны</w:t>
      </w:r>
      <w:r>
        <w:rPr>
          <w:rFonts w:ascii="PT Astra Serif" w:hAnsi="PT Astra Serif"/>
          <w:sz w:val="24"/>
          <w:szCs w:val="24"/>
          <w:shd w:val="clear" w:color="auto" w:fill="ffffff"/>
        </w:rPr>
        <w:t xml:space="preserve">х</w:t>
      </w:r>
      <w:r>
        <w:rPr>
          <w:rFonts w:ascii="PT Astra Serif" w:hAnsi="PT Astra Serif"/>
          <w:sz w:val="24"/>
          <w:szCs w:val="24"/>
          <w:shd w:val="clear" w:color="auto" w:fill="ffffff"/>
        </w:rPr>
        <w:t xml:space="preserve"> от эпохи неолита до позднего средневековья и начала </w:t>
      </w:r>
      <w:r>
        <w:rPr>
          <w:rFonts w:ascii="PT Astra Serif" w:hAnsi="PT Astra Serif"/>
          <w:sz w:val="24"/>
          <w:szCs w:val="24"/>
          <w:shd w:val="clear" w:color="auto" w:fill="ffffff"/>
          <w:lang w:val="en-US"/>
        </w:rPr>
        <w:t xml:space="preserve">XX</w:t>
      </w:r>
      <w:r>
        <w:rPr>
          <w:rFonts w:ascii="PT Astra Serif" w:hAnsi="PT Astra Serif"/>
          <w:sz w:val="24"/>
          <w:szCs w:val="24"/>
          <w:shd w:val="clear" w:color="auto" w:fill="ffffff"/>
        </w:rPr>
        <w:t xml:space="preserve"> века) и выполнение мероприятий по сохранению (раскопок) объектов археологического наследия. </w:t>
      </w:r>
      <w:r>
        <w:rPr>
          <w:rFonts w:ascii="PT Astra Serif" w:hAnsi="PT Astra Serif"/>
          <w:sz w:val="24"/>
          <w:szCs w:val="24"/>
          <w:shd w:val="clear" w:color="auto" w:fill="ffffff"/>
        </w:rPr>
      </w:r>
      <w:r>
        <w:rPr>
          <w:rFonts w:ascii="PT Astra Serif" w:hAnsi="PT Astra Serif"/>
          <w:sz w:val="24"/>
          <w:szCs w:val="24"/>
          <w:shd w:val="clear" w:color="auto" w:fill="ffffff"/>
        </w:rPr>
      </w:r>
    </w:p>
    <w:p>
      <w:pPr>
        <w:ind w:firstLine="709"/>
        <w:jc w:val="both"/>
        <w:spacing w:after="0" w:line="240" w:lineRule="auto"/>
        <w:rPr>
          <w:rFonts w:ascii="PT Astra Serif" w:hAnsi="PT Astra Serif"/>
          <w:sz w:val="24"/>
          <w:szCs w:val="24"/>
          <w:shd w:val="clear" w:color="auto" w:fill="ffffff"/>
        </w:rPr>
      </w:pPr>
      <w:r>
        <w:rPr>
          <w:rFonts w:ascii="PT Astra Serif" w:hAnsi="PT Astra Serif"/>
          <w:sz w:val="24"/>
          <w:szCs w:val="24"/>
          <w:shd w:val="clear" w:color="auto" w:fill="ffffff"/>
        </w:rPr>
        <w:t xml:space="preserve">Проведены археологические раскопки на территории города Томска (То</w:t>
      </w:r>
      <w:r>
        <w:rPr>
          <w:rFonts w:ascii="PT Astra Serif" w:hAnsi="PT Astra Serif"/>
          <w:sz w:val="24"/>
          <w:szCs w:val="24"/>
          <w:shd w:val="clear" w:color="auto" w:fill="ffffff"/>
        </w:rPr>
        <w:t xml:space="preserve">мский острог), утверждено 13 охранных обязательств на объекты археологического наследия федерального значения, проведены государственные историко-культурные экспертизы на 56 объектов культурного наследия в целях обоснования целесообразности их включения в </w:t>
      </w:r>
      <w:r>
        <w:rPr>
          <w:rFonts w:ascii="PT Astra Serif" w:hAnsi="PT Astra Serif"/>
          <w:sz w:val="24"/>
          <w:szCs w:val="24"/>
          <w:shd w:val="clear" w:color="auto" w:fill="ffffff"/>
        </w:rPr>
        <w:t xml:space="preserve">Е</w:t>
      </w:r>
      <w:r>
        <w:rPr>
          <w:rFonts w:ascii="PT Astra Serif" w:hAnsi="PT Astra Serif"/>
          <w:sz w:val="24"/>
          <w:szCs w:val="24"/>
          <w:shd w:val="clear" w:color="auto" w:fill="ffffff"/>
        </w:rPr>
        <w:t xml:space="preserve">диный государственный реестр объектов культурного наследия (памятников истории и культуры) народов Российской Федерации, проведен мониторинг состояния 60 объектов археологического наследия федерального значения.</w:t>
      </w:r>
      <w:r>
        <w:rPr>
          <w:rFonts w:ascii="PT Astra Serif" w:hAnsi="PT Astra Serif"/>
          <w:sz w:val="24"/>
          <w:szCs w:val="24"/>
          <w:shd w:val="clear" w:color="auto" w:fill="ffffff"/>
        </w:rPr>
      </w:r>
      <w:r>
        <w:rPr>
          <w:rFonts w:ascii="PT Astra Serif" w:hAnsi="PT Astra Serif"/>
          <w:sz w:val="24"/>
          <w:szCs w:val="24"/>
          <w:shd w:val="clear" w:color="auto" w:fill="ffffff"/>
        </w:rPr>
      </w:r>
    </w:p>
    <w:p>
      <w:pPr>
        <w:ind w:firstLine="709"/>
        <w:jc w:val="both"/>
        <w:spacing w:after="0" w:line="240" w:lineRule="auto"/>
        <w:rPr>
          <w:rFonts w:ascii="PT Astra Serif" w:hAnsi="PT Astra Serif"/>
          <w:sz w:val="24"/>
          <w:szCs w:val="24"/>
        </w:rPr>
      </w:pPr>
      <w:r>
        <w:rPr>
          <w:rFonts w:ascii="PT Astra Serif" w:hAnsi="PT Astra Serif"/>
          <w:sz w:val="24"/>
          <w:szCs w:val="24"/>
          <w:shd w:val="clear" w:color="auto" w:fill="ffffff"/>
        </w:rPr>
        <w:t xml:space="preserve">Согласовано 56 научных отчетов о выполнении </w:t>
      </w:r>
      <w:r>
        <w:rPr>
          <w:rFonts w:ascii="PT Astra Serif" w:hAnsi="PT Astra Serif"/>
          <w:sz w:val="24"/>
          <w:szCs w:val="24"/>
        </w:rPr>
        <w:t xml:space="preserve">археологических работ, учтена информация по</w:t>
      </w:r>
      <w:r>
        <w:rPr>
          <w:rFonts w:ascii="PT Astra Serif" w:hAnsi="PT Astra Serif"/>
          <w:sz w:val="24"/>
          <w:szCs w:val="24"/>
        </w:rPr>
        <w:t xml:space="preserve"> 89 открытым листам, выданным Министерством культуры Российской Федерации, предоставлена информация по 1 041 запросу по хозяйственному освоению земельных участков, по итогам которых выданы условия осуществления инвестиционной деятельности, подготовлено 29 </w:t>
      </w:r>
      <w:r>
        <w:rPr>
          <w:rFonts w:ascii="PT Astra Serif" w:hAnsi="PT Astra Serif"/>
          <w:sz w:val="24"/>
          <w:szCs w:val="24"/>
        </w:rPr>
        <w:t xml:space="preserve">а</w:t>
      </w:r>
      <w:r>
        <w:rPr>
          <w:rFonts w:ascii="PT Astra Serif" w:hAnsi="PT Astra Serif"/>
          <w:sz w:val="24"/>
          <w:szCs w:val="24"/>
        </w:rPr>
        <w:t xml:space="preserve">ктов государственной историко-культурной экспертизы из них 5 по объектам археологического наследия.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целях исполнения поручения Президента РФ, направленного на осуществление государственной охраны объектов культурного наследия, расположенных на территории Томской области, муниципального образования «Город Томск» – ис</w:t>
      </w:r>
      <w:r>
        <w:rPr>
          <w:rFonts w:ascii="PT Astra Serif" w:hAnsi="PT Astra Serif"/>
          <w:sz w:val="24"/>
          <w:szCs w:val="24"/>
        </w:rPr>
        <w:t xml:space="preserve">торического поселения федерального значения, проведены научно-исследовательские работы (НИР) по обследованию ценности объектов культурного наследия и ценных градоформирующих объектов, входящих в состав предмета охраны исторического поселения «Город Томск».</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1. Осуществление государственной охраны объектов культурного наследия, расположенных на территории Томской области, муниципального образования «Город Томск» – исторического поселения федерального значения.</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2. Осуществление государственного надзора за соблюдением законодательства в сфере государственной охраны и сохранения объектов культурного наследия.</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3. Продолжение работ по капитальному ремонту объектов культурного наследия.</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4. Проведение работ по капитальному ремонту здания Дома офицеров по пр</w:t>
      </w:r>
      <w:r>
        <w:rPr>
          <w:rFonts w:ascii="PT Astra Serif" w:hAnsi="PT Astra Serif" w:eastAsia="Calibri"/>
          <w:sz w:val="24"/>
          <w:szCs w:val="24"/>
        </w:rPr>
        <w:t xml:space="preserve">.</w:t>
      </w:r>
      <w:r>
        <w:rPr>
          <w:rFonts w:ascii="PT Astra Serif" w:hAnsi="PT Astra Serif" w:eastAsia="Calibri"/>
          <w:sz w:val="24"/>
          <w:szCs w:val="24"/>
        </w:rPr>
        <w:t xml:space="preserve"> Ленина,</w:t>
      </w:r>
      <w:r>
        <w:rPr>
          <w:rFonts w:ascii="PT Astra Serif" w:hAnsi="PT Astra Serif" w:eastAsia="Calibri"/>
          <w:sz w:val="24"/>
          <w:szCs w:val="24"/>
        </w:rPr>
        <w:t xml:space="preserve"> </w:t>
      </w:r>
      <w:r>
        <w:rPr>
          <w:rFonts w:ascii="PT Astra Serif" w:hAnsi="PT Astra Serif" w:eastAsia="Calibri"/>
          <w:sz w:val="24"/>
          <w:szCs w:val="24"/>
        </w:rPr>
        <w:t xml:space="preserve">50 в г. Томске с целью организации музейной и выставочной деятельности.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5</w:t>
      </w:r>
      <w:r>
        <w:rPr>
          <w:rFonts w:ascii="PT Astra Serif" w:hAnsi="PT Astra Serif" w:eastAsia="Calibri"/>
          <w:sz w:val="24"/>
          <w:szCs w:val="24"/>
        </w:rPr>
        <w:t xml:space="preserve">.</w:t>
      </w:r>
      <w:r>
        <w:rPr>
          <w:rFonts w:ascii="PT Astra Serif" w:hAnsi="PT Astra Serif" w:eastAsia="Calibri"/>
          <w:sz w:val="24"/>
          <w:szCs w:val="24"/>
        </w:rPr>
        <w:t xml:space="preserve"> Организация работы с федеральными органами власти по вопросам внесения изменений в законодательство РФ об охране объектов культурного наследия.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46"/>
        <w:outlineLvl w:val="1"/>
      </w:pPr>
      <w:r/>
      <w:bookmarkStart w:id="20" w:name="_Toc134630410"/>
      <w:r>
        <w:t xml:space="preserve">3.8. Повышение качества и доступности социальной поддержки и социального обслуживания населения, в том числе детей</w:t>
      </w:r>
      <w:bookmarkEnd w:id="20"/>
      <w:r/>
      <w:r/>
    </w:p>
    <w:p>
      <w:pPr>
        <w:ind w:firstLine="709"/>
        <w:jc w:val="both"/>
        <w:spacing w:after="0" w:line="240" w:lineRule="auto"/>
        <w:tabs>
          <w:tab w:val="left" w:pos="851"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pStyle w:val="1149"/>
        <w:jc w:val="both"/>
        <w:spacing w:before="0" w:beforeAutospacing="0" w:after="0" w:afterAutospacing="0"/>
        <w:shd w:val="clear" w:color="auto" w:fill="eaf1dd" w:themeFill="accent3" w:themeFillTint="33"/>
        <w:tabs>
          <w:tab w:val="left" w:pos="4962" w:leader="none"/>
        </w:tabs>
        <w:rPr>
          <w:rFonts w:ascii="PT Astra Serif" w:hAnsi="PT Astra Serif"/>
          <w:b/>
        </w:rPr>
      </w:pPr>
      <w:r>
        <w:rPr>
          <w:rFonts w:ascii="PT Astra Serif" w:hAnsi="PT Astra Serif"/>
          <w:b/>
        </w:rPr>
        <w:t xml:space="preserve">Социальное обслуживание</w:t>
      </w:r>
      <w:r>
        <w:rPr>
          <w:rStyle w:val="1138"/>
          <w:rFonts w:eastAsia="Calibri"/>
          <w:b/>
        </w:rPr>
        <w:footnoteReference w:id="10"/>
      </w:r>
      <w:r>
        <w:rPr>
          <w:rFonts w:ascii="PT Astra Serif" w:hAnsi="PT Astra Serif"/>
          <w:b/>
        </w:rPr>
      </w:r>
      <w:r>
        <w:rPr>
          <w:rFonts w:ascii="PT Astra Serif" w:hAnsi="PT Astra Serif"/>
          <w:b/>
        </w:rPr>
      </w:r>
    </w:p>
    <w:p>
      <w:pPr>
        <w:pStyle w:val="1149"/>
        <w:ind w:firstLine="709"/>
        <w:jc w:val="both"/>
        <w:spacing w:before="0" w:beforeAutospacing="0" w:after="0" w:afterAutospacing="0"/>
        <w:rPr>
          <w:rFonts w:ascii="PT Astra Serif" w:hAnsi="PT Astra Serif"/>
        </w:rPr>
      </w:pPr>
      <w:r>
        <w:rPr>
          <w:rFonts w:ascii="PT Astra Serif" w:hAnsi="PT Astra Serif"/>
        </w:rPr>
        <w:t xml:space="preserve">Приоритетными направлениями социальной политики яв</w:t>
      </w:r>
      <w:r>
        <w:rPr>
          <w:rFonts w:ascii="PT Astra Serif" w:hAnsi="PT Astra Serif"/>
        </w:rPr>
        <w:t xml:space="preserve">ляю</w:t>
      </w:r>
      <w:r>
        <w:rPr>
          <w:rFonts w:ascii="PT Astra Serif" w:hAnsi="PT Astra Serif"/>
        </w:rPr>
        <w:t xml:space="preserve">тся </w:t>
      </w:r>
      <w:r>
        <w:rPr>
          <w:rFonts w:ascii="PT Astra Serif" w:hAnsi="PT Astra Serif" w:eastAsia="Calibri"/>
        </w:rPr>
        <w:t xml:space="preserve">повышение качества и доступности оказания мер социальной поддержки и социального обслуживания населения Томской области,</w:t>
      </w:r>
      <w:r>
        <w:rPr>
          <w:rFonts w:ascii="PT Astra Serif" w:hAnsi="PT Astra Serif"/>
        </w:rPr>
        <w:t xml:space="preserve"> обеспечивающих достойную жизнь граждан различных возрастных и социальных групп, снижение уровня бедности  населения.</w:t>
      </w:r>
      <w:r>
        <w:rPr>
          <w:rFonts w:ascii="PT Astra Serif" w:hAnsi="PT Astra Serif"/>
        </w:rPr>
      </w:r>
      <w:r>
        <w:rPr>
          <w:rFonts w:ascii="PT Astra Serif" w:hAnsi="PT Astra Serif"/>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Calibri"/>
          <w:sz w:val="24"/>
          <w:szCs w:val="24"/>
        </w:rPr>
        <w:t xml:space="preserve">В 2023 году в Томской области реализованы меры социальной поддержки семьям с детьми, мобилизованным, ветеранам, инвалидам и др., поддержку получили более 348,6 тыс. жителей региона.</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Наиболее мас</w:t>
      </w:r>
      <w:r>
        <w:rPr>
          <w:rFonts w:ascii="PT Astra Serif" w:hAnsi="PT Astra Serif" w:eastAsia="Times New Roman"/>
          <w:sz w:val="24"/>
          <w:szCs w:val="24"/>
          <w:lang w:eastAsia="ru-RU"/>
        </w:rPr>
        <w:t xml:space="preserve">совыми и социально значимыми мерами социальной поддержки являются субсидии и компенсации на оплату жилого помещения и коммунальных услуг, ежемесячные денежные выплаты льготным категориям граждан (ветеранам труда, труженикам тыла, реабилитированным и пр.).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Общая численность получателей мер социальной поддержки на оплату жилого помещения и коммунальных услуг в Томской области составляет более 140 тыс. человек, в 2023 году на реализацию указанных мер поддержки направлено более 3,</w:t>
      </w:r>
      <w:r>
        <w:rPr>
          <w:rFonts w:ascii="PT Astra Serif" w:hAnsi="PT Astra Serif" w:eastAsia="Times New Roman"/>
          <w:sz w:val="24"/>
          <w:szCs w:val="24"/>
          <w:lang w:eastAsia="ru-RU"/>
        </w:rPr>
        <w:t xml:space="preserve">4</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млрд</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рублей из </w:t>
      </w:r>
      <w:r>
        <w:rPr>
          <w:rFonts w:ascii="PT Astra Serif" w:hAnsi="PT Astra Serif" w:eastAsia="Calibri"/>
          <w:sz w:val="24"/>
          <w:szCs w:val="24"/>
        </w:rPr>
        <w:t xml:space="preserve">федерального </w:t>
      </w:r>
      <w:r>
        <w:rPr>
          <w:rFonts w:ascii="PT Astra Serif" w:hAnsi="PT Astra Serif" w:eastAsia="Times New Roman"/>
          <w:sz w:val="24"/>
          <w:szCs w:val="24"/>
          <w:lang w:eastAsia="ru-RU"/>
        </w:rPr>
        <w:t xml:space="preserve">и регионального бюджетов.</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Calibri"/>
          <w:sz w:val="24"/>
          <w:szCs w:val="24"/>
        </w:rPr>
      </w:pPr>
      <w:r>
        <w:rPr>
          <w:rFonts w:ascii="PT Astra Serif" w:hAnsi="PT Astra Serif" w:eastAsia="Times New Roman"/>
          <w:sz w:val="24"/>
          <w:szCs w:val="24"/>
          <w:lang w:eastAsia="ru-RU"/>
        </w:rPr>
        <w:t xml:space="preserve">В 2023 году была оказана социальная помощь с использованием специализированных автомобилей 12 573 гражданам: 5 198 гражданам доставлены продукты и предметы первой необходимости, </w:t>
      </w:r>
      <w:r>
        <w:rPr>
          <w:rFonts w:ascii="PT Astra Serif" w:hAnsi="PT Astra Serif" w:eastAsia="Calibri"/>
          <w:sz w:val="24"/>
          <w:szCs w:val="24"/>
        </w:rPr>
        <w:t xml:space="preserve">1 468 гражданам доставлены лекарственные препараты, 68 гражданам доставлены медицинские работники с целью оказания им медицинской помощи на дому, 1 277 граждан доставлены в медицинские организации (за иск</w:t>
      </w:r>
      <w:r>
        <w:rPr>
          <w:rFonts w:ascii="PT Astra Serif" w:hAnsi="PT Astra Serif" w:eastAsia="Calibri"/>
          <w:sz w:val="24"/>
          <w:szCs w:val="24"/>
        </w:rPr>
        <w:t xml:space="preserve">лючением охвата профилактическими осмотрами и диспансеризацией) и организации социального обслуживания, 4 562 гражданина старше 65 лет доставлены мобильными бригадами в учреждения здравоохранения для прохождения диспансеризации и профилактических осмотров.</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С 01.09.2023 на территории г. Томска и Томского района реализуется пилотный проект по созданию системы долговременного ухода за гражданами пожилого возраста и инвалидами, нуждающимися в уходе, на реализац</w:t>
      </w:r>
      <w:r>
        <w:rPr>
          <w:rFonts w:ascii="PT Astra Serif" w:hAnsi="PT Astra Serif" w:eastAsia="Calibri"/>
          <w:sz w:val="24"/>
          <w:szCs w:val="24"/>
        </w:rPr>
        <w:t xml:space="preserve">ию которого направлено 36,3 млн</w:t>
      </w:r>
      <w:r>
        <w:rPr>
          <w:rFonts w:ascii="PT Astra Serif" w:hAnsi="PT Astra Serif" w:eastAsia="Calibri"/>
          <w:sz w:val="24"/>
          <w:szCs w:val="24"/>
        </w:rPr>
        <w:t xml:space="preserve"> рублей. Организована Школа ухода за гражданами </w:t>
      </w:r>
      <w:r>
        <w:rPr>
          <w:rFonts w:ascii="PT Astra Serif" w:hAnsi="PT Astra Serif" w:eastAsia="Calibri"/>
          <w:sz w:val="24"/>
          <w:szCs w:val="24"/>
        </w:rPr>
        <w:t xml:space="preserve">пожилого возраста и инвалидами и Пункт проката технических средств реабилитации, осуществлена закупка технических средств реабилитации (многофункциональные кровати, противопролежневые матрацы, прикроватные столики, ванны для мытья и др.) на общую сумму 19,</w:t>
      </w:r>
      <w:r>
        <w:rPr>
          <w:rFonts w:ascii="PT Astra Serif" w:hAnsi="PT Astra Serif" w:eastAsia="Calibri"/>
          <w:sz w:val="24"/>
          <w:szCs w:val="24"/>
        </w:rPr>
        <w:t xml:space="preserve">4</w:t>
      </w:r>
      <w:r>
        <w:rPr>
          <w:rFonts w:ascii="PT Astra Serif" w:hAnsi="PT Astra Serif" w:eastAsia="Calibri"/>
          <w:sz w:val="24"/>
          <w:szCs w:val="24"/>
        </w:rPr>
        <w:t xml:space="preserve"> млн</w:t>
      </w:r>
      <w:r>
        <w:rPr>
          <w:rFonts w:ascii="PT Astra Serif" w:hAnsi="PT Astra Serif" w:eastAsia="Calibri"/>
          <w:sz w:val="24"/>
          <w:szCs w:val="24"/>
        </w:rPr>
        <w:t xml:space="preserve"> рублей, 250 гражданам оказаны услуги.</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На постоянной основе внедряются стационарозамещающие технологии социального обслуживания:</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«мобильная бригада социальных работников» оказала услуги 715 гражданам пожилого возраста и инвалидам;</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«семейная бригада социальных работников» – в 14 муниципальных образованиях Томской области действует 25 семейных бригад;</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«услугами сиделки» воспользовались 148 тяжелобольных граждан пожилого возраста и инвалидов;</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в «школе ухода за гражданами пожилого возраста и инвалидами» обучение прошел 501 гражданин. В регионе действует 28 «школ ухода»;</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социальное обслуживание в «отделении долговременного ухода на дому получили 250 граждан;</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в 46 «приемных семьях для граждан пожилого возраста и инвалидов» проживает 51 гражданин.</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целях повышения уровня качества предоставле</w:t>
      </w:r>
      <w:r>
        <w:rPr>
          <w:rFonts w:ascii="PT Astra Serif" w:hAnsi="PT Astra Serif" w:eastAsia="Calibri"/>
          <w:sz w:val="24"/>
          <w:szCs w:val="24"/>
        </w:rPr>
        <w:t xml:space="preserve">ния социальных услуг сотрудники организаций социального обслуживания Томской области ежегодно проходят обучение, в том числе курсы повышения квалификации. В 2023 году прошли обучение 1 619 сотрудников, из них на курсах повышения квалификации 543 работника.</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Доля граждан, удовлетворенных качеством предоставляемых услуг, от общего числа респондентов, прошедших анкетирование, в 2023 году составила 99,7%, что на 0,2% больше чем в 2022 году.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целях улучшения условий проживания и повышения качества жизни граждан старшего поколения и инвалидов в ОГБУ «Итатский дом-интернат для престарелых и инвалидов» построено 2 корпуса на 170 койко-мест.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рамках обновления материально технической базы проведен капитальный ремонт, в том числе выполнены работы по разработке проектной сметной документации, ее корректировке, оказанию услуг по строительному (техническому) надзору, на общую сумму</w:t>
      </w:r>
      <w:r>
        <w:rPr>
          <w:rFonts w:ascii="PT Astra Serif" w:hAnsi="PT Astra Serif" w:eastAsia="Calibri"/>
          <w:sz w:val="24"/>
          <w:szCs w:val="24"/>
        </w:rPr>
        <w:t xml:space="preserve"> 15 524,3</w:t>
      </w:r>
      <w:r>
        <w:rPr>
          <w:rFonts w:ascii="PT Astra Serif" w:hAnsi="PT Astra Serif" w:eastAsia="Calibri"/>
          <w:sz w:val="24"/>
          <w:szCs w:val="24"/>
        </w:rPr>
        <w:t xml:space="preserve"> тыс. рублей, в том числе капитальный ремонт:</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наружных сетей связи и слаботочных сетей ОГБУ «Итатский дом-интернат для престарелых и инвалидов»;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системы пожарной сигнализации и системы оповещения и управления эвакуацией при пожаре (СОУЭ) жилого здания ОГБУ «Дом-интернат для престарелых и инвалидов Бакчарского района»;</w:t>
      </w:r>
      <w:r>
        <w:rPr>
          <w:rFonts w:ascii="PT Astra Serif" w:hAnsi="PT Astra Serif" w:eastAsia="Calibri"/>
          <w:sz w:val="24"/>
          <w:szCs w:val="24"/>
        </w:rPr>
      </w:r>
      <w:r>
        <w:rPr>
          <w:rFonts w:ascii="PT Astra Serif" w:hAnsi="PT Astra Serif" w:eastAsia="Calibri"/>
          <w:sz w:val="24"/>
          <w:szCs w:val="24"/>
        </w:rPr>
      </w:r>
    </w:p>
    <w:p>
      <w:pPr>
        <w:contextualSpacing/>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автоматической пожарной сигнализации жилых зданий ОГБУ «Дом-интернат для престарелых и инвалидов «Виола» ЗАТО Северск»;</w:t>
      </w:r>
      <w:r>
        <w:rPr>
          <w:rFonts w:ascii="PT Astra Serif" w:hAnsi="PT Astra Serif" w:eastAsia="Calibri"/>
          <w:sz w:val="24"/>
          <w:szCs w:val="24"/>
        </w:rPr>
      </w:r>
      <w:r>
        <w:rPr>
          <w:rFonts w:ascii="PT Astra Serif" w:hAnsi="PT Astra Serif" w:eastAsia="Calibri"/>
          <w:sz w:val="24"/>
          <w:szCs w:val="24"/>
        </w:rPr>
      </w:r>
    </w:p>
    <w:p>
      <w:pPr>
        <w:contextualSpacing/>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пожарной сигнализации зданий, гаражей, цеха переработки ОГАУ «ДСО «Забота».</w:t>
      </w:r>
      <w:r>
        <w:rPr>
          <w:rFonts w:ascii="PT Astra Serif" w:hAnsi="PT Astra Serif" w:eastAsia="Calibri"/>
          <w:sz w:val="24"/>
          <w:szCs w:val="24"/>
        </w:rPr>
      </w:r>
      <w:r>
        <w:rPr>
          <w:rFonts w:ascii="PT Astra Serif" w:hAnsi="PT Astra Serif" w:eastAsia="Calibri"/>
          <w:sz w:val="24"/>
          <w:szCs w:val="24"/>
        </w:rPr>
      </w:r>
    </w:p>
    <w:p>
      <w:pPr>
        <w:contextualSpacing/>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Приобретены основные средства на сумму </w:t>
      </w:r>
      <w:r>
        <w:rPr>
          <w:rFonts w:ascii="PT Astra Serif" w:hAnsi="PT Astra Serif" w:eastAsia="Calibri"/>
          <w:sz w:val="24"/>
          <w:szCs w:val="24"/>
        </w:rPr>
        <w:t xml:space="preserve">8 736,2 </w:t>
      </w:r>
      <w:r>
        <w:rPr>
          <w:rFonts w:ascii="PT Astra Serif" w:hAnsi="PT Astra Serif" w:eastAsia="Calibri"/>
          <w:sz w:val="24"/>
          <w:szCs w:val="24"/>
        </w:rPr>
        <w:t xml:space="preserve">тыс. рублей (автомобиль, холодильники, шкафы, столы, тумбы, функциональные кровати, спецсредства для маломобильных граждан, сиденья для ванной, ходунки, опоры и т.д.) для ОГБУ «</w:t>
      </w:r>
      <w:r>
        <w:rPr>
          <w:rFonts w:ascii="PT Astra Serif" w:hAnsi="PT Astra Serif" w:eastAsia="Calibri"/>
          <w:bCs/>
          <w:sz w:val="24"/>
          <w:szCs w:val="24"/>
        </w:rPr>
        <w:t xml:space="preserve">Итатский дом-интернат для престарелых и инвалидов», </w:t>
      </w:r>
      <w:r>
        <w:rPr>
          <w:rFonts w:ascii="PT Astra Serif" w:hAnsi="PT Astra Serif" w:eastAsia="Calibri"/>
          <w:sz w:val="24"/>
          <w:szCs w:val="24"/>
        </w:rPr>
        <w:t xml:space="preserve">ОГАУ «Дом социального обслуживания «Забота», ОГАУ «Комплексный центр социального обслуживания населения Томской области», ОГБУ «Дом-интернат для престарелых и инвалидов «Виола» ЗАТО Северск», ОГБУ «Дом социального обслуживания «Парус».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рамках формирования доступной среды для инвалидов:</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trike/>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80 объектов (94,1%) адаптированы под потребности инвалидов в приоритетных сферах жизнедеятельности (образование, здравоохранение, культура, спорт);</w:t>
      </w:r>
      <w:r>
        <w:rPr>
          <w:rFonts w:ascii="PT Astra Serif" w:hAnsi="PT Astra Serif" w:eastAsia="Calibri"/>
          <w:strike/>
          <w:sz w:val="24"/>
          <w:szCs w:val="24"/>
        </w:rPr>
      </w:r>
      <w:r>
        <w:rPr>
          <w:rFonts w:ascii="PT Astra Serif" w:hAnsi="PT Astra Serif" w:eastAsia="Calibri"/>
          <w:strike/>
          <w:sz w:val="24"/>
          <w:szCs w:val="24"/>
        </w:rPr>
      </w:r>
    </w:p>
    <w:p>
      <w:pPr>
        <w:ind w:firstLine="709"/>
        <w:jc w:val="both"/>
        <w:spacing w:after="0" w:line="240" w:lineRule="auto"/>
        <w:rPr>
          <w:rFonts w:ascii="PT Astra Serif" w:hAnsi="PT Astra Serif" w:eastAsia="Calibri"/>
          <w:strike/>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более 2 000 инвалидов и 987 детей-инвалидов получили бесплатные реабилитационные услуги либо материальную помощь на получение платных услуг по реабилитации.</w:t>
      </w:r>
      <w:r>
        <w:rPr>
          <w:rFonts w:ascii="PT Astra Serif" w:hAnsi="PT Astra Serif" w:eastAsia="Calibri"/>
          <w:strike/>
          <w:sz w:val="24"/>
          <w:szCs w:val="24"/>
        </w:rPr>
      </w:r>
      <w:r>
        <w:rPr>
          <w:rFonts w:ascii="PT Astra Serif" w:hAnsi="PT Astra Serif" w:eastAsia="Calibri"/>
          <w:strike/>
          <w:sz w:val="24"/>
          <w:szCs w:val="24"/>
        </w:rPr>
      </w:r>
    </w:p>
    <w:p>
      <w:pPr>
        <w:contextualSpacing/>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2023 году в регионе на газификацию жилья предоставлялось две меры социальной поддержки: </w:t>
      </w:r>
      <w:r>
        <w:rPr>
          <w:rFonts w:ascii="PT Astra Serif" w:hAnsi="PT Astra Serif" w:eastAsia="Calibri"/>
          <w:sz w:val="24"/>
          <w:szCs w:val="24"/>
        </w:rPr>
      </w:r>
      <w:r>
        <w:rPr>
          <w:rFonts w:ascii="PT Astra Serif" w:hAnsi="PT Astra Serif" w:eastAsia="Calibri"/>
          <w:sz w:val="24"/>
          <w:szCs w:val="24"/>
        </w:rPr>
      </w:r>
    </w:p>
    <w:p>
      <w:pPr>
        <w:contextualSpacing/>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компенсация расходов по сертификату на газификацию жилого помещения. В 2023 год выдано 2009 сертификатов, компенсацию получили 1,1</w:t>
      </w:r>
      <w:r>
        <w:rPr>
          <w:rFonts w:ascii="PT Astra Serif" w:hAnsi="PT Astra Serif" w:eastAsia="Calibri"/>
          <w:sz w:val="24"/>
          <w:szCs w:val="24"/>
        </w:rPr>
        <w:t xml:space="preserve"> тыс. граждан на сумму 84,1 млн</w:t>
      </w:r>
      <w:r>
        <w:rPr>
          <w:rFonts w:ascii="PT Astra Serif" w:hAnsi="PT Astra Serif" w:eastAsia="Calibri"/>
          <w:sz w:val="24"/>
          <w:szCs w:val="24"/>
        </w:rPr>
        <w:t xml:space="preserve"> рублей (в 2022 году - 482 граждан на сумму 35,</w:t>
      </w:r>
      <w:r>
        <w:rPr>
          <w:rFonts w:ascii="PT Astra Serif" w:hAnsi="PT Astra Serif" w:eastAsia="Calibri"/>
          <w:sz w:val="24"/>
          <w:szCs w:val="24"/>
        </w:rPr>
        <w:t xml:space="preserve">5</w:t>
      </w:r>
      <w:r>
        <w:rPr>
          <w:rFonts w:ascii="PT Astra Serif" w:hAnsi="PT Astra Serif" w:eastAsia="Calibri"/>
          <w:sz w:val="24"/>
          <w:szCs w:val="24"/>
        </w:rPr>
        <w:t xml:space="preserve"> млн</w:t>
      </w:r>
      <w:r>
        <w:rPr>
          <w:rFonts w:ascii="PT Astra Serif" w:hAnsi="PT Astra Serif" w:eastAsia="Calibri"/>
          <w:sz w:val="24"/>
          <w:szCs w:val="24"/>
        </w:rPr>
        <w:t xml:space="preserve"> рублей). Увеличение получателей связано с расширением масштабов газификации, проведенной широкой инфор</w:t>
      </w:r>
      <w:r>
        <w:rPr>
          <w:rFonts w:ascii="PT Astra Serif" w:hAnsi="PT Astra Serif" w:eastAsia="Calibri"/>
          <w:sz w:val="24"/>
          <w:szCs w:val="24"/>
        </w:rPr>
        <w:t xml:space="preserve">мационно-разъяснительной работой, расширением перечня льготных категорий, имеющих право на получение сертификата в максимальном размере без учета среднедушевого дохода семьи (ветеранам боевых действий, семьям с детьми-инвалидами, многодетным семьям и пр.);</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субсидия на покупку и установку газоиспользующего оборудования и проведение работ внутри границ земельных участков при догазификации, в 2023 году субсидию </w:t>
      </w:r>
      <w:r>
        <w:rPr>
          <w:rFonts w:ascii="PT Astra Serif" w:hAnsi="PT Astra Serif" w:eastAsia="Calibri"/>
          <w:sz w:val="24"/>
          <w:szCs w:val="24"/>
        </w:rPr>
        <w:t xml:space="preserve">до</w:t>
      </w:r>
      <w:r>
        <w:rPr>
          <w:rFonts w:ascii="PT Astra Serif" w:hAnsi="PT Astra Serif" w:eastAsia="Calibri"/>
          <w:sz w:val="24"/>
          <w:szCs w:val="24"/>
        </w:rPr>
        <w:t xml:space="preserve"> 100 тыс. рублей получил 51 человек, в том числе многодетные семьи, малоимущие семьи, ветераны боевых действий на общую сумму </w:t>
      </w:r>
      <w:r>
        <w:rPr>
          <w:rFonts w:ascii="PT Astra Serif" w:hAnsi="PT Astra Serif" w:eastAsia="Calibri"/>
          <w:sz w:val="24"/>
          <w:szCs w:val="24"/>
        </w:rPr>
        <w:t xml:space="preserve">3</w:t>
      </w:r>
      <w:r>
        <w:rPr>
          <w:rFonts w:ascii="PT Astra Serif" w:hAnsi="PT Astra Serif" w:eastAsia="Calibri"/>
          <w:sz w:val="24"/>
          <w:szCs w:val="24"/>
        </w:rPr>
        <w:t xml:space="preserve">,</w:t>
      </w:r>
      <w:r>
        <w:rPr>
          <w:rFonts w:ascii="PT Astra Serif" w:hAnsi="PT Astra Serif" w:eastAsia="Calibri"/>
          <w:sz w:val="24"/>
          <w:szCs w:val="24"/>
        </w:rPr>
        <w:t xml:space="preserve">0</w:t>
      </w:r>
      <w:r>
        <w:rPr>
          <w:rFonts w:ascii="PT Astra Serif" w:hAnsi="PT Astra Serif" w:eastAsia="Calibri"/>
          <w:sz w:val="24"/>
          <w:szCs w:val="24"/>
        </w:rPr>
        <w:t xml:space="preserve"> млн</w:t>
      </w:r>
      <w:r>
        <w:rPr>
          <w:rFonts w:ascii="PT Astra Serif" w:hAnsi="PT Astra Serif" w:eastAsia="Calibri"/>
          <w:sz w:val="24"/>
          <w:szCs w:val="24"/>
        </w:rPr>
        <w:t xml:space="preserve"> рублей.</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Одним из эффективных инструментов социальной поддержки при реализации мероприятий по снижению бедности является предоставление государственной социальной помощи (далее </w:t>
      </w:r>
      <w:r>
        <w:rPr>
          <w:rFonts w:ascii="PT Astra Serif" w:hAnsi="PT Astra Serif" w:eastAsia="Calibri"/>
          <w:sz w:val="24"/>
          <w:szCs w:val="24"/>
        </w:rPr>
        <w:t xml:space="preserve">–</w:t>
      </w:r>
      <w:r>
        <w:rPr>
          <w:rFonts w:ascii="PT Astra Serif" w:hAnsi="PT Astra Serif" w:eastAsia="Calibri"/>
          <w:sz w:val="24"/>
          <w:szCs w:val="24"/>
        </w:rPr>
        <w:t xml:space="preserve"> ГСП) на условиях социального контракта с целью стимулирования активных действий (мероприятий) граждан по преодолению трудной жизненной ситуации и для обеспечения устойчивого роста доходов семьи.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2023 году заключено 2 700 социальных контрактов, из них – 1 551 на поиск работы (580 в городской местности и 971 в сельской местности), 605 на осуществление индивидуальной предпринимательской деятель</w:t>
      </w:r>
      <w:r>
        <w:rPr>
          <w:rFonts w:ascii="PT Astra Serif" w:hAnsi="PT Astra Serif" w:eastAsia="Calibri"/>
          <w:sz w:val="24"/>
          <w:szCs w:val="24"/>
        </w:rPr>
        <w:t xml:space="preserve">ности (85 – в сфере сельского хозяйства), 369 на ведение личного подсобного хозяйства (на развитие животноводства – 237, птицеводства – 11, овощеводства – 56, растениеводства – 62, пчеловодства – 3), а также 175 – на преодоление трудной жизненной ситуации.</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С 1 июня 2023 года</w:t>
      </w:r>
      <w:r>
        <w:rPr>
          <w:rFonts w:ascii="PT Astra Serif" w:hAnsi="PT Astra Serif" w:eastAsia="Calibri"/>
          <w:sz w:val="24"/>
          <w:szCs w:val="24"/>
        </w:rPr>
        <w:t xml:space="preserve"> начал действовать региональный филиал Государственного фонда поддержки участников специальной военной операции «Защитники Отечества» в Томской области (далее – филиал фонда, СВО).</w:t>
      </w:r>
      <w:r>
        <w:rPr>
          <w:rFonts w:ascii="PT Astra Serif" w:hAnsi="PT Astra Serif" w:cstheme="minorBidi"/>
          <w:sz w:val="22"/>
          <w:szCs w:val="22"/>
        </w:rPr>
        <w:t xml:space="preserve"> </w:t>
      </w:r>
      <w:r>
        <w:rPr>
          <w:rFonts w:ascii="PT Astra Serif" w:hAnsi="PT Astra Serif" w:eastAsia="Calibri"/>
          <w:sz w:val="24"/>
          <w:szCs w:val="24"/>
        </w:rPr>
        <w:t xml:space="preserve">Социальными коорди</w:t>
      </w:r>
      <w:r>
        <w:rPr>
          <w:rFonts w:ascii="PT Astra Serif" w:hAnsi="PT Astra Serif" w:eastAsia="Calibri"/>
          <w:sz w:val="24"/>
          <w:szCs w:val="24"/>
        </w:rPr>
        <w:t xml:space="preserve">наторами филиала фонда организовано адресное сопровождение ветеранов боевых действий, участников СВО и членов их семей. Работа социальных координаторов филиала фонда с участниками специальной военной операции и членами их семей организована в районах облас</w:t>
      </w:r>
      <w:r>
        <w:rPr>
          <w:rFonts w:ascii="PT Astra Serif" w:hAnsi="PT Astra Serif" w:eastAsia="Calibri"/>
          <w:sz w:val="24"/>
          <w:szCs w:val="24"/>
        </w:rPr>
        <w:t xml:space="preserve">ти: 17 – в г. Томске, 3 – в г. Северске, по одному социальному координатору работают в Асиновском, Колпашевском, Парабельском, Зырянском районах и в г. Стрежевом, по одному помощнику социального координатора работают в Верхнекетском и Каргасокском районах.</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рамках Единого стандарта мер поддержки участников СВО и членов их семей органами социальной защиты населения предоставляются следующие меры социальной поддержки:</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1) ветеранам боевых действий предоставляется компенсация расходов на оплату жилого помещения с учетом совместно проживающих с ними членов семьи;</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2) инвалидам и ветеранам боевых действий, а также членам семей погибших (умерших) инвалидов и ветеранов боевых действий без учета нуждаемости предоставляются:</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сертификат на газификацию жилого помещения номиналом 100 тыс. рублей с последующей выплатой единовременной денежной компенсации на возмещение произведенных расходов на газификацию жилья;</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субсидия на газификацию домовладения в размере 100 тыс. рублей. С 2024 года данная субсидия также предоставляется уч</w:t>
      </w:r>
      <w:r>
        <w:rPr>
          <w:rFonts w:ascii="PT Astra Serif" w:hAnsi="PT Astra Serif" w:eastAsia="Calibri"/>
          <w:sz w:val="24"/>
          <w:szCs w:val="24"/>
        </w:rPr>
        <w:t xml:space="preserve">астникам СВО и членам их семей;</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3) гражданам, частично или полностью утратившим способность к самообслуживанию, предоставляется бесплатно социальное обслуживание на дому социальными работниками (родителям,</w:t>
      </w:r>
      <w:r>
        <w:rPr>
          <w:rFonts w:ascii="PT Astra Serif" w:hAnsi="PT Astra Serif" w:eastAsia="Calibri"/>
          <w:sz w:val="24"/>
          <w:szCs w:val="24"/>
        </w:rPr>
        <w:t xml:space="preserve"> супругам военнослужащих, мобилизованных и добровольцев, погибших при выполнении задач в ходе СВО или в период прохождения ими военной службы по мобилизации или в период исполнения ими обязанностей по контракту о пребывании в добровольческом формировании).</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Дополнительно участникам СВО и членам их семей предоставляются следующие меры поддержки (не предусмотрены Единым стандартом):</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1) единовременная выплата мобилизованным гражданам в размере 100 тыс. рублей;</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2) гражданам, заключившим контракт с Вооруженными Силами Российской Федерации о добровольном участии в СВО на территориях Украины, Донецкой Народной Республики, Луганской Народной Республики, Херсонской и Запорожской областей (далее – добровольцам):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 </w:t>
      </w:r>
      <w:r>
        <w:rPr>
          <w:rFonts w:ascii="PT Astra Serif" w:hAnsi="PT Astra Serif" w:eastAsia="Calibri"/>
          <w:sz w:val="24"/>
          <w:szCs w:val="24"/>
        </w:rPr>
        <w:t xml:space="preserve">единовременная выплата добровольцам, заключившим контракт до 1 сентября 2023 года в размере 100 тыс. рублей;</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денежная выплата добровольцам, заключившим контракт об участии в СВО после 1 сентября 2023 года, в размере 300 тыс. рублей;</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гражданам, заключившим контракт о прохождении службы</w:t>
      </w:r>
      <w:r>
        <w:rPr>
          <w:rFonts w:ascii="PT Astra Serif" w:hAnsi="PT Astra Serif" w:eastAsia="Calibri"/>
          <w:sz w:val="24"/>
          <w:szCs w:val="24"/>
        </w:rPr>
        <w:t xml:space="preserve"> в специальном батальоне «Тоян»: денежная выплата в размере 200 тыс. рублей; дополнительное материальное обеспечение из расчета 2 тыс. рублей в сутки; денежная компенсация за санаторно-курортное лечение из расчета 3 600 рублей в сутки, но не более 12 дней;</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гражданам, заключившим контракт о прохож</w:t>
      </w:r>
      <w:r>
        <w:rPr>
          <w:rFonts w:ascii="PT Astra Serif" w:hAnsi="PT Astra Serif" w:eastAsia="Calibri"/>
          <w:sz w:val="24"/>
          <w:szCs w:val="24"/>
        </w:rPr>
        <w:t xml:space="preserve">дении службы в отряде «Васюган»: денежная выплата в размере 500 тыс. рублей при заключении контракта; денежная выплата в размере 100 тыс. рублей после прохождения боевого слаживания; дополнительное материальное обеспечение из расчета 2 тыс. рублей в сутки;</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3) военнослужащим (мобил</w:t>
      </w:r>
      <w:r>
        <w:rPr>
          <w:rFonts w:ascii="PT Astra Serif" w:hAnsi="PT Astra Serif" w:eastAsia="Calibri"/>
          <w:sz w:val="24"/>
          <w:szCs w:val="24"/>
        </w:rPr>
        <w:t xml:space="preserve">изованным, добровольцам и кадровым военным Министерства обороны РФ) и лицам, проходящим службу в войсках национальной гвардии Российской Федерации, получившим ранение (увечье, контузию, травму), единовременная материальная помощь в размере 300 тыс. рублей;</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4) единовременная материальная помощь членам семей военнослужащих (мобилизованным, добровольцам и кадровым военным Министерства обороны) и лиц, проходивших службу в войсках национальной гвардии Российской Федерации, погибших при исполнении обязанностей </w:t>
      </w:r>
      <w:r>
        <w:rPr>
          <w:rFonts w:ascii="PT Astra Serif" w:hAnsi="PT Astra Serif" w:eastAsia="Calibri"/>
          <w:sz w:val="24"/>
          <w:szCs w:val="24"/>
        </w:rPr>
        <w:t xml:space="preserve">военной службы, в размере 1 млн</w:t>
      </w:r>
      <w:r>
        <w:rPr>
          <w:rFonts w:ascii="PT Astra Serif" w:hAnsi="PT Astra Serif" w:eastAsia="Calibri"/>
          <w:sz w:val="24"/>
          <w:szCs w:val="24"/>
        </w:rPr>
        <w:t xml:space="preserve"> рублей;</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5) единовременная материальная помощь в размере 42 тыс. рублей оказывается семьям, в составе которых имеются мобилизованные граждане и граждане, заключившие контракт о добровольном участии в СВО.</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р</w:t>
      </w:r>
      <w:r>
        <w:rPr>
          <w:rFonts w:ascii="PT Astra Serif" w:hAnsi="PT Astra Serif" w:eastAsia="Calibri"/>
          <w:sz w:val="24"/>
          <w:szCs w:val="24"/>
        </w:rPr>
        <w:t xml:space="preserve">амках реализации национального проекта «Демография» оказана поддержка семьям с детьми в виде ежемесячной денежной выплаты в случае рождения третьего ребенка и последующих детей до достижения ребенком возраста трех лет – на 4,1 тыс. детей из 3,8 тыс. семей.</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Также востребованными мерами поддержки у семей с детьми в 2023 году являлись:</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ежемесячная выплата на детей в возрасте от трех до семи лет включительно - на 22,4 тыс. детей из 18,8 тыс. семей;</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пособие малоимущим семьям с детьми - на 15,9 тыс. детей из 12,8 тыс. семей;</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компенсация части платы за посещение ребенком образовательных учреждений дошкольного образования - на 10,2 тыс. детей из 8,5 тыс. семей.</w:t>
      </w:r>
      <w:r>
        <w:rPr>
          <w:rFonts w:ascii="PT Astra Serif" w:hAnsi="PT Astra Serif" w:eastAsia="Calibri"/>
          <w:sz w:val="24"/>
          <w:szCs w:val="24"/>
        </w:rPr>
        <w:t xml:space="preserve"> </w:t>
      </w:r>
      <w:r>
        <w:rPr>
          <w:rFonts w:ascii="PT Astra Serif" w:hAnsi="PT Astra Serif" w:eastAsia="Calibri"/>
          <w:sz w:val="24"/>
          <w:szCs w:val="24"/>
        </w:rPr>
      </w:r>
      <w:r>
        <w:rPr>
          <w:rFonts w:ascii="PT Astra Serif" w:hAnsi="PT Astra Serif" w:eastAsia="Calibri"/>
          <w:sz w:val="24"/>
          <w:szCs w:val="24"/>
        </w:rPr>
      </w:r>
    </w:p>
    <w:p>
      <w:pPr>
        <w:jc w:val="both"/>
        <w:spacing w:after="0" w:line="240" w:lineRule="auto"/>
        <w:tabs>
          <w:tab w:val="left" w:pos="3318"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tabs>
          <w:tab w:val="left" w:pos="3318"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52"/>
        <w:ind w:left="0" w:firstLine="708"/>
        <w:jc w:val="both"/>
        <w:spacing w:after="0" w:line="240" w:lineRule="auto"/>
        <w:rPr>
          <w:rFonts w:ascii="PT Astra Serif" w:hAnsi="PT Astra Serif"/>
          <w:sz w:val="24"/>
          <w:szCs w:val="24"/>
        </w:rPr>
      </w:pPr>
      <w:r>
        <w:rPr>
          <w:rFonts w:ascii="PT Astra Serif" w:hAnsi="PT Astra Serif"/>
          <w:sz w:val="24"/>
          <w:szCs w:val="24"/>
        </w:rPr>
        <w:t xml:space="preserve">1. Повышение уровня качества социального обслуживания населения, в том числе инвалидов и детей-инвалидов.</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2. Повышение доступности оказания мер социальной поддержки.</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3. Расширение практики предоставления социального контракта и создание условий для роста благосостояния граждан.</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jc w:val="both"/>
        <w:spacing w:after="0" w:line="240" w:lineRule="auto"/>
        <w:shd w:val="clear" w:color="auto" w:fill="eaf1dd" w:themeFill="accent3" w:themeFillTint="33"/>
        <w:tabs>
          <w:tab w:val="left" w:pos="0" w:leader="none"/>
        </w:tabs>
        <w:rPr>
          <w:rFonts w:ascii="PT Astra Serif" w:hAnsi="PT Astra Serif"/>
          <w:b/>
          <w:sz w:val="24"/>
          <w:szCs w:val="24"/>
        </w:rPr>
      </w:pPr>
      <w:r>
        <w:rPr>
          <w:rFonts w:ascii="PT Astra Serif" w:hAnsi="PT Astra Serif"/>
          <w:b/>
          <w:sz w:val="24"/>
          <w:szCs w:val="24"/>
        </w:rPr>
        <w:t xml:space="preserve">Семья и дети</w:t>
      </w:r>
      <w:r>
        <w:rPr>
          <w:rStyle w:val="1138"/>
          <w:b/>
        </w:rPr>
        <w:footnoteReference w:id="11"/>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Приоритетными направлениями по оказанию помощи детям и семьям с детьми являются развитие и применение современных с</w:t>
      </w:r>
      <w:r>
        <w:rPr>
          <w:rFonts w:ascii="PT Astra Serif" w:hAnsi="PT Astra Serif" w:eastAsia="Calibri"/>
          <w:sz w:val="24"/>
          <w:szCs w:val="24"/>
        </w:rPr>
        <w:t xml:space="preserve">оциальных технологий, реализация объединенной региональной модели защиты семьи и детства, включающей весь цикл поддержки детей и семей с детьми, нуждающихся в государственной защите: профилактику социального сиротства детей, защиту прав и семейное устройст</w:t>
      </w:r>
      <w:r>
        <w:rPr>
          <w:rFonts w:ascii="PT Astra Serif" w:hAnsi="PT Astra Serif" w:eastAsia="Calibri"/>
          <w:sz w:val="24"/>
          <w:szCs w:val="24"/>
        </w:rPr>
        <w:t xml:space="preserve">во детей-сирот и детей, оставшихся без попечения родителей (далее – детей-сирот), социальное сопровождение кровных и замещающих семей, социализацию лиц из числа детей-сирот, организацию детского отдыха и оздоровления, профилактику семейного неблагополучия.</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2023 году в регионе завершен переход на модель единой ведомственной подчиненности всех организаций для детей-сирот.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рамках работы по реализации технологии межведомственного взаимодействия раннего выявления детей, нуждающихся в государственной защите, и организации работы с семьей и детьми по месту их проживания (работа «с</w:t>
      </w:r>
      <w:r>
        <w:rPr>
          <w:rFonts w:ascii="PT Astra Serif" w:hAnsi="PT Astra Serif"/>
          <w:sz w:val="24"/>
          <w:szCs w:val="24"/>
        </w:rPr>
        <w:t xml:space="preserve">о случаем») в Томской области действуют 24 службы помощи семье и детям, на базе которых ведется профилактическая работа по индивидуальному плану. Благодаря этому за 2023 год сохранена кровная семья для 2 231 ребенка «группы риска» по социальному сиротству.</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4962" w:leader="none"/>
        </w:tabs>
        <w:rPr>
          <w:rFonts w:ascii="PT Astra Serif" w:hAnsi="PT Astra Serif"/>
          <w:strike/>
          <w:sz w:val="24"/>
          <w:szCs w:val="24"/>
        </w:rPr>
      </w:pPr>
      <w:r>
        <w:rPr>
          <w:rFonts w:ascii="PT Astra Serif" w:hAnsi="PT Astra Serif"/>
          <w:strike/>
          <w:sz w:val="24"/>
          <w:szCs w:val="24"/>
        </w:rPr>
      </w:r>
      <w:r>
        <w:rPr>
          <w:rFonts w:ascii="PT Astra Serif" w:hAnsi="PT Astra Serif"/>
          <w:strike/>
          <w:sz w:val="24"/>
          <w:szCs w:val="24"/>
        </w:rPr>
      </w:r>
      <w:r>
        <w:rPr>
          <w:rFonts w:ascii="PT Astra Serif" w:hAnsi="PT Astra Serif"/>
          <w:strike/>
          <w:sz w:val="24"/>
          <w:szCs w:val="24"/>
        </w:rPr>
      </w:r>
    </w:p>
    <w:p>
      <w:pPr>
        <w:ind w:firstLine="709"/>
        <w:jc w:val="center"/>
        <w:spacing w:after="0" w:line="240" w:lineRule="auto"/>
        <w:tabs>
          <w:tab w:val="left" w:pos="4962" w:leader="none"/>
        </w:tabs>
        <w:rPr>
          <w:rFonts w:ascii="PT Astra Serif" w:hAnsi="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Томская область успешно исполняет </w:t>
      </w:r>
      <w:r>
        <w:rPr>
          <w:rFonts w:ascii="PT Astra Serif" w:hAnsi="PT Astra Serif"/>
          <w:b/>
          <w:sz w:val="24"/>
          <w:szCs w:val="24"/>
        </w:rPr>
      </w:r>
      <w:r>
        <w:rPr>
          <w:rFonts w:ascii="PT Astra Serif" w:hAnsi="PT Astra Serif"/>
          <w:b/>
          <w:sz w:val="24"/>
          <w:szCs w:val="24"/>
        </w:rPr>
      </w:r>
    </w:p>
    <w:p>
      <w:pPr>
        <w:ind w:firstLine="709"/>
        <w:jc w:val="center"/>
        <w:spacing w:after="0" w:line="240" w:lineRule="auto"/>
        <w:tabs>
          <w:tab w:val="left" w:pos="4962" w:leader="none"/>
        </w:tabs>
        <w:rPr>
          <w:rFonts w:ascii="PT Astra Serif" w:hAnsi="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b/>
          <w:sz w:val="24"/>
          <w:szCs w:val="24"/>
        </w:rPr>
        <w:t xml:space="preserve">поручение Президента Российской Федерации, обеспечивая проживание в семьях более 90,3% детей сирот от общей численности детей данной категории</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На 1 января 2024 года в Томской области проживает 3 785 детей-сирот, из них 3 418 детей (90,3%) воспитываются в 2 289 замещающих семьях (опекунов, попечителей, приемных родителей). Ежегодно снижается доля детей-сирот от детского населения региона (2023 г</w:t>
      </w:r>
      <w:r>
        <w:rPr>
          <w:rFonts w:ascii="PT Astra Serif" w:hAnsi="PT Astra Serif"/>
          <w:sz w:val="24"/>
          <w:szCs w:val="24"/>
        </w:rPr>
        <w:t xml:space="preserve">од</w:t>
      </w:r>
      <w:r>
        <w:rPr>
          <w:rFonts w:ascii="PT Astra Serif" w:hAnsi="PT Astra Serif"/>
          <w:sz w:val="24"/>
          <w:szCs w:val="24"/>
        </w:rPr>
        <w:t xml:space="preserve"> – 1,7%, 2022 г</w:t>
      </w:r>
      <w:r>
        <w:rPr>
          <w:rFonts w:ascii="PT Astra Serif" w:hAnsi="PT Astra Serif"/>
          <w:sz w:val="24"/>
          <w:szCs w:val="24"/>
        </w:rPr>
        <w:t xml:space="preserve">од</w:t>
      </w:r>
      <w:r>
        <w:rPr>
          <w:rFonts w:ascii="PT Astra Serif" w:hAnsi="PT Astra Serif"/>
          <w:sz w:val="24"/>
          <w:szCs w:val="24"/>
        </w:rPr>
        <w:t xml:space="preserve"> – 1,9%). Количество устроенных в семьи детей-сирот превышает численность выявленных в течение года. В 2023 году устроено 603 ребенка</w:t>
      </w:r>
      <w:r>
        <w:rPr>
          <w:rFonts w:ascii="PT Astra Serif" w:hAnsi="PT Astra Serif"/>
          <w:sz w:val="24"/>
          <w:szCs w:val="24"/>
        </w:rPr>
        <w:t xml:space="preserve"> (больше на 173 ребенка по сравнению с предыдущим годом)</w:t>
      </w:r>
      <w:r>
        <w:rPr>
          <w:rFonts w:ascii="PT Astra Serif" w:hAnsi="PT Astra Serif"/>
          <w:sz w:val="24"/>
          <w:szCs w:val="24"/>
        </w:rPr>
        <w:t xml:space="preserve">, выявлено 430 сирот.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На базе учреждений социального обслуживания несовершеннол</w:t>
      </w:r>
      <w:r>
        <w:rPr>
          <w:rFonts w:ascii="PT Astra Serif" w:hAnsi="PT Astra Serif"/>
          <w:sz w:val="24"/>
          <w:szCs w:val="24"/>
        </w:rPr>
        <w:t xml:space="preserve">етних также действуют школы прие</w:t>
      </w:r>
      <w:r>
        <w:rPr>
          <w:rFonts w:ascii="PT Astra Serif" w:hAnsi="PT Astra Serif"/>
          <w:sz w:val="24"/>
          <w:szCs w:val="24"/>
        </w:rPr>
        <w:t xml:space="preserve">мных родителей, школы родителей детей с инвалидностью и службы ранней помощи детям с инвалидностью и ОВЗ, школы ответственного (осознанного) родительства, службы сопровождения замещающих семей, организуются выезды мобильных бригад помощи семье и детям.</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услуги и консу</w:t>
      </w:r>
      <w:r>
        <w:rPr>
          <w:rFonts w:ascii="PT Astra Serif" w:hAnsi="PT Astra Serif"/>
          <w:sz w:val="24"/>
          <w:szCs w:val="24"/>
        </w:rPr>
        <w:t xml:space="preserve">льтации учреждений получили 30 687 детей, находящихся в трудной жизненной ситуации. Детям и семьям, проживающим в отдаленных населенных пунктах, оказывают поддержку специалисты мобильных бригад. Специалисты оказали более 2 тысяч социальных услуг в 31 насел</w:t>
      </w:r>
      <w:r>
        <w:rPr>
          <w:rFonts w:ascii="PT Astra Serif" w:hAnsi="PT Astra Serif"/>
          <w:sz w:val="24"/>
          <w:szCs w:val="24"/>
        </w:rPr>
        <w:t xml:space="preserve">е</w:t>
      </w:r>
      <w:r>
        <w:rPr>
          <w:rFonts w:ascii="PT Astra Serif" w:hAnsi="PT Astra Serif"/>
          <w:sz w:val="24"/>
          <w:szCs w:val="24"/>
        </w:rPr>
        <w:t xml:space="preserve">нном пункт</w:t>
      </w:r>
      <w:r>
        <w:rPr>
          <w:rFonts w:ascii="PT Astra Serif" w:hAnsi="PT Astra Serif"/>
          <w:sz w:val="24"/>
          <w:szCs w:val="24"/>
        </w:rPr>
        <w:t xml:space="preserve">е Томской области. К ним на прие</w:t>
      </w:r>
      <w:r>
        <w:rPr>
          <w:rFonts w:ascii="PT Astra Serif" w:hAnsi="PT Astra Serif"/>
          <w:sz w:val="24"/>
          <w:szCs w:val="24"/>
        </w:rPr>
        <w:t xml:space="preserve">м обратились 233 семьи</w:t>
      </w:r>
      <w:r>
        <w:rPr>
          <w:rFonts w:ascii="PT Astra Serif" w:hAnsi="PT Astra Serif"/>
          <w:sz w:val="24"/>
          <w:szCs w:val="24"/>
        </w:rPr>
        <w:t xml:space="preserve">, воспитывающи</w:t>
      </w:r>
      <w:r>
        <w:rPr>
          <w:rFonts w:ascii="PT Astra Serif" w:hAnsi="PT Astra Serif"/>
          <w:sz w:val="24"/>
          <w:szCs w:val="24"/>
        </w:rPr>
        <w:t xml:space="preserve">е</w:t>
      </w:r>
      <w:r>
        <w:rPr>
          <w:rFonts w:ascii="PT Astra Serif" w:hAnsi="PT Astra Serif"/>
          <w:sz w:val="24"/>
          <w:szCs w:val="24"/>
        </w:rPr>
        <w:t xml:space="preserve"> 444 </w:t>
      </w:r>
      <w:r>
        <w:rPr>
          <w:rFonts w:ascii="PT Astra Serif" w:hAnsi="PT Astra Serif"/>
          <w:sz w:val="24"/>
          <w:szCs w:val="24"/>
        </w:rPr>
        <w:t xml:space="preserve">ребенка</w:t>
      </w:r>
      <w:r>
        <w:rPr>
          <w:rFonts w:ascii="PT Astra Serif" w:hAnsi="PT Astra Serif"/>
          <w:sz w:val="24"/>
          <w:szCs w:val="24"/>
        </w:rPr>
        <w:t xml:space="preserve">, 13 семей с 24 детьми приняты на социальный патронаж.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tbl>
      <w:tblPr>
        <w:tblStyle w:val="1142"/>
        <w:tblpPr w:horzAnchor="margin" w:tblpXSpec="left" w:vertAnchor="text" w:tblpY="86" w:leftFromText="180" w:topFromText="0" w:rightFromText="180" w:bottomFromText="0"/>
        <w:tblW w:w="0" w:type="auto"/>
        <w:tblBorders>
          <w:top w:val="single" w:color="00B050" w:sz="4" w:space="0"/>
          <w:left w:val="single" w:color="00B050" w:sz="4" w:space="0"/>
          <w:bottom w:val="single" w:color="00B050" w:sz="4" w:space="0"/>
          <w:right w:val="single" w:color="00B050" w:sz="4" w:space="0"/>
          <w:insideH w:val="single" w:color="00B050" w:sz="4" w:space="0"/>
          <w:insideV w:val="single" w:color="00B050" w:sz="4" w:space="0"/>
        </w:tblBorders>
        <w:tblLook w:val="04A0" w:firstRow="1" w:lastRow="0" w:firstColumn="1" w:lastColumn="0" w:noHBand="0" w:noVBand="1"/>
      </w:tblPr>
      <w:tblGrid>
        <w:gridCol w:w="9571"/>
      </w:tblGrid>
      <w:tr>
        <w:tblPrEx/>
        <w:trPr>
          <w:trHeight w:val="632"/>
        </w:trPr>
        <w:tc>
          <w:tcPr>
            <w:tcBorders>
              <w:top w:val="single" w:color="00B050" w:sz="4" w:space="0"/>
              <w:left w:val="single" w:color="00B050" w:sz="4" w:space="0"/>
              <w:bottom w:val="single" w:color="00B050" w:sz="4" w:space="0"/>
              <w:right w:val="single" w:color="00B050" w:sz="4" w:space="0"/>
            </w:tcBorders>
            <w:tcW w:w="9571" w:type="dxa"/>
            <w:textDirection w:val="lrTb"/>
            <w:noWrap w:val="false"/>
          </w:tcPr>
          <w:p>
            <w:pPr>
              <w:ind w:firstLine="709"/>
              <w:jc w:val="center"/>
              <w:rPr>
                <w:rFonts w:ascii="PT Astra Serif" w:hAnsi="PT Astra Serif"/>
                <w:b/>
                <w:sz w:val="24"/>
                <w:szCs w:val="24"/>
              </w:rPr>
            </w:pPr>
            <w:r>
              <w:rPr>
                <w:rFonts w:ascii="PT Astra Serif" w:hAnsi="PT Astra Serif"/>
                <w:b/>
                <w:sz w:val="24"/>
                <w:szCs w:val="24"/>
              </w:rPr>
              <w:t xml:space="preserve">Томская область одна из первых в Российской Федерации достигла 100% доступности услуг  служб сопровождения для замещающих с</w:t>
            </w:r>
            <w:r>
              <w:rPr>
                <w:rFonts w:ascii="PT Astra Serif" w:hAnsi="PT Astra Serif"/>
                <w:b/>
                <w:sz w:val="24"/>
                <w:szCs w:val="24"/>
              </w:rPr>
              <w:t xml:space="preserve">емей на всей территории региона</w:t>
            </w:r>
            <w:r>
              <w:rPr>
                <w:rFonts w:ascii="PT Astra Serif" w:hAnsi="PT Astra Serif"/>
                <w:b/>
                <w:sz w:val="24"/>
                <w:szCs w:val="24"/>
              </w:rPr>
            </w:r>
            <w:r>
              <w:rPr>
                <w:rFonts w:ascii="PT Astra Serif" w:hAnsi="PT Astra Serif"/>
                <w:b/>
                <w:sz w:val="24"/>
                <w:szCs w:val="24"/>
              </w:rPr>
            </w:r>
          </w:p>
        </w:tc>
      </w:tr>
    </w:tbl>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Продолжает работу детский телефон доверия, где дети и взрослые (родители, родственники детей, педагоги) получают круглосуточную бесплатную и конфиденциальную экстренную психологическую поддержку. В 2023 году поступило 4008 звонков.</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рамках проекта «Наставники» более 115 волонтеров стали наставниками для детей-сирот. Расширена география проекта, включающая г. Томск, Асиновский, Бакчарский, Зырянский, Колпашевский районы.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2023 году разработаны и начали действовать следующие межведомственные комплексы дополнительных мер, направленные на усиление профилактики неблагополучия:</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по вовлечению несовершеннолетних, состоящих на различных видах учета в органах и учреждениях системы профилактики, в различные формы досуга, отдыха и оздоровления, а также иные формы занятости на 2023 </w:t>
      </w:r>
      <w:r>
        <w:rPr>
          <w:rFonts w:ascii="PT Astra Serif" w:hAnsi="PT Astra Serif" w:eastAsia="Calibri"/>
          <w:sz w:val="24"/>
          <w:szCs w:val="24"/>
        </w:rPr>
        <w:t xml:space="preserve">– </w:t>
      </w:r>
      <w:r>
        <w:rPr>
          <w:rFonts w:ascii="PT Astra Serif" w:hAnsi="PT Astra Serif" w:eastAsia="Calibri"/>
          <w:sz w:val="24"/>
          <w:szCs w:val="24"/>
        </w:rPr>
        <w:t xml:space="preserve">2024 годы;</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на координацию деятельности органов системы профилактики безнадзорности и правонарушений несовершеннолетних по предупреждению преступных деяний против половой неприкосновенности несовершеннолетних на период 2023</w:t>
      </w:r>
      <w:r>
        <w:rPr>
          <w:rFonts w:ascii="PT Astra Serif" w:hAnsi="PT Astra Serif" w:eastAsia="Calibri"/>
          <w:sz w:val="24"/>
          <w:szCs w:val="24"/>
        </w:rPr>
        <w:t xml:space="preserve"> – </w:t>
      </w:r>
      <w:r>
        <w:rPr>
          <w:rFonts w:ascii="PT Astra Serif" w:hAnsi="PT Astra Serif" w:eastAsia="Calibri"/>
          <w:sz w:val="24"/>
          <w:szCs w:val="24"/>
        </w:rPr>
        <w:t xml:space="preserve">2025 год</w:t>
      </w:r>
      <w:r>
        <w:rPr>
          <w:rFonts w:ascii="PT Astra Serif" w:hAnsi="PT Astra Serif" w:eastAsia="Calibri"/>
          <w:sz w:val="24"/>
          <w:szCs w:val="24"/>
        </w:rPr>
        <w:t xml:space="preserve">ов</w:t>
      </w:r>
      <w:r>
        <w:rPr>
          <w:rFonts w:ascii="PT Astra Serif" w:hAnsi="PT Astra Serif" w:eastAsia="Calibri"/>
          <w:sz w:val="24"/>
          <w:szCs w:val="24"/>
        </w:rPr>
        <w:t xml:space="preserve">.</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bCs/>
          <w:sz w:val="24"/>
          <w:szCs w:val="24"/>
        </w:rPr>
      </w:pPr>
      <w:r>
        <w:rPr>
          <w:rFonts w:ascii="PT Astra Serif" w:hAnsi="PT Astra Serif"/>
          <w:sz w:val="24"/>
          <w:szCs w:val="24"/>
        </w:rPr>
        <w:t xml:space="preserve">Начал работу Межведомственный координационный совет по вопросам реализации Национальной стратегии действий в интересах женщин на 2023 </w:t>
      </w:r>
      <w:r>
        <w:rPr>
          <w:rFonts w:ascii="PT Astra Serif" w:hAnsi="PT Astra Serif" w:eastAsia="Calibri"/>
          <w:sz w:val="24"/>
          <w:szCs w:val="24"/>
        </w:rPr>
        <w:t xml:space="preserve">–</w:t>
      </w:r>
      <w:r>
        <w:rPr>
          <w:rFonts w:ascii="PT Astra Serif" w:hAnsi="PT Astra Serif"/>
          <w:sz w:val="24"/>
          <w:szCs w:val="24"/>
        </w:rPr>
        <w:t xml:space="preserve"> 2030 годы (далее – Стратегия). Разработан </w:t>
      </w:r>
      <w:r>
        <w:rPr>
          <w:rFonts w:ascii="PT Astra Serif" w:hAnsi="PT Astra Serif"/>
          <w:bCs/>
          <w:sz w:val="24"/>
          <w:szCs w:val="24"/>
        </w:rPr>
        <w:t xml:space="preserve">Региональный план мероприятий на 2023 - 2026 годы по реализации на территории Томской области </w:t>
      </w:r>
      <w:r>
        <w:rPr>
          <w:rFonts w:ascii="PT Astra Serif" w:hAnsi="PT Astra Serif"/>
          <w:sz w:val="24"/>
          <w:szCs w:val="24"/>
        </w:rPr>
        <w:t xml:space="preserve">Стратегии. </w:t>
      </w:r>
      <w:r>
        <w:rPr>
          <w:rFonts w:ascii="PT Astra Serif" w:hAnsi="PT Astra Serif"/>
          <w:bCs/>
          <w:sz w:val="24"/>
          <w:szCs w:val="24"/>
        </w:rPr>
      </w:r>
      <w:r>
        <w:rPr>
          <w:rFonts w:ascii="PT Astra Serif" w:hAnsi="PT Astra Serif"/>
          <w:bCs/>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Важной составляющей региональной системы поддержки семьи и детства является организация детского отдыха и оздоровления.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услуги по отдыху и оздоровлению детям Томской области оказывали 458 организаций. Всеми формами отдыха, оздоровления, досуга и занятост</w:t>
      </w:r>
      <w:r>
        <w:rPr>
          <w:rFonts w:ascii="PT Astra Serif" w:hAnsi="PT Astra Serif"/>
          <w:sz w:val="24"/>
          <w:szCs w:val="24"/>
        </w:rPr>
        <w:t xml:space="preserve">и охвачено 69 355 детей (51,27% от численности детей школьного возраста). В числе охваченных оздоровительной компанией более 29 тыс. детей, находящихся в трудной жизненной ситуации (50% от числа детей данной категории, нуждающихся в отдыхе и оздоровлении).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регионе обеспечен бесплатный отдых для 618 детей участников СВО в лагерях различных типов. В рамках оказания помощи 86 детям из Приазовского района Запорожской области организован отдых в ДОЛ «Зори Анапы» (Краснодарский край).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Осуществляется деятельность по созданию условий для организации инклюзивного отдыха детей-инвалидов и детей с ограниченными возможностями здоровья (ОВЗ) в организациях отдыха детей и их оздоровления.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одним из победителей конкурсного отбора в рамках государственной программы «Доступная среда» МАУ ЗАТО Северск ДОЛ «Восход» предоставлен феде</w:t>
      </w:r>
      <w:r>
        <w:rPr>
          <w:rFonts w:ascii="PT Astra Serif" w:hAnsi="PT Astra Serif"/>
          <w:sz w:val="24"/>
          <w:szCs w:val="24"/>
        </w:rPr>
        <w:t xml:space="preserve">ральный грант в размере 6,1 млн</w:t>
      </w:r>
      <w:r>
        <w:rPr>
          <w:rFonts w:ascii="PT Astra Serif" w:hAnsi="PT Astra Serif"/>
          <w:sz w:val="24"/>
          <w:szCs w:val="24"/>
        </w:rPr>
        <w:t xml:space="preserve"> рублей в целях развития возможностей для инклюзивного отдыха. Ранее, в 2022 году по результатам аналогичного конкурса ДОЛ «Зеленый мыс» получил грант</w:t>
      </w:r>
      <w:r>
        <w:rPr>
          <w:rFonts w:ascii="PT Astra Serif" w:hAnsi="PT Astra Serif"/>
          <w:sz w:val="24"/>
          <w:szCs w:val="24"/>
        </w:rPr>
        <w:t xml:space="preserve"> на данные цели в сумме 3,4 млн</w:t>
      </w:r>
      <w:r>
        <w:rPr>
          <w:rFonts w:ascii="PT Astra Serif" w:hAnsi="PT Astra Serif"/>
          <w:sz w:val="24"/>
          <w:szCs w:val="24"/>
        </w:rPr>
        <w:t xml:space="preserve"> руб</w:t>
      </w:r>
      <w:r>
        <w:rPr>
          <w:rFonts w:ascii="PT Astra Serif" w:hAnsi="PT Astra Serif"/>
          <w:sz w:val="24"/>
          <w:szCs w:val="24"/>
        </w:rPr>
        <w:t xml:space="preserve">лей</w:t>
      </w:r>
      <w:r>
        <w:rPr>
          <w:rFonts w:ascii="PT Astra Serif" w:hAnsi="PT Astra Serif"/>
          <w:sz w:val="24"/>
          <w:szCs w:val="24"/>
        </w:rPr>
        <w:t xml:space="preserve">.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2023 году в рамках проведения мероприятий по капитальному ремонту: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проведен капитальный ремонт 3 жилых корпусов и здания гостиницы ОГБУ «Центр детского и семейного отдыха «Здоровье»;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проведен капитальный ремонт систем автоматической пожарной сигнализации и систем оповещения и управления эвакуаци</w:t>
      </w:r>
      <w:r>
        <w:rPr>
          <w:rFonts w:ascii="PT Astra Serif" w:hAnsi="PT Astra Serif" w:eastAsia="Calibri"/>
          <w:sz w:val="24"/>
          <w:szCs w:val="24"/>
        </w:rPr>
        <w:t xml:space="preserve">ей людей при пожаре в 2</w:t>
      </w:r>
      <w:r>
        <w:rPr>
          <w:rFonts w:ascii="PT Astra Serif" w:hAnsi="PT Astra Serif" w:eastAsia="Calibri"/>
          <w:sz w:val="24"/>
          <w:szCs w:val="24"/>
        </w:rPr>
        <w:t xml:space="preserve"> зданиях ОГКУ «Центр помощи детям, оставшимся без попечения родителей, «Орлиное гнездо», ОГКУ «Социально-реабилитационный центр для несовершенно</w:t>
      </w:r>
      <w:r>
        <w:rPr>
          <w:rFonts w:ascii="PT Astra Serif" w:hAnsi="PT Astra Serif" w:eastAsia="Calibri"/>
          <w:sz w:val="24"/>
          <w:szCs w:val="24"/>
        </w:rPr>
        <w:t xml:space="preserve">летних Александровского района»;</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разработана </w:t>
      </w:r>
      <w:r>
        <w:rPr>
          <w:rFonts w:ascii="PT Astra Serif" w:hAnsi="PT Astra Serif" w:eastAsia="Calibri"/>
          <w:sz w:val="24"/>
          <w:szCs w:val="24"/>
        </w:rPr>
        <w:t xml:space="preserve">ПСД</w:t>
      </w:r>
      <w:r>
        <w:rPr>
          <w:rFonts w:ascii="PT Astra Serif" w:hAnsi="PT Astra Serif" w:eastAsia="Calibri"/>
          <w:sz w:val="24"/>
          <w:szCs w:val="24"/>
        </w:rPr>
        <w:t xml:space="preserve"> по капитальному ремонту системы пожарной сигнализации и системы оповещения и управлени</w:t>
      </w:r>
      <w:r>
        <w:rPr>
          <w:rFonts w:ascii="PT Astra Serif" w:hAnsi="PT Astra Serif" w:eastAsia="Calibri"/>
          <w:sz w:val="24"/>
          <w:szCs w:val="24"/>
        </w:rPr>
        <w:t xml:space="preserve">я эвакуацией людей при пожаре 2</w:t>
      </w:r>
      <w:r>
        <w:rPr>
          <w:rFonts w:ascii="PT Astra Serif" w:hAnsi="PT Astra Serif" w:eastAsia="Calibri"/>
          <w:sz w:val="24"/>
          <w:szCs w:val="24"/>
        </w:rPr>
        <w:t xml:space="preserve"> корпусов ОГКУ «Центр помощи детям, оставшимся без попечения родителей, Бакчарского района»;</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заключен государственный контракт на выполнение обмерных работ и разработку ПСД по капитальному ремонту системы пожарной сигнали</w:t>
      </w:r>
      <w:r>
        <w:rPr>
          <w:rFonts w:ascii="PT Astra Serif" w:hAnsi="PT Astra Serif" w:eastAsia="Calibri"/>
          <w:sz w:val="24"/>
          <w:szCs w:val="24"/>
        </w:rPr>
        <w:t xml:space="preserve">зации и аварийного освещения в пя</w:t>
      </w:r>
      <w:r>
        <w:rPr>
          <w:rFonts w:ascii="PT Astra Serif" w:hAnsi="PT Astra Serif" w:eastAsia="Calibri"/>
          <w:sz w:val="24"/>
          <w:szCs w:val="24"/>
        </w:rPr>
        <w:t xml:space="preserve">ти корпусах ОГКСУ «Тунгусовский детский дом-интернат» (работы по разработке проектно-сметной документации продолжатся в 2024 году);</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заключен договор на разработку ПСД по капитальному ремонту пожарной лестницы и ограждения кровли корпуса ОГКУ «Центр помощи детям, оставшимся без попечения родителей, Зырянского района» (работы по разработке ПСД продолжатся в 2024 году);</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заключен контракт на корректировку ПСД по капитальному ремонту клуба-столовой </w:t>
      </w:r>
      <w:r>
        <w:rPr>
          <w:rFonts w:ascii="PT Astra Serif" w:hAnsi="PT Astra Serif" w:eastAsia="Calibri"/>
          <w:sz w:val="24"/>
          <w:szCs w:val="24"/>
        </w:rPr>
        <w:t xml:space="preserve">ОГБУ «Центр детского и семейного отдыха «Здоровье» </w:t>
      </w:r>
      <w:r>
        <w:rPr>
          <w:rFonts w:ascii="PT Astra Serif" w:hAnsi="PT Astra Serif" w:eastAsia="Calibri"/>
          <w:sz w:val="24"/>
          <w:szCs w:val="24"/>
        </w:rPr>
        <w:t xml:space="preserve">(работы по разработке </w:t>
      </w:r>
      <w:r>
        <w:rPr>
          <w:rFonts w:ascii="PT Astra Serif" w:hAnsi="PT Astra Serif" w:eastAsia="Calibri"/>
          <w:sz w:val="24"/>
          <w:szCs w:val="24"/>
        </w:rPr>
        <w:t xml:space="preserve">ПСД</w:t>
      </w:r>
      <w:r>
        <w:rPr>
          <w:rFonts w:ascii="PT Astra Serif" w:hAnsi="PT Astra Serif" w:eastAsia="Calibri"/>
          <w:sz w:val="24"/>
          <w:szCs w:val="24"/>
        </w:rPr>
        <w:t xml:space="preserve"> продолжатся в 2024 году).</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Улучшилась материально-техническая база учреждений социального обслуживания несовершеннолетних:</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в рамках грантовой поддержки приобретены интерактивные песочницы в 5</w:t>
      </w:r>
      <w:r>
        <w:rPr>
          <w:rFonts w:ascii="PT Astra Serif" w:hAnsi="PT Astra Serif"/>
          <w:sz w:val="24"/>
          <w:szCs w:val="24"/>
        </w:rPr>
        <w:t xml:space="preserve"> </w:t>
      </w:r>
      <w:r>
        <w:rPr>
          <w:rFonts w:ascii="PT Astra Serif" w:hAnsi="PT Astra Serif"/>
          <w:sz w:val="24"/>
          <w:szCs w:val="24"/>
        </w:rPr>
        <w:t xml:space="preserve">учреждений (ОГКУ «Центр социальной помощи семье и детям Томского района», ОГКУ «Реабилитационный центр для</w:t>
      </w:r>
      <w:r>
        <w:rPr>
          <w:rFonts w:ascii="PT Astra Serif" w:hAnsi="PT Astra Serif"/>
          <w:sz w:val="24"/>
          <w:szCs w:val="24"/>
        </w:rPr>
        <w:t xml:space="preserve"> детей и подростков с ограниченными возможностями ЗАТО Северск», ОГКУ «Центр помощи детям, оставшимся без попечения родителей, г. Томска», ОГКСУ «Тунгусовский детский дом-интернат», ОГБУ «Центр помощи детям, оставшимся без попечения родителей, г. Томска»);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приобретено автотранспортное средство для перевозки детей (Газель А-69) в ОГКУ «Центр социальной помощи семье и детям Колпашевского района»;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обновлено компьютерное, холодильное, прачечное и медицинское оборудование, мебель в 14 учреждениях Асиновского, Каргасокского, Бакчарского, Молчановского, Колпашевского районов, г. Томск, ЗАТО Северск.</w:t>
      </w:r>
      <w:r>
        <w:rPr>
          <w:rFonts w:ascii="PT Astra Serif" w:hAnsi="PT Astra Serif"/>
          <w:sz w:val="24"/>
          <w:szCs w:val="24"/>
        </w:rPr>
      </w:r>
      <w:r>
        <w:rPr>
          <w:rFonts w:ascii="PT Astra Serif" w:hAnsi="PT Astra Serif"/>
          <w:sz w:val="24"/>
          <w:szCs w:val="24"/>
        </w:rPr>
      </w:r>
    </w:p>
    <w:p>
      <w:pPr>
        <w:ind w:firstLine="709"/>
        <w:jc w:val="both"/>
        <w:spacing w:after="0" w:line="240" w:lineRule="auto"/>
      </w:pPr>
      <w:r>
        <w:rPr>
          <w:rFonts w:ascii="PT Astra Serif" w:hAnsi="PT Astra Serif"/>
          <w:sz w:val="24"/>
          <w:szCs w:val="24"/>
        </w:rPr>
        <w:t xml:space="preserve">Проведены мероприятия, направленные на обеспечение комплексной безопасности в учреждениях, в том числе </w:t>
      </w:r>
      <w:r>
        <w:rPr>
          <w:rFonts w:ascii="PT Astra Serif" w:hAnsi="PT Astra Serif" w:eastAsia="Calibri"/>
          <w:sz w:val="24"/>
          <w:szCs w:val="24"/>
        </w:rPr>
        <w:t xml:space="preserve">модернизированы системы видеонаблюдения, </w:t>
      </w:r>
      <w:r>
        <w:rPr>
          <w:rFonts w:ascii="PT Astra Serif" w:hAnsi="PT Astra Serif"/>
          <w:sz w:val="24"/>
          <w:szCs w:val="24"/>
        </w:rPr>
        <w:t xml:space="preserve">приобретены тревожные кнопки, проведен ремонт ограждений территории, установлены противопожарные двери, проведена противопожарная огнезащитная обработка деревянных конструкций здания.</w:t>
      </w: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1. Развитие качественного профессионального подхода, ориентированного на интересы ребенка в сферах профилактики социального сиротства, семейного жизнеустройства детей-сирот, профилактики детского и семейного неблагополучия.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2. Продвижение ценностей семьи, семейного уст</w:t>
      </w:r>
      <w:r>
        <w:rPr>
          <w:rFonts w:ascii="PT Astra Serif" w:hAnsi="PT Astra Serif"/>
          <w:sz w:val="24"/>
          <w:szCs w:val="24"/>
        </w:rPr>
        <w:t xml:space="preserve">ройства детей-сирот, качественный</w:t>
      </w:r>
      <w:r>
        <w:rPr>
          <w:rFonts w:ascii="PT Astra Serif" w:hAnsi="PT Astra Serif"/>
          <w:sz w:val="24"/>
          <w:szCs w:val="24"/>
        </w:rPr>
        <w:t xml:space="preserve"> подбор и подготовк</w:t>
      </w:r>
      <w:r>
        <w:rPr>
          <w:rFonts w:ascii="PT Astra Serif" w:hAnsi="PT Astra Serif"/>
          <w:sz w:val="24"/>
          <w:szCs w:val="24"/>
        </w:rPr>
        <w:t xml:space="preserve">а</w:t>
      </w:r>
      <w:r>
        <w:rPr>
          <w:rFonts w:ascii="PT Astra Serif" w:hAnsi="PT Astra Serif"/>
          <w:sz w:val="24"/>
          <w:szCs w:val="24"/>
        </w:rPr>
        <w:t xml:space="preserve"> кандидатов в замещающие родители.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3</w:t>
      </w:r>
      <w:r>
        <w:rPr>
          <w:rFonts w:ascii="PT Astra Serif" w:hAnsi="PT Astra Serif"/>
          <w:sz w:val="24"/>
          <w:szCs w:val="24"/>
        </w:rPr>
        <w:t xml:space="preserve">. Развитие эффективных социальных услуг и стационарозамещающих технологий в деятельности учреждений социального обслуживания несовершеннолетних.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4</w:t>
      </w:r>
      <w:r>
        <w:rPr>
          <w:rFonts w:ascii="PT Astra Serif" w:hAnsi="PT Astra Serif"/>
          <w:sz w:val="24"/>
          <w:szCs w:val="24"/>
        </w:rPr>
        <w:t xml:space="preserve">. Организация качественного и безопасного детского отдыха, выполнение целевых показателей.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5</w:t>
      </w:r>
      <w:r>
        <w:rPr>
          <w:rFonts w:ascii="PT Astra Serif" w:hAnsi="PT Astra Serif"/>
          <w:sz w:val="24"/>
          <w:szCs w:val="24"/>
        </w:rPr>
        <w:t xml:space="preserve">. Реализация мероприятий, посвященных «Году семьи».</w:t>
      </w:r>
      <w:r>
        <w:rPr>
          <w:rFonts w:ascii="PT Astra Serif" w:hAnsi="PT Astra Serif"/>
          <w:sz w:val="24"/>
          <w:szCs w:val="24"/>
        </w:rPr>
      </w:r>
      <w:r>
        <w:rPr>
          <w:rFonts w:ascii="PT Astra Serif" w:hAnsi="PT Astra Serif"/>
          <w:sz w:val="24"/>
          <w:szCs w:val="24"/>
        </w:rPr>
      </w:r>
    </w:p>
    <w:p>
      <w:r/>
      <w:r/>
    </w:p>
    <w:p>
      <w:pPr>
        <w:ind w:firstLine="709"/>
        <w:jc w:val="both"/>
        <w:spacing w:after="0" w:line="240" w:lineRule="auto"/>
        <w:tabs>
          <w:tab w:val="left" w:pos="4962" w:leader="none"/>
        </w:tabs>
        <w:rPr>
          <w:rFonts w:ascii="PT Astra Serif" w:hAnsi="PT Astra Serif"/>
          <w:sz w:val="24"/>
          <w:szCs w:val="24"/>
        </w:rPr>
      </w:pPr>
      <w:r>
        <w:rPr>
          <w:rFonts w:ascii="PT Astra Serif" w:hAnsi="PT Astra Serif"/>
          <w:sz w:val="24"/>
          <w:szCs w:val="24"/>
        </w:rPr>
        <w:br w:type="page" w:clear="all"/>
      </w:r>
      <w:r>
        <w:rPr>
          <w:rFonts w:ascii="PT Astra Serif" w:hAnsi="PT Astra Serif"/>
          <w:sz w:val="24"/>
          <w:szCs w:val="24"/>
        </w:rPr>
      </w:r>
      <w:r>
        <w:rPr>
          <w:rFonts w:ascii="PT Astra Serif" w:hAnsi="PT Astra Serif"/>
          <w:sz w:val="24"/>
          <w:szCs w:val="24"/>
        </w:rPr>
      </w:r>
    </w:p>
    <w:p>
      <w:pPr>
        <w:pStyle w:val="1132"/>
        <w:rPr>
          <w:rFonts w:eastAsia="Times New Roman"/>
          <w:caps/>
        </w:rPr>
        <w:outlineLvl w:val="0"/>
      </w:pPr>
      <w:r/>
      <w:hyperlink r:id="rId46" w:tooltip="consultantplus://offline/ref=556F33B6F03A1F9FB0AD35A5ED64A320B53B1CEF8C01C9A7D81EBCE6AD897785C15F825301A8322F4ACFF7O4P3M" w:history="1">
        <w:bookmarkStart w:id="21" w:name="_Toc134630411"/>
        <w:r>
          <w:rPr>
            <w:rFonts w:eastAsia="Times New Roman"/>
            <w:caps/>
          </w:rPr>
          <w:t xml:space="preserve">РАЗДЕЛ I</w:t>
        </w:r>
      </w:hyperlink>
      <w:r>
        <w:rPr>
          <w:rFonts w:eastAsia="Times New Roman"/>
          <w:caps/>
          <w:lang w:val="en-US"/>
        </w:rPr>
        <w:t xml:space="preserve">V</w:t>
      </w:r>
      <w:r>
        <w:rPr>
          <w:rFonts w:eastAsia="Times New Roman"/>
          <w:caps/>
        </w:rPr>
        <w:t xml:space="preserve"> Сбалансированное территориальное развитие, в том числе за счет развития инфраструктуры</w:t>
      </w:r>
      <w:bookmarkEnd w:id="21"/>
      <w:r>
        <w:rPr>
          <w:rFonts w:eastAsia="Times New Roman"/>
          <w:caps/>
        </w:rPr>
      </w:r>
      <w:r>
        <w:rPr>
          <w:rFonts w:eastAsia="Times New Roman"/>
          <w:caps/>
        </w:rPr>
      </w:r>
    </w:p>
    <w:p>
      <w:pPr>
        <w:jc w:val="both"/>
        <w:spacing w:after="0" w:line="240" w:lineRule="auto"/>
        <w:tabs>
          <w:tab w:val="left" w:pos="4962" w:leader="none"/>
        </w:tabs>
        <w:rPr>
          <w:rFonts w:ascii="PT Astra Serif" w:hAnsi="PT Astra Serif" w:eastAsia="Times New Roman"/>
          <w:b/>
          <w:caps/>
          <w:sz w:val="24"/>
          <w:szCs w:val="24"/>
        </w:rPr>
      </w:pPr>
      <w:r>
        <w:rPr>
          <w:rFonts w:ascii="PT Astra Serif" w:hAnsi="PT Astra Serif" w:eastAsia="Times New Roman"/>
          <w:b/>
          <w:caps/>
          <w:sz w:val="24"/>
          <w:szCs w:val="24"/>
        </w:rPr>
      </w:r>
      <w:r>
        <w:rPr>
          <w:rFonts w:ascii="PT Astra Serif" w:hAnsi="PT Astra Serif" w:eastAsia="Times New Roman"/>
          <w:b/>
          <w:caps/>
          <w:sz w:val="24"/>
          <w:szCs w:val="24"/>
        </w:rPr>
      </w:r>
      <w:r>
        <w:rPr>
          <w:rFonts w:ascii="PT Astra Serif" w:hAnsi="PT Astra Serif" w:eastAsia="Times New Roman"/>
          <w:b/>
          <w:caps/>
          <w:sz w:val="24"/>
          <w:szCs w:val="24"/>
        </w:rPr>
      </w:r>
    </w:p>
    <w:p>
      <w:pPr>
        <w:pStyle w:val="1146"/>
        <w:outlineLvl w:val="1"/>
      </w:pPr>
      <w:r/>
      <w:bookmarkStart w:id="22" w:name="_Toc134630412"/>
      <w:r>
        <w:t xml:space="preserve">4.1. Обеспечение устойчивого развития муниципальных образований Томской области</w:t>
      </w:r>
      <w:bookmarkEnd w:id="22"/>
      <w: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rPr>
          <w:rFonts w:ascii="PT Astra Serif" w:hAnsi="PT Astra Serif" w:eastAsia="PT Astra Serif"/>
          <w:sz w:val="24"/>
          <w:szCs w:val="24"/>
        </w:rPr>
      </w:pPr>
      <w:r>
        <w:rPr>
          <w:rFonts w:ascii="PT Astra Serif" w:hAnsi="PT Astra Serif"/>
          <w:sz w:val="24"/>
          <w:szCs w:val="24"/>
        </w:rPr>
        <w:t xml:space="preserve">Соглас</w:t>
      </w:r>
      <w:r>
        <w:rPr>
          <w:rFonts w:ascii="PT Astra Serif" w:hAnsi="PT Astra Serif"/>
          <w:sz w:val="24"/>
          <w:szCs w:val="24"/>
        </w:rPr>
        <w:t xml:space="preserve">но Стратегии Томской области в фокусе региональной политики муниципального развития – создание сбалансированной системы расселения в зависимости от текущего уровня, потенциала и ресурсных возможностей, что связано с решением задачи по устойчивому развитию </w:t>
      </w:r>
      <w:r>
        <w:rPr>
          <w:rFonts w:ascii="PT Astra Serif" w:hAnsi="PT Astra Serif" w:eastAsia="PT Astra Serif"/>
          <w:sz w:val="24"/>
          <w:szCs w:val="24"/>
        </w:rPr>
        <w:t xml:space="preserve">муниципальных образований Томской области, исходя из сложившейся территориальной структуры расселения, размещения производительных сил и с учетом специализации муниципальных образований.</w:t>
      </w:r>
      <w:r>
        <w:rPr>
          <w:rFonts w:ascii="PT Astra Serif" w:hAnsi="PT Astra Serif" w:eastAsia="PT Astra Serif"/>
          <w:sz w:val="24"/>
          <w:szCs w:val="24"/>
        </w:rPr>
      </w:r>
      <w:r>
        <w:rPr>
          <w:rFonts w:ascii="PT Astra Serif" w:hAnsi="PT Astra Serif" w:eastAsia="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Стратегии социально-экономического развития муниципальных образований Томской области (кроме г. Томска</w:t>
      </w:r>
      <w:r>
        <w:rPr>
          <w:rFonts w:ascii="PT Astra Serif" w:hAnsi="PT Astra Serif"/>
          <w:sz w:val="24"/>
          <w:szCs w:val="24"/>
        </w:rPr>
        <w:t xml:space="preserve">) отражают перспективную специализацию каждого муниципального образования с учетом накопленного потенциала и ключевых инвестиционных проектов до 2030 года. Планы развития муниципалитетов находят свое отражение в региональных программах и проектах развития.</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t xml:space="preserve">В целях пространственного развития Стратегии Томской области и обеспечения устойчивого социально-экономического развития в 2023 году:</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Calibri"/>
          <w:sz w:val="24"/>
          <w:szCs w:val="24"/>
        </w:rPr>
        <w:t xml:space="preserve">–</w:t>
      </w:r>
      <w:r>
        <w:rPr>
          <w:rFonts w:ascii="PT Astra Serif" w:hAnsi="PT Astra Serif" w:eastAsia="Times New Roman" w:cs="Arial"/>
          <w:sz w:val="24"/>
          <w:szCs w:val="24"/>
          <w:lang w:eastAsia="ru-RU"/>
        </w:rPr>
        <w:t xml:space="preserve"> внесены изменения в Схему территориального планирования Томской области в целях реализации государственной программы «Развитие инновационной деятельности и науки в Томской области» в части </w:t>
      </w:r>
      <w:r>
        <w:rPr>
          <w:rFonts w:ascii="PT Astra Serif" w:hAnsi="PT Astra Serif" w:eastAsia="Times New Roman" w:cs="Arial"/>
          <w:sz w:val="24"/>
          <w:szCs w:val="24"/>
          <w:lang w:eastAsia="ru-RU"/>
        </w:rPr>
        <w:t xml:space="preserve">создания современного межвузовского кампуса в городе Томске, а также актуализации перечня планируемых объектов регионального значения в области электроэнергетики и газоснабжения, предусмотренных инвестиционными программами субъектов естественных монополий;</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Calibri"/>
          <w:sz w:val="24"/>
          <w:szCs w:val="24"/>
        </w:rPr>
        <w:t xml:space="preserve">–</w:t>
      </w:r>
      <w:r>
        <w:rPr>
          <w:rFonts w:ascii="PT Astra Serif" w:hAnsi="PT Astra Serif" w:eastAsia="Times New Roman" w:cs="Arial"/>
          <w:sz w:val="24"/>
          <w:szCs w:val="24"/>
          <w:lang w:eastAsia="ru-RU"/>
        </w:rPr>
        <w:t xml:space="preserve"> внесен в </w:t>
      </w:r>
      <w:r>
        <w:rPr>
          <w:rFonts w:ascii="PT Astra Serif" w:hAnsi="PT Astra Serif"/>
          <w:sz w:val="24"/>
          <w:szCs w:val="24"/>
        </w:rPr>
        <w:t xml:space="preserve">Единый государственный реестр недвижимости (</w:t>
      </w:r>
      <w:r>
        <w:rPr>
          <w:rFonts w:ascii="PT Astra Serif" w:hAnsi="PT Astra Serif" w:eastAsia="Times New Roman" w:cs="Arial"/>
          <w:sz w:val="24"/>
          <w:szCs w:val="24"/>
          <w:lang w:eastAsia="ru-RU"/>
        </w:rPr>
        <w:t xml:space="preserve">ЕГРН) участок границы между Томской и Новосибирской областями;</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Calibri"/>
          <w:sz w:val="24"/>
          <w:szCs w:val="24"/>
        </w:rPr>
        <w:t xml:space="preserve">–</w:t>
      </w:r>
      <w:r>
        <w:rPr>
          <w:rFonts w:ascii="PT Astra Serif" w:hAnsi="PT Astra Serif" w:eastAsia="Times New Roman" w:cs="Arial"/>
          <w:sz w:val="24"/>
          <w:szCs w:val="24"/>
          <w:lang w:eastAsia="ru-RU"/>
        </w:rPr>
        <w:t xml:space="preserve"> подготовлено землеустроительное дело по описанию местоположения границы между Томской областью и Ханты-Мансийский автономным округом – Югрой (ХМАО);</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Calibri"/>
          <w:sz w:val="24"/>
          <w:szCs w:val="24"/>
        </w:rPr>
        <w:t xml:space="preserve">–</w:t>
      </w:r>
      <w:r>
        <w:rPr>
          <w:rFonts w:ascii="PT Astra Serif" w:hAnsi="PT Astra Serif" w:eastAsia="Times New Roman" w:cs="Arial"/>
          <w:sz w:val="24"/>
          <w:szCs w:val="24"/>
          <w:lang w:eastAsia="ru-RU"/>
        </w:rPr>
        <w:t xml:space="preserve"> подготовлены землеустроительные дела по описанию местоположения границ 129 муниципальных образований Томской области;</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Calibri"/>
          <w:sz w:val="24"/>
          <w:szCs w:val="24"/>
        </w:rPr>
        <w:t xml:space="preserve">–</w:t>
      </w:r>
      <w:r>
        <w:rPr>
          <w:rFonts w:ascii="PT Astra Serif" w:hAnsi="PT Astra Serif" w:eastAsia="Times New Roman" w:cs="Arial"/>
          <w:sz w:val="24"/>
          <w:szCs w:val="24"/>
          <w:lang w:eastAsia="ru-RU"/>
        </w:rPr>
        <w:t xml:space="preserve"> подготовлены проекты изменений в генеральные планы, правила землепользования и застройки 74 поселений и городских округов в части установления границ населенных пунктов и территориальных зон;</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Calibri"/>
          <w:sz w:val="24"/>
          <w:szCs w:val="24"/>
        </w:rPr>
        <w:t xml:space="preserve">–</w:t>
      </w:r>
      <w:r>
        <w:rPr>
          <w:rFonts w:ascii="PT Astra Serif" w:hAnsi="PT Astra Serif" w:eastAsia="Times New Roman" w:cs="Arial"/>
          <w:sz w:val="24"/>
          <w:szCs w:val="24"/>
          <w:lang w:eastAsia="ru-RU"/>
        </w:rPr>
        <w:t xml:space="preserve"> ведется работа по внесению в ЕГРН сведений о границах населенных пунктов и территориал</w:t>
      </w:r>
      <w:r>
        <w:rPr>
          <w:rFonts w:ascii="PT Astra Serif" w:hAnsi="PT Astra Serif" w:eastAsia="Times New Roman" w:cs="Arial"/>
          <w:sz w:val="24"/>
          <w:szCs w:val="24"/>
          <w:lang w:eastAsia="ru-RU"/>
        </w:rPr>
        <w:t xml:space="preserve">ьных зон. Из 577 населенных пунктов Томской области внесены в ЕГРН сведения о границах 482 населенных пунктов, из 2509 территориальных зон, предусмотренных правилами землепользования и застройки, в ЕГРН внесены сведения о границах 1468 территориальных зон;</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Calibri"/>
          <w:sz w:val="24"/>
          <w:szCs w:val="24"/>
        </w:rPr>
        <w:t xml:space="preserve">– </w:t>
      </w:r>
      <w:r>
        <w:rPr>
          <w:rFonts w:ascii="PT Astra Serif" w:hAnsi="PT Astra Serif" w:eastAsia="Times New Roman" w:cs="Arial"/>
          <w:sz w:val="24"/>
          <w:szCs w:val="24"/>
          <w:lang w:eastAsia="ru-RU"/>
        </w:rPr>
        <w:t xml:space="preserve">подготовлены цифровы</w:t>
      </w:r>
      <w:r>
        <w:rPr>
          <w:rFonts w:ascii="PT Astra Serif" w:hAnsi="PT Astra Serif" w:eastAsia="Times New Roman" w:cs="Arial"/>
          <w:sz w:val="24"/>
          <w:szCs w:val="24"/>
          <w:lang w:eastAsia="ru-RU"/>
        </w:rPr>
        <w:t xml:space="preserve">е ортофотопланы масштаба 1:500 (фотографический план местности, на котором представлена земная поверхность и объекты на ней) на 118 населенных пунктов Бакчарского, Зырянского, Каргасокского, Колпашевского, Парабельского и Чаинского районов Томской области.</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2023 году введена в промышленную эксплуатацию государственная информационная система обеспечения градостроительной деятельности Томской области (ГИС ОГД ТО).</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рамках реализации мероприятий по комплексному развитию сельских территорий Томской области в 2023 году обеспечено строительство объектов социальной и инженерной инфраструктуры, благоустройство территорий и улучшение жилищных условий граждан:</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t xml:space="preserve">1) реализовано 6 проектов (осуществлено обустройство тротуаров, зон отдыха, детских игровых площадок) в 6 муниципальных образованиях Томской области (Асиновском, Бакчарском, Зырянском, Колпашевском, Молчановском, Первомайском  районах);</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t xml:space="preserve">2)  осуществлено строительство 3 жилых домов в Первомайском районе, площадью 216,2 кв. м для предоставления по договору найма специалистам, осуществляющи</w:t>
      </w:r>
      <w:r>
        <w:rPr>
          <w:rFonts w:ascii="PT Astra Serif" w:hAnsi="PT Astra Serif"/>
          <w:sz w:val="24"/>
          <w:szCs w:val="24"/>
        </w:rPr>
        <w:t xml:space="preserve">м</w:t>
      </w:r>
      <w:r>
        <w:rPr>
          <w:rFonts w:ascii="PT Astra Serif" w:hAnsi="PT Astra Serif"/>
          <w:sz w:val="24"/>
          <w:szCs w:val="24"/>
        </w:rPr>
        <w:t xml:space="preserve"> трудовую деятельность в сельской местности;</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t xml:space="preserve">3) социальные выплаты на улучшение жилищных условий предоставлены 35 семьям, осуществляющим трудовую деятельность в сфере </w:t>
      </w:r>
      <w:r>
        <w:rPr>
          <w:rFonts w:ascii="PT Astra Serif" w:hAnsi="PT Astra Serif"/>
          <w:sz w:val="24"/>
          <w:szCs w:val="24"/>
        </w:rPr>
        <w:t xml:space="preserve">АПК</w:t>
      </w:r>
      <w:r>
        <w:rPr>
          <w:rFonts w:ascii="PT Astra Serif" w:hAnsi="PT Astra Serif"/>
          <w:sz w:val="24"/>
          <w:szCs w:val="24"/>
        </w:rPr>
        <w:t xml:space="preserve">, здравоохранения, образования, культуры, ветеринарии, социального обслуживания;</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strike/>
          <w:sz w:val="24"/>
          <w:szCs w:val="24"/>
        </w:rPr>
      </w:pPr>
      <w:r>
        <w:rPr>
          <w:rFonts w:ascii="PT Astra Serif" w:hAnsi="PT Astra Serif"/>
          <w:sz w:val="24"/>
          <w:szCs w:val="24"/>
        </w:rPr>
        <w:t xml:space="preserve">3) введено (приобретено) 1,4 тыс. кв.</w:t>
      </w:r>
      <w:r>
        <w:rPr>
          <w:rFonts w:ascii="PT Astra Serif" w:hAnsi="PT Astra Serif"/>
          <w:sz w:val="24"/>
          <w:szCs w:val="24"/>
        </w:rPr>
        <w:t xml:space="preserve"> </w:t>
      </w:r>
      <w:r>
        <w:rPr>
          <w:rFonts w:ascii="PT Astra Serif" w:hAnsi="PT Astra Serif"/>
          <w:sz w:val="24"/>
          <w:szCs w:val="24"/>
        </w:rPr>
        <w:t xml:space="preserve">м жилья на сельских территориях;</w:t>
      </w:r>
      <w:r>
        <w:rPr>
          <w:rFonts w:ascii="PT Astra Serif" w:hAnsi="PT Astra Serif"/>
          <w:strike/>
          <w:sz w:val="24"/>
          <w:szCs w:val="24"/>
        </w:rPr>
      </w:r>
      <w:r>
        <w:rPr>
          <w:rFonts w:ascii="PT Astra Serif" w:hAnsi="PT Astra Serif"/>
          <w:strike/>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t xml:space="preserve">4) возмещены затраты по 10 заключенным с работниками ученическим договорам;</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t xml:space="preserve">5) обеспечено развитие инфраструктуры:</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t xml:space="preserve">Завершена реализация комплексного проекта в п. Самусь ЗАТО Северск (осуществлено строительство водопроводных сетей);</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t xml:space="preserve">Проведено благоустройство на территории расположения блочно-модульной котельной в п.Улу-Юл Первомайского района.</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t xml:space="preserve">В рамках </w:t>
      </w:r>
      <w:r>
        <w:rPr>
          <w:rFonts w:ascii="PT Astra Serif" w:hAnsi="PT Astra Serif"/>
          <w:sz w:val="24"/>
          <w:szCs w:val="24"/>
        </w:rPr>
        <w:t xml:space="preserve">реализации инициативы социально-экономического развития Российской Федерации до 2030 года «Города больших возможностей и возрождение малых форм расселения» и федерального проекта «Развитие субъектов Российской Федерации и отдельных территорий» в 2023 году:</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t xml:space="preserve">1) утвержден сформированный совместно с Минсельхозом России перечень из 18 опорных населенных пунктов и прилегающих территорий региона (ОНП и ПТ) для дальнейшей разработки долгосрочных планов развития (далее </w:t>
      </w:r>
      <w:r>
        <w:rPr>
          <w:rFonts w:ascii="PT Astra Serif" w:hAnsi="PT Astra Serif" w:eastAsia="Calibri"/>
          <w:sz w:val="24"/>
          <w:szCs w:val="24"/>
        </w:rPr>
        <w:t xml:space="preserve">–</w:t>
      </w:r>
      <w:r>
        <w:rPr>
          <w:rFonts w:ascii="PT Astra Serif" w:hAnsi="PT Astra Serif"/>
          <w:sz w:val="24"/>
          <w:szCs w:val="24"/>
        </w:rPr>
        <w:t xml:space="preserve"> ДПР) ОНП </w:t>
      </w:r>
      <w:r>
        <w:rPr>
          <w:rFonts w:ascii="PT Astra Serif" w:hAnsi="PT Astra Serif"/>
          <w:sz w:val="24"/>
          <w:szCs w:val="24"/>
        </w:rPr>
        <w:t xml:space="preserve">и ПТ в целях реализации комплексного подхода к социально-экономическому развитию соответствующей сельской агломерации, в том числе к ускоренному инфраструктурному развитию, для участия в отборе на получение межбюджетных трансфертов из федерального бюджета;</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t xml:space="preserve">2) сформированы проекты паспортов социально-экономического и пространствен</w:t>
      </w:r>
      <w:r>
        <w:rPr>
          <w:rFonts w:ascii="PT Astra Serif" w:hAnsi="PT Astra Serif"/>
          <w:sz w:val="24"/>
          <w:szCs w:val="24"/>
        </w:rPr>
        <w:t xml:space="preserve">ного положения всех 18 ОНП и ПТ;</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t xml:space="preserve">3) продолжается разработка 1 проекта долгосрочного плана развития ОНП и ПТ Кожевниковского района;</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t xml:space="preserve">4) продолжается анализ остальных 17 ОНП паспортов социально-экономического развития территории с целью подготовки планов в соответствии с графиком.</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t xml:space="preserve">При разработке ДПР ОНП и ПТ внимание сфокусировано на размещении производственных перерабатывающих и логистических мощностей различных отраслей экономики, а также формировании системы расселения, обеспечивающей активное экономическое развитие. </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t xml:space="preserve">В части развития Томской агломерации приоритетным направлением развития является разработка ДПР Томской агломерации в соответствии с Правилами согласования, утверждения и мониторинга реализации ДПР крупных и крупнейших городских агломераций (</w:t>
      </w:r>
      <w:r>
        <w:rPr>
          <w:rFonts w:ascii="PT Astra Serif" w:hAnsi="PT Astra Serif"/>
          <w:sz w:val="24"/>
          <w:szCs w:val="24"/>
        </w:rPr>
        <w:t xml:space="preserve">п</w:t>
      </w:r>
      <w:r>
        <w:rPr>
          <w:rFonts w:ascii="PT Astra Serif" w:hAnsi="PT Astra Serif"/>
          <w:sz w:val="24"/>
          <w:szCs w:val="24"/>
        </w:rPr>
        <w:t xml:space="preserve">остановление Правительства Российской Федерации от 31.05.2022 № 996</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w:t>
      </w:r>
      <w:r>
        <w:rPr>
          <w:rFonts w:ascii="PT Astra Serif" w:hAnsi="PT Astra Serif"/>
          <w:sz w:val="24"/>
          <w:szCs w:val="24"/>
        </w:rPr>
        <w:t xml:space="preserve">далее - ДПР городских агломераций). </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eastAsia="PT Astra Serif"/>
          <w:sz w:val="24"/>
          <w:szCs w:val="24"/>
        </w:rPr>
      </w:pPr>
      <w:r>
        <w:rPr>
          <w:rFonts w:ascii="PT Astra Serif" w:hAnsi="PT Astra Serif"/>
          <w:sz w:val="24"/>
          <w:szCs w:val="24"/>
        </w:rPr>
        <w:t xml:space="preserve">Согласно методическим рекомендациям по разработке ДПР городских агломераций (приказ Минэкономразвития России от 26.09</w:t>
      </w:r>
      <w:r>
        <w:rPr>
          <w:rFonts w:ascii="PT Astra Serif" w:hAnsi="PT Astra Serif"/>
          <w:sz w:val="24"/>
          <w:szCs w:val="24"/>
        </w:rPr>
        <w:t xml:space="preserve">.2023 № 669) на первом этапе разработки ДПР городских агломераций целесообразно осуществлять определение и обоснование границ городской агломерации, в отношении которой разрабатывается ДПР. В связи с чем актуальным является установление границ агломерации </w:t>
      </w:r>
      <w:r>
        <w:rPr>
          <w:rFonts w:ascii="PT Astra Serif" w:hAnsi="PT Astra Serif" w:eastAsia="PT Astra Serif"/>
          <w:sz w:val="24"/>
          <w:szCs w:val="24"/>
        </w:rPr>
        <w:t xml:space="preserve">(с планируемым размещением объектов транспорта, энергетики, образования, здравоохранения, физкультуры и спорта</w:t>
      </w:r>
      <w:r>
        <w:rPr>
          <w:rFonts w:ascii="PT Astra Serif" w:hAnsi="PT Astra Serif" w:eastAsia="PT Astra Serif"/>
          <w:sz w:val="24"/>
          <w:szCs w:val="24"/>
        </w:rPr>
        <w:t xml:space="preserve">) посредством разработки мастер-</w:t>
      </w:r>
      <w:r>
        <w:rPr>
          <w:rFonts w:ascii="PT Astra Serif" w:hAnsi="PT Astra Serif" w:eastAsia="PT Astra Serif"/>
          <w:sz w:val="24"/>
          <w:szCs w:val="24"/>
        </w:rPr>
        <w:t xml:space="preserve">плана и плана комплексного социально-экономического развития Томской агломерации на период до 2030 года.</w:t>
      </w:r>
      <w:r>
        <w:rPr>
          <w:rFonts w:ascii="PT Astra Serif" w:hAnsi="PT Astra Serif" w:eastAsia="PT Astra Serif"/>
          <w:sz w:val="24"/>
          <w:szCs w:val="24"/>
        </w:rPr>
      </w:r>
      <w:r>
        <w:rPr>
          <w:rFonts w:ascii="PT Astra Serif" w:hAnsi="PT Astra Serif" w:eastAsia="PT Astra Serif"/>
          <w:sz w:val="24"/>
          <w:szCs w:val="24"/>
        </w:rPr>
      </w:r>
    </w:p>
    <w:p>
      <w:pPr>
        <w:ind w:firstLine="709"/>
        <w:jc w:val="both"/>
        <w:spacing w:after="0" w:line="240" w:lineRule="auto"/>
        <w:tabs>
          <w:tab w:val="left" w:pos="0" w:leader="none"/>
        </w:tabs>
        <w:rPr>
          <w:rFonts w:ascii="PT Astra Serif" w:hAnsi="PT Astra Serif" w:eastAsia="Calibri"/>
          <w:sz w:val="24"/>
          <w:szCs w:val="24"/>
        </w:rPr>
      </w:pPr>
      <w:r>
        <w:rPr>
          <w:rFonts w:ascii="PT Astra Serif" w:hAnsi="PT Astra Serif" w:eastAsia="Calibri"/>
          <w:sz w:val="24"/>
          <w:szCs w:val="24"/>
        </w:rPr>
        <w:t xml:space="preserve">В целях качественного улучшения территорий областного центра </w:t>
      </w:r>
      <w:r>
        <w:rPr>
          <w:rFonts w:ascii="PT Astra Serif" w:hAnsi="PT Astra Serif" w:eastAsia="Calibri"/>
          <w:sz w:val="24"/>
          <w:szCs w:val="24"/>
        </w:rPr>
        <w:t xml:space="preserve">–</w:t>
      </w:r>
      <w:r>
        <w:rPr>
          <w:rFonts w:ascii="PT Astra Serif" w:hAnsi="PT Astra Serif" w:eastAsia="Calibri"/>
          <w:sz w:val="24"/>
          <w:szCs w:val="24"/>
        </w:rPr>
        <w:t xml:space="preserve"> г.</w:t>
      </w:r>
      <w:r>
        <w:rPr>
          <w:rFonts w:ascii="PT Astra Serif" w:hAnsi="PT Astra Serif" w:eastAsia="Calibri"/>
          <w:sz w:val="24"/>
          <w:szCs w:val="24"/>
        </w:rPr>
        <w:t xml:space="preserve"> </w:t>
      </w:r>
      <w:r>
        <w:rPr>
          <w:rFonts w:ascii="PT Astra Serif" w:hAnsi="PT Astra Serif" w:eastAsia="Calibri"/>
          <w:sz w:val="24"/>
          <w:szCs w:val="24"/>
        </w:rPr>
        <w:t xml:space="preserve">Томска в 2023 году продолжена работа над применением механизма комплексного развития территорий, подразумевающего развитие жилищного строительства с одновременным созданием необходимой инфраструктуры.</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0" w:leader="none"/>
          <w:tab w:val="left" w:pos="426" w:leader="none"/>
        </w:tabs>
        <w:rPr>
          <w:rFonts w:ascii="PT Astra Serif" w:hAnsi="PT Astra Serif" w:eastAsia="Calibri"/>
          <w:sz w:val="24"/>
          <w:szCs w:val="24"/>
        </w:rPr>
      </w:pPr>
      <w:r>
        <w:rPr>
          <w:rFonts w:ascii="PT Astra Serif" w:hAnsi="PT Astra Serif" w:eastAsia="Calibri"/>
          <w:sz w:val="24"/>
          <w:szCs w:val="24"/>
        </w:rPr>
        <w:t xml:space="preserve">В 2023 году </w:t>
      </w:r>
      <w:r>
        <w:rPr>
          <w:rFonts w:ascii="PT Astra Serif" w:hAnsi="PT Astra Serif" w:eastAsia="Calibri"/>
          <w:sz w:val="24"/>
          <w:szCs w:val="24"/>
        </w:rPr>
        <w:t xml:space="preserve">а</w:t>
      </w:r>
      <w:r>
        <w:rPr>
          <w:rFonts w:ascii="PT Astra Serif" w:hAnsi="PT Astra Serif" w:eastAsia="Calibri"/>
          <w:sz w:val="24"/>
          <w:szCs w:val="24"/>
        </w:rPr>
        <w:t xml:space="preserve">дминистрацией Города Томска:</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0" w:leader="none"/>
        </w:tabs>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заключен договор о комплексном развитии территори</w:t>
      </w:r>
      <w:r>
        <w:rPr>
          <w:rFonts w:ascii="PT Astra Serif" w:hAnsi="PT Astra Serif" w:eastAsia="Calibri"/>
          <w:sz w:val="24"/>
          <w:szCs w:val="24"/>
        </w:rPr>
        <w:t xml:space="preserve">и</w:t>
      </w:r>
      <w:r>
        <w:rPr>
          <w:rFonts w:ascii="PT Astra Serif" w:hAnsi="PT Astra Serif" w:eastAsia="Calibri"/>
          <w:sz w:val="24"/>
          <w:szCs w:val="24"/>
        </w:rPr>
        <w:t xml:space="preserve"> с </w:t>
      </w:r>
      <w:r>
        <w:rPr>
          <w:rFonts w:ascii="PT Astra Serif" w:hAnsi="PT Astra Serif"/>
          <w:sz w:val="24"/>
          <w:szCs w:val="24"/>
        </w:rPr>
        <w:t xml:space="preserve">ООО «СЗ «Карьероуправление»</w:t>
      </w:r>
      <w:r>
        <w:rPr>
          <w:rFonts w:ascii="PT Astra Serif" w:hAnsi="PT Astra Serif" w:eastAsia="Calibri"/>
          <w:sz w:val="24"/>
          <w:szCs w:val="24"/>
        </w:rPr>
        <w:t xml:space="preserve"> </w:t>
      </w:r>
      <w:r>
        <w:rPr>
          <w:rFonts w:ascii="PT Astra Serif" w:hAnsi="PT Astra Serif" w:eastAsia="Calibri"/>
          <w:sz w:val="24"/>
          <w:szCs w:val="24"/>
        </w:rPr>
        <w:t xml:space="preserve">в отношении территории</w:t>
      </w:r>
      <w:r>
        <w:rPr>
          <w:rFonts w:ascii="PT Astra Serif" w:hAnsi="PT Astra Serif" w:eastAsia="Calibri"/>
          <w:sz w:val="24"/>
          <w:szCs w:val="24"/>
        </w:rPr>
        <w:t xml:space="preserve"> в г. Томске </w:t>
      </w:r>
      <w:r>
        <w:rPr>
          <w:sz w:val="24"/>
          <w:szCs w:val="24"/>
        </w:rPr>
        <w:t xml:space="preserve">(ул. Вершинина </w:t>
      </w:r>
      <w:r>
        <w:rPr>
          <w:rFonts w:ascii="PT Astra Serif" w:hAnsi="PT Astra Serif" w:eastAsia="Calibri"/>
          <w:sz w:val="24"/>
          <w:szCs w:val="24"/>
        </w:rPr>
        <w:t xml:space="preserve">–</w:t>
      </w:r>
      <w:r>
        <w:rPr>
          <w:sz w:val="24"/>
          <w:szCs w:val="24"/>
        </w:rPr>
        <w:t xml:space="preserve"> ул. Полины Осипенко </w:t>
      </w:r>
      <w:r>
        <w:rPr>
          <w:rFonts w:ascii="PT Astra Serif" w:hAnsi="PT Astra Serif" w:eastAsia="Calibri"/>
          <w:sz w:val="24"/>
          <w:szCs w:val="24"/>
        </w:rPr>
        <w:t xml:space="preserve">–</w:t>
      </w:r>
      <w:r>
        <w:rPr>
          <w:sz w:val="24"/>
          <w:szCs w:val="24"/>
        </w:rPr>
        <w:t xml:space="preserve"> пер. Промышленный)</w:t>
      </w:r>
      <w:r>
        <w:rPr>
          <w:rFonts w:ascii="PT Astra Serif" w:hAnsi="PT Astra Serif" w:eastAsia="Calibri"/>
          <w:sz w:val="24"/>
          <w:szCs w:val="24"/>
        </w:rPr>
        <w:t xml:space="preserve">;</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0" w:leader="none"/>
        </w:tabs>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Calibri"/>
          <w:sz w:val="24"/>
          <w:szCs w:val="24"/>
        </w:rPr>
        <w:t xml:space="preserve"> приняты решения о комплексном развитии незастроенных территорий (ул. Клюева, ул. Большая Подгорная, Иркутский тракт), территории жилой застройки (</w:t>
      </w:r>
      <w:r>
        <w:rPr>
          <w:sz w:val="24"/>
          <w:szCs w:val="24"/>
        </w:rPr>
        <w:t xml:space="preserve">пер. Днепровский </w:t>
      </w:r>
      <w:r>
        <w:rPr>
          <w:rFonts w:ascii="PT Astra Serif" w:hAnsi="PT Astra Serif" w:eastAsia="Calibri"/>
          <w:sz w:val="24"/>
          <w:szCs w:val="24"/>
        </w:rPr>
        <w:t xml:space="preserve">– </w:t>
      </w:r>
      <w:r>
        <w:rPr>
          <w:sz w:val="24"/>
          <w:szCs w:val="24"/>
        </w:rPr>
        <w:t xml:space="preserve">ул. Первомайская </w:t>
      </w:r>
      <w:r>
        <w:rPr>
          <w:rFonts w:ascii="PT Astra Serif" w:hAnsi="PT Astra Serif" w:eastAsia="Calibri"/>
          <w:sz w:val="24"/>
          <w:szCs w:val="24"/>
        </w:rPr>
        <w:t xml:space="preserve">– </w:t>
      </w:r>
      <w:r>
        <w:rPr>
          <w:sz w:val="24"/>
          <w:szCs w:val="24"/>
        </w:rPr>
        <w:t xml:space="preserve">пер. Урожайный </w:t>
      </w:r>
      <w:r>
        <w:rPr>
          <w:rFonts w:ascii="PT Astra Serif" w:hAnsi="PT Astra Serif" w:eastAsia="Calibri"/>
          <w:sz w:val="24"/>
          <w:szCs w:val="24"/>
        </w:rPr>
        <w:t xml:space="preserve">–</w:t>
      </w:r>
      <w:r>
        <w:rPr>
          <w:sz w:val="24"/>
          <w:szCs w:val="24"/>
        </w:rPr>
        <w:t xml:space="preserve"> пер. Целинный</w:t>
      </w:r>
      <w:r>
        <w:rPr>
          <w:rFonts w:ascii="PT Astra Serif" w:hAnsi="PT Astra Serif" w:eastAsia="Calibri"/>
          <w:sz w:val="24"/>
          <w:szCs w:val="24"/>
        </w:rPr>
        <w:t xml:space="preserve">) г. Томска.</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52"/>
        <w:ind w:left="0"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1. Внесение в ЕГРН сведений об участке границы Томской области с ХМАО, а также о местоположении границ 129 муниципальных образований Томской области, о границах населенных пунктов и территориальных зон.</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pStyle w:val="1152"/>
        <w:ind w:left="0"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2. Продолжение работы по актуализации картографического материала населенных пунктов Томской области, выполнение ортофотопланов в 196 населенных пунктах Томской области в 2024 году.</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3. Выполнение работы по интеграции ГИС ОГД ТО с государственной информационной системой обеспечения градостроительной деятельности Российской Федерации. </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4. </w:t>
      </w:r>
      <w:r>
        <w:rPr>
          <w:rFonts w:ascii="PT Astra Serif" w:hAnsi="PT Astra Serif"/>
          <w:sz w:val="24"/>
          <w:szCs w:val="24"/>
        </w:rPr>
        <w:t xml:space="preserve">Разработка планов долгосрочного развития сельских территорий Томской области.</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tabs>
          <w:tab w:val="left" w:pos="567" w:leader="none"/>
        </w:tabs>
        <w:rPr>
          <w:rFonts w:ascii="PT Astra Serif" w:hAnsi="PT Astra Serif" w:eastAsia="PT Astra Serif"/>
          <w:sz w:val="24"/>
          <w:szCs w:val="24"/>
        </w:rPr>
      </w:pPr>
      <w:r>
        <w:rPr>
          <w:rFonts w:ascii="PT Astra Serif" w:hAnsi="PT Astra Serif"/>
          <w:sz w:val="24"/>
          <w:szCs w:val="24"/>
        </w:rPr>
        <w:t xml:space="preserve">5. Разработка мастер-плана</w:t>
      </w:r>
      <w:r>
        <w:rPr>
          <w:rFonts w:ascii="PT Astra Serif" w:hAnsi="PT Astra Serif" w:eastAsia="PT Astra Serif"/>
          <w:sz w:val="24"/>
          <w:szCs w:val="24"/>
        </w:rPr>
        <w:t xml:space="preserve"> и плана комплексного социально-экономического развития Томской агломерации на период до 2030 года.</w:t>
      </w:r>
      <w:r>
        <w:rPr>
          <w:rFonts w:ascii="PT Astra Serif" w:hAnsi="PT Astra Serif" w:eastAsia="PT Astra Serif"/>
          <w:sz w:val="24"/>
          <w:szCs w:val="24"/>
        </w:rPr>
      </w:r>
      <w:r>
        <w:rPr>
          <w:rFonts w:ascii="PT Astra Serif" w:hAnsi="PT Astra Serif" w:eastAsia="PT Astra Serif"/>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eastAsia="PT Astra Serif"/>
          <w:sz w:val="24"/>
          <w:szCs w:val="24"/>
        </w:rPr>
        <w:t xml:space="preserve">6. </w:t>
      </w:r>
      <w:r>
        <w:rPr>
          <w:rFonts w:ascii="PT Astra Serif" w:hAnsi="PT Astra Serif" w:eastAsia="PT Astra Serif"/>
          <w:sz w:val="24"/>
          <w:szCs w:val="24"/>
        </w:rPr>
        <w:t xml:space="preserve">Реализация проекта к</w:t>
      </w:r>
      <w:r>
        <w:rPr>
          <w:rFonts w:ascii="PT Astra Serif" w:hAnsi="PT Astra Serif" w:eastAsia="Calibri"/>
          <w:sz w:val="24"/>
          <w:szCs w:val="24"/>
        </w:rPr>
        <w:t xml:space="preserve">омплексного развития территори</w:t>
      </w:r>
      <w:r>
        <w:rPr>
          <w:rFonts w:ascii="PT Astra Serif" w:hAnsi="PT Astra Serif" w:eastAsia="Calibri"/>
          <w:sz w:val="24"/>
          <w:szCs w:val="24"/>
        </w:rPr>
        <w:t xml:space="preserve">и</w:t>
      </w:r>
      <w:r>
        <w:rPr>
          <w:rFonts w:ascii="PT Astra Serif" w:hAnsi="PT Astra Serif" w:eastAsia="Calibri"/>
          <w:sz w:val="24"/>
          <w:szCs w:val="24"/>
        </w:rPr>
        <w:t xml:space="preserve"> (</w:t>
      </w:r>
      <w:r>
        <w:rPr>
          <w:sz w:val="24"/>
          <w:szCs w:val="24"/>
        </w:rPr>
        <w:t xml:space="preserve">ул. Вершинина </w:t>
      </w:r>
      <w:r>
        <w:rPr>
          <w:rFonts w:ascii="PT Astra Serif" w:hAnsi="PT Astra Serif" w:eastAsia="Calibri"/>
          <w:sz w:val="24"/>
          <w:szCs w:val="24"/>
        </w:rPr>
        <w:t xml:space="preserve">–</w:t>
      </w:r>
      <w:r>
        <w:rPr>
          <w:sz w:val="24"/>
          <w:szCs w:val="24"/>
        </w:rPr>
        <w:t xml:space="preserve"> ул. Полины Осипенко </w:t>
      </w:r>
      <w:r>
        <w:rPr>
          <w:rFonts w:ascii="PT Astra Serif" w:hAnsi="PT Astra Serif" w:eastAsia="Calibri"/>
          <w:sz w:val="24"/>
          <w:szCs w:val="24"/>
        </w:rPr>
        <w:t xml:space="preserve">–</w:t>
      </w:r>
      <w:r>
        <w:rPr>
          <w:sz w:val="24"/>
          <w:szCs w:val="24"/>
        </w:rPr>
        <w:t xml:space="preserve"> пер. Промышленный</w:t>
      </w:r>
      <w:r>
        <w:rPr>
          <w:rFonts w:ascii="PT Astra Serif" w:hAnsi="PT Astra Serif" w:eastAsia="Calibri"/>
          <w:sz w:val="24"/>
          <w:szCs w:val="24"/>
        </w:rPr>
        <w:t xml:space="preserve">) в г. Томске.</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pStyle w:val="1146"/>
        <w:outlineLvl w:val="1"/>
      </w:pPr>
      <w:r/>
      <w:bookmarkStart w:id="23" w:name="_Toc134630413"/>
      <w:r>
        <w:t xml:space="preserve">4.2. Содействие повышению эффективности транспортной системы и информационно-коммуникационной инфраструктуры</w:t>
      </w:r>
      <w:bookmarkEnd w:id="23"/>
      <w:r/>
      <w:r/>
    </w:p>
    <w:p>
      <w:pPr>
        <w:spacing w:after="0" w:line="240" w:lineRule="auto"/>
        <w:tabs>
          <w:tab w:val="left" w:pos="567" w:leader="none"/>
        </w:tabs>
        <w:rPr>
          <w:rFonts w:ascii="PT Astra Serif" w:hAnsi="PT Astra Serif" w:eastAsia="Times New Roman"/>
          <w:b/>
          <w:sz w:val="24"/>
          <w:szCs w:val="24"/>
        </w:rPr>
      </w:pPr>
      <w:r>
        <w:rPr>
          <w:rFonts w:ascii="PT Astra Serif" w:hAnsi="PT Astra Serif" w:eastAsia="Times New Roman"/>
          <w:b/>
          <w:sz w:val="24"/>
          <w:szCs w:val="24"/>
        </w:rPr>
      </w:r>
      <w:r>
        <w:rPr>
          <w:rFonts w:ascii="PT Astra Serif" w:hAnsi="PT Astra Serif" w:eastAsia="Times New Roman"/>
          <w:b/>
          <w:sz w:val="24"/>
          <w:szCs w:val="24"/>
        </w:rPr>
      </w:r>
      <w:r>
        <w:rPr>
          <w:rFonts w:ascii="PT Astra Serif" w:hAnsi="PT Astra Serif" w:eastAsia="Times New Roman"/>
          <w:b/>
          <w:sz w:val="24"/>
          <w:szCs w:val="24"/>
        </w:rPr>
      </w:r>
    </w:p>
    <w:p>
      <w:pPr>
        <w:jc w:val="both"/>
        <w:spacing w:after="0" w:line="240" w:lineRule="auto"/>
        <w:shd w:val="clear" w:color="auto" w:fill="eaf1dd" w:themeFill="accent3" w:themeFillTint="33"/>
        <w:rPr>
          <w:rFonts w:ascii="PT Astra Serif" w:hAnsi="PT Astra Serif"/>
          <w:b/>
          <w:sz w:val="24"/>
          <w:szCs w:val="24"/>
          <w:lang w:eastAsia="ru-RU"/>
        </w:rPr>
      </w:pPr>
      <w:r>
        <w:rPr>
          <w:rFonts w:ascii="PT Astra Serif" w:hAnsi="PT Astra Serif"/>
          <w:b/>
          <w:sz w:val="24"/>
          <w:szCs w:val="24"/>
          <w:lang w:eastAsia="ru-RU"/>
        </w:rPr>
        <w:t xml:space="preserve">Дорожный комплекс</w:t>
      </w:r>
      <w:r>
        <w:rPr>
          <w:rStyle w:val="1138"/>
          <w:lang w:eastAsia="ru-RU"/>
        </w:rPr>
        <w:footnoteReference w:id="12"/>
      </w:r>
      <w:r>
        <w:rPr>
          <w:rFonts w:ascii="PT Astra Serif" w:hAnsi="PT Astra Serif"/>
          <w:b/>
          <w:sz w:val="24"/>
          <w:szCs w:val="24"/>
          <w:lang w:eastAsia="ru-RU"/>
        </w:rPr>
      </w:r>
      <w:r>
        <w:rPr>
          <w:rFonts w:ascii="PT Astra Serif" w:hAnsi="PT Astra Serif"/>
          <w:b/>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Ключевыми</w:t>
      </w:r>
      <w:r>
        <w:rPr>
          <w:rFonts w:ascii="PT Astra Serif" w:hAnsi="PT Astra Serif" w:eastAsia="Times New Roman"/>
          <w:sz w:val="24"/>
          <w:szCs w:val="24"/>
          <w:lang w:eastAsia="ru-RU"/>
        </w:rPr>
        <w:t xml:space="preserve"> задач</w:t>
      </w:r>
      <w:r>
        <w:rPr>
          <w:rFonts w:ascii="PT Astra Serif" w:hAnsi="PT Astra Serif" w:eastAsia="Times New Roman"/>
          <w:sz w:val="24"/>
          <w:szCs w:val="24"/>
          <w:lang w:eastAsia="ru-RU"/>
        </w:rPr>
        <w:t xml:space="preserve">ами</w:t>
      </w:r>
      <w:r>
        <w:rPr>
          <w:rFonts w:ascii="PT Astra Serif" w:hAnsi="PT Astra Serif" w:eastAsia="Times New Roman"/>
          <w:sz w:val="24"/>
          <w:szCs w:val="24"/>
          <w:lang w:eastAsia="ru-RU"/>
        </w:rPr>
        <w:t xml:space="preserve"> транспортной политики региона явля</w:t>
      </w:r>
      <w:r>
        <w:rPr>
          <w:rFonts w:ascii="PT Astra Serif" w:hAnsi="PT Astra Serif" w:eastAsia="Times New Roman"/>
          <w:sz w:val="24"/>
          <w:szCs w:val="24"/>
          <w:lang w:eastAsia="ru-RU"/>
        </w:rPr>
        <w:t xml:space="preserve">ю</w:t>
      </w:r>
      <w:r>
        <w:rPr>
          <w:rFonts w:ascii="PT Astra Serif" w:hAnsi="PT Astra Serif" w:eastAsia="Times New Roman"/>
          <w:sz w:val="24"/>
          <w:szCs w:val="24"/>
          <w:lang w:eastAsia="ru-RU"/>
        </w:rPr>
        <w:t xml:space="preserve">тся обеспечение инфраструктурной связности муниципальных образований Томской области, реализация его технологического и транспортно-логистического потенциала.</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На сегодняшний день транспортная инфраструктура Томской области в целом обеспечивает потребности экономики региона. Перевозки грузов и пассажиров осуществляются автомобильным, железнодоро</w:t>
      </w:r>
      <w:r>
        <w:rPr>
          <w:rFonts w:ascii="PT Astra Serif" w:hAnsi="PT Astra Serif" w:eastAsia="Times New Roman"/>
          <w:sz w:val="24"/>
          <w:szCs w:val="24"/>
          <w:lang w:eastAsia="ru-RU"/>
        </w:rPr>
        <w:t xml:space="preserve">жным, внутренним водным и воздушным транспортом. Вместе с тем существует потребность в расширении транспортных коридоров с другими регионами на севере области, а также в увеличении качества транспортной доступности на территориях муниципальных образований.</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В целях приведения дорог в нормативное состояние регион участвует в национальном проекте «Безопасные качественные дороги».</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2023 году приведено в нормативное состояние 307,1 км автомобильных дорог, в том числе по направлениям:</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1) </w:t>
      </w:r>
      <w:r>
        <w:rPr>
          <w:rFonts w:ascii="PT Astra Serif" w:hAnsi="PT Astra Serif" w:eastAsia="Times New Roman" w:cs="Arial"/>
          <w:sz w:val="24"/>
          <w:szCs w:val="24"/>
          <w:lang w:eastAsia="ru-RU"/>
        </w:rPr>
        <w:t xml:space="preserve">р</w:t>
      </w:r>
      <w:r>
        <w:rPr>
          <w:rFonts w:ascii="PT Astra Serif" w:hAnsi="PT Astra Serif" w:eastAsia="Times New Roman" w:cs="Arial"/>
          <w:sz w:val="24"/>
          <w:szCs w:val="24"/>
          <w:lang w:eastAsia="ru-RU"/>
        </w:rPr>
        <w:t xml:space="preserve">емонтом</w:t>
      </w:r>
      <w:r>
        <w:rPr>
          <w:rFonts w:ascii="PT Astra Serif" w:hAnsi="PT Astra Serif" w:eastAsia="Times New Roman"/>
          <w:sz w:val="24"/>
          <w:szCs w:val="24"/>
          <w:lang w:eastAsia="ru-RU"/>
        </w:rPr>
        <w:t xml:space="preserve"> </w:t>
      </w:r>
      <w:r>
        <w:rPr>
          <w:rFonts w:ascii="PT Astra Serif" w:hAnsi="PT Astra Serif" w:eastAsia="Times New Roman" w:cs="Arial"/>
          <w:sz w:val="24"/>
          <w:szCs w:val="24"/>
          <w:lang w:eastAsia="ru-RU"/>
        </w:rPr>
        <w:t xml:space="preserve">охвачены</w:t>
      </w:r>
      <w:r>
        <w:rPr>
          <w:rFonts w:ascii="PT Astra Serif" w:hAnsi="PT Astra Serif" w:eastAsia="Times New Roman"/>
          <w:sz w:val="24"/>
          <w:szCs w:val="24"/>
          <w:lang w:eastAsia="ru-RU"/>
        </w:rPr>
        <w:t xml:space="preserve"> 248,9 км дорог</w:t>
      </w:r>
      <w:r>
        <w:rPr>
          <w:rFonts w:ascii="PT Astra Serif" w:hAnsi="PT Astra Serif" w:eastAsia="Times New Roman" w:cs="Arial"/>
          <w:sz w:val="24"/>
          <w:szCs w:val="24"/>
          <w:lang w:eastAsia="ru-RU"/>
        </w:rPr>
        <w:t xml:space="preserve"> </w:t>
      </w:r>
      <w:r>
        <w:rPr>
          <w:rFonts w:ascii="PT Astra Serif" w:hAnsi="PT Astra Serif" w:eastAsia="Times New Roman"/>
          <w:sz w:val="24"/>
          <w:szCs w:val="24"/>
          <w:lang w:eastAsia="ru-RU"/>
        </w:rPr>
        <w:t xml:space="preserve">регионального и межмуниципального значения на участках:</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дороги «Томск – Каргала - Колпашево» в Шегарском районе, являющейся основной транспортной артерией Томской области, общей протяженностью 12,9 км;</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w:t>
      </w:r>
      <w:r>
        <w:rPr>
          <w:rFonts w:ascii="PT Astra Serif" w:hAnsi="PT Astra Serif" w:cs="Calibri"/>
          <w:sz w:val="24"/>
          <w:szCs w:val="24"/>
          <w:lang w:eastAsia="ru-RU"/>
        </w:rPr>
        <w:t xml:space="preserve">дороги</w:t>
      </w:r>
      <w:r>
        <w:rPr>
          <w:rFonts w:ascii="PT Astra Serif" w:hAnsi="PT Astra Serif" w:eastAsia="Times New Roman"/>
          <w:sz w:val="24"/>
          <w:szCs w:val="24"/>
          <w:lang w:eastAsia="ru-RU"/>
        </w:rPr>
        <w:t xml:space="preserve"> </w:t>
      </w:r>
      <w:r>
        <w:rPr>
          <w:rFonts w:ascii="PT Astra Serif" w:hAnsi="PT Astra Serif" w:cs="Calibri"/>
          <w:sz w:val="24"/>
          <w:szCs w:val="24"/>
          <w:lang w:eastAsia="ru-RU"/>
        </w:rPr>
        <w:t xml:space="preserve">Больше-Дорохово в Тегульдетском районе протяженностью 12,0 км;</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2) </w:t>
      </w:r>
      <w:r>
        <w:rPr>
          <w:rFonts w:ascii="PT Astra Serif" w:hAnsi="PT Astra Serif" w:eastAsia="Times New Roman"/>
          <w:sz w:val="24"/>
          <w:szCs w:val="24"/>
          <w:lang w:eastAsia="ru-RU"/>
        </w:rPr>
        <w:t xml:space="preserve">п</w:t>
      </w:r>
      <w:r>
        <w:rPr>
          <w:rFonts w:ascii="PT Astra Serif" w:hAnsi="PT Astra Serif" w:eastAsia="Times New Roman"/>
          <w:sz w:val="24"/>
          <w:szCs w:val="24"/>
          <w:lang w:eastAsia="ru-RU"/>
        </w:rPr>
        <w:t xml:space="preserve">о ремонту дорог местного значения в рамках реализации Губернаторской программы отремонтировано 58,2 км дорог в границах всех 20 муниципальных районов и 1,4 км в границах городских округов.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Завершен капитальный ремонт Коммунального моста через р. Томь.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Завершено строительство мостового перехода через р. Яя в Зырянском районе.</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cs="Calibri"/>
          <w:sz w:val="24"/>
          <w:szCs w:val="24"/>
          <w:lang w:eastAsia="ru-RU"/>
        </w:rPr>
      </w:pPr>
      <w:r>
        <w:rPr>
          <w:rFonts w:ascii="PT Astra Serif" w:hAnsi="PT Astra Serif" w:cs="Calibri"/>
          <w:sz w:val="24"/>
          <w:szCs w:val="24"/>
          <w:lang w:eastAsia="ru-RU"/>
        </w:rPr>
        <w:t xml:space="preserve">Выполнен ремонт мостового перехода через р. Порос на автомобильной дороге Томск</w:t>
      </w:r>
      <w:r>
        <w:rPr>
          <w:rFonts w:ascii="PT Astra Serif" w:hAnsi="PT Astra Serif" w:cs="Calibri"/>
          <w:sz w:val="24"/>
          <w:szCs w:val="24"/>
          <w:lang w:eastAsia="ru-RU"/>
        </w:rPr>
        <w:t xml:space="preserve"> </w:t>
      </w:r>
      <w:r>
        <w:rPr>
          <w:rFonts w:ascii="PT Astra Serif" w:hAnsi="PT Astra Serif" w:eastAsia="Calibri"/>
          <w:sz w:val="24"/>
          <w:szCs w:val="24"/>
        </w:rPr>
        <w:t xml:space="preserve">– </w:t>
      </w:r>
      <w:r>
        <w:rPr>
          <w:rFonts w:ascii="PT Astra Serif" w:hAnsi="PT Astra Serif" w:cs="Calibri"/>
          <w:sz w:val="24"/>
          <w:szCs w:val="24"/>
          <w:lang w:eastAsia="ru-RU"/>
        </w:rPr>
        <w:t xml:space="preserve">Каргала</w:t>
      </w:r>
      <w:r>
        <w:rPr>
          <w:rFonts w:ascii="PT Astra Serif" w:hAnsi="PT Astra Serif" w:cs="Calibri"/>
          <w:sz w:val="24"/>
          <w:szCs w:val="24"/>
          <w:lang w:eastAsia="ru-RU"/>
        </w:rPr>
        <w:t xml:space="preserve"> </w:t>
      </w:r>
      <w:r>
        <w:rPr>
          <w:rFonts w:ascii="PT Astra Serif" w:hAnsi="PT Astra Serif" w:eastAsia="Calibri"/>
          <w:sz w:val="24"/>
          <w:szCs w:val="24"/>
        </w:rPr>
        <w:t xml:space="preserve">– </w:t>
      </w:r>
      <w:r>
        <w:rPr>
          <w:rFonts w:ascii="PT Astra Serif" w:hAnsi="PT Astra Serif" w:cs="Calibri"/>
          <w:sz w:val="24"/>
          <w:szCs w:val="24"/>
          <w:lang w:eastAsia="ru-RU"/>
        </w:rPr>
        <w:t xml:space="preserve">Колпашево в Томском районе. </w:t>
      </w:r>
      <w:r>
        <w:rPr>
          <w:rFonts w:ascii="PT Astra Serif" w:hAnsi="PT Astra Serif" w:cs="Calibri"/>
          <w:sz w:val="24"/>
          <w:szCs w:val="24"/>
          <w:lang w:eastAsia="ru-RU"/>
        </w:rPr>
        <w:t xml:space="preserve"> </w:t>
      </w:r>
      <w:r>
        <w:rPr>
          <w:rFonts w:ascii="PT Astra Serif" w:hAnsi="PT Astra Serif" w:cs="Calibri"/>
          <w:sz w:val="24"/>
          <w:szCs w:val="24"/>
          <w:lang w:eastAsia="ru-RU"/>
        </w:rPr>
      </w:r>
      <w:r>
        <w:rPr>
          <w:rFonts w:ascii="PT Astra Serif" w:hAnsi="PT Astra Serif" w:cs="Calibri"/>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2023 году из </w:t>
      </w:r>
      <w:r>
        <w:rPr>
          <w:rFonts w:ascii="PT Astra Serif" w:hAnsi="PT Astra Serif" w:eastAsia="Times New Roman"/>
          <w:sz w:val="24"/>
          <w:szCs w:val="24"/>
          <w:lang w:eastAsia="ru-RU"/>
        </w:rPr>
        <w:t xml:space="preserve">федерального бюджета </w:t>
      </w:r>
      <w:r>
        <w:rPr>
          <w:rFonts w:ascii="PT Astra Serif" w:hAnsi="PT Astra Serif" w:eastAsia="Times New Roman"/>
          <w:sz w:val="24"/>
          <w:szCs w:val="24"/>
          <w:lang w:eastAsia="ru-RU"/>
        </w:rPr>
        <w:t xml:space="preserve">региону выделено 419 563,8 тыс. рублей, за счет которых реализовывался ряд крупных дорожных проектов:</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trike/>
          <w:sz w:val="24"/>
          <w:szCs w:val="24"/>
          <w:lang w:eastAsia="ru-RU"/>
        </w:rPr>
      </w:pPr>
      <w:r>
        <w:rPr>
          <w:rFonts w:ascii="PT Astra Serif" w:hAnsi="PT Astra Serif" w:eastAsia="Calibri"/>
          <w:sz w:val="24"/>
          <w:szCs w:val="24"/>
        </w:rPr>
        <w:t xml:space="preserve">–</w:t>
      </w:r>
      <w:r>
        <w:rPr>
          <w:rFonts w:ascii="PT Astra Serif" w:hAnsi="PT Astra Serif" w:eastAsia="Times New Roman" w:cs="Calibri"/>
          <w:sz w:val="24"/>
          <w:szCs w:val="24"/>
          <w:lang w:eastAsia="ru-RU"/>
        </w:rPr>
        <w:t xml:space="preserve"> ремонт автомобильной дороги Подъезд к лечебно-профилактическому центру «Томь» на участке км 0+037</w:t>
      </w:r>
      <w:r>
        <w:rPr>
          <w:rFonts w:ascii="PT Astra Serif" w:hAnsi="PT Astra Serif" w:eastAsia="Times New Roman" w:cs="Calibri"/>
          <w:sz w:val="24"/>
          <w:szCs w:val="24"/>
          <w:lang w:eastAsia="ru-RU"/>
        </w:rPr>
        <w:t xml:space="preserve"> </w:t>
      </w:r>
      <w:r>
        <w:rPr>
          <w:rFonts w:ascii="PT Astra Serif" w:hAnsi="PT Astra Serif" w:eastAsia="Calibri"/>
          <w:sz w:val="24"/>
          <w:szCs w:val="24"/>
        </w:rPr>
        <w:t xml:space="preserve">–</w:t>
      </w:r>
      <w:r>
        <w:rPr>
          <w:rFonts w:ascii="PT Astra Serif" w:hAnsi="PT Astra Serif" w:eastAsia="Times New Roman" w:cs="Calibri"/>
          <w:sz w:val="24"/>
          <w:szCs w:val="24"/>
          <w:lang w:eastAsia="ru-RU"/>
        </w:rPr>
        <w:t xml:space="preserve"> км 1+925 в Томском районе;</w:t>
      </w:r>
      <w:r>
        <w:rPr>
          <w:rFonts w:ascii="PT Astra Serif" w:hAnsi="PT Astra Serif" w:eastAsia="Times New Roman"/>
          <w:strike/>
          <w:sz w:val="24"/>
          <w:szCs w:val="24"/>
          <w:lang w:eastAsia="ru-RU"/>
        </w:rPr>
      </w:r>
      <w:r>
        <w:rPr>
          <w:rFonts w:ascii="PT Astra Serif" w:hAnsi="PT Astra Serif" w:eastAsia="Times New Roman"/>
          <w:strike/>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cs="Calibri"/>
          <w:sz w:val="24"/>
          <w:szCs w:val="24"/>
        </w:rPr>
        <w:t xml:space="preserve"> ремонт автомобильной дороги Мельниково</w:t>
      </w:r>
      <w:r>
        <w:rPr>
          <w:rFonts w:ascii="PT Astra Serif" w:hAnsi="PT Astra Serif" w:cs="Calibri"/>
          <w:sz w:val="24"/>
          <w:szCs w:val="24"/>
        </w:rPr>
        <w:t xml:space="preserve"> </w:t>
      </w:r>
      <w:r>
        <w:rPr>
          <w:rFonts w:ascii="PT Astra Serif" w:hAnsi="PT Astra Serif" w:eastAsia="Calibri"/>
          <w:sz w:val="24"/>
          <w:szCs w:val="24"/>
        </w:rPr>
        <w:t xml:space="preserve">– </w:t>
      </w:r>
      <w:r>
        <w:rPr>
          <w:rFonts w:ascii="PT Astra Serif" w:hAnsi="PT Astra Serif" w:cs="Calibri"/>
          <w:sz w:val="24"/>
          <w:szCs w:val="24"/>
        </w:rPr>
        <w:t xml:space="preserve">Кожевниково </w:t>
      </w:r>
      <w:r>
        <w:rPr>
          <w:rFonts w:ascii="PT Astra Serif" w:hAnsi="PT Astra Serif" w:eastAsia="Calibri"/>
          <w:sz w:val="24"/>
          <w:szCs w:val="24"/>
        </w:rPr>
        <w:t xml:space="preserve">– </w:t>
      </w:r>
      <w:r>
        <w:rPr>
          <w:rFonts w:ascii="PT Astra Serif" w:hAnsi="PT Astra Serif" w:cs="Calibri"/>
          <w:sz w:val="24"/>
          <w:szCs w:val="24"/>
        </w:rPr>
        <w:t xml:space="preserve">Изовка  на участке км 91+000 - км 127+111 в Кожевниковском районе (1</w:t>
      </w:r>
      <w:r>
        <w:rPr>
          <w:rFonts w:ascii="PT Astra Serif" w:hAnsi="PT Astra Serif" w:cs="Calibri"/>
          <w:sz w:val="24"/>
          <w:szCs w:val="24"/>
        </w:rPr>
        <w:t xml:space="preserve">,</w:t>
      </w:r>
      <w:r>
        <w:rPr>
          <w:rFonts w:ascii="PT Astra Serif" w:hAnsi="PT Astra Serif" w:cs="Calibri"/>
          <w:sz w:val="24"/>
          <w:szCs w:val="24"/>
        </w:rPr>
        <w:t xml:space="preserve"> 2</w:t>
      </w:r>
      <w:r>
        <w:rPr>
          <w:rFonts w:ascii="PT Astra Serif" w:hAnsi="PT Astra Serif" w:cs="Calibri"/>
          <w:sz w:val="24"/>
          <w:szCs w:val="24"/>
        </w:rPr>
        <w:t xml:space="preserve">-й</w:t>
      </w:r>
      <w:r>
        <w:rPr>
          <w:rFonts w:ascii="PT Astra Serif" w:hAnsi="PT Astra Serif" w:cs="Calibri"/>
          <w:sz w:val="24"/>
          <w:szCs w:val="24"/>
        </w:rPr>
        <w:t xml:space="preserve"> этапы).</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trike/>
          <w:sz w:val="24"/>
          <w:szCs w:val="24"/>
          <w:lang w:eastAsia="ru-RU"/>
        </w:rPr>
      </w:pPr>
      <w:r>
        <w:rPr>
          <w:rFonts w:ascii="PT Astra Serif" w:hAnsi="PT Astra Serif" w:eastAsia="Calibri"/>
          <w:sz w:val="24"/>
          <w:szCs w:val="24"/>
        </w:rPr>
        <w:t xml:space="preserve">–</w:t>
      </w:r>
      <w:r>
        <w:rPr>
          <w:rFonts w:ascii="PT Astra Serif" w:hAnsi="PT Astra Serif" w:eastAsia="Times New Roman" w:cs="Calibri"/>
          <w:sz w:val="24"/>
          <w:szCs w:val="24"/>
          <w:lang w:eastAsia="ru-RU"/>
        </w:rPr>
        <w:t xml:space="preserve"> ремонт автомобильной дороги Подъезд к с. Октябрьское на участке км 0+000-2+005 в Томском районе.</w:t>
      </w:r>
      <w:r>
        <w:rPr>
          <w:rFonts w:ascii="PT Astra Serif" w:hAnsi="PT Astra Serif" w:eastAsia="Times New Roman"/>
          <w:strike/>
          <w:sz w:val="24"/>
          <w:szCs w:val="24"/>
          <w:lang w:eastAsia="ru-RU"/>
        </w:rPr>
      </w:r>
      <w:r>
        <w:rPr>
          <w:rFonts w:ascii="PT Astra Serif" w:hAnsi="PT Astra Serif" w:eastAsia="Times New Roman"/>
          <w:strike/>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Выполнен ремонт 35,33 км следующих автомобильных дорог общего пользования регионального или межмуниципального значения и сооружений на них:</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Calibri"/>
          <w:sz w:val="24"/>
          <w:szCs w:val="24"/>
          <w:lang w:eastAsia="ru-RU"/>
        </w:rPr>
      </w:pP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w:t>
      </w:r>
      <w:r>
        <w:rPr>
          <w:rFonts w:ascii="PT Astra Serif" w:hAnsi="PT Astra Serif" w:eastAsia="Times New Roman" w:cs="Calibri"/>
          <w:sz w:val="24"/>
          <w:szCs w:val="24"/>
          <w:lang w:eastAsia="ru-RU"/>
        </w:rPr>
        <w:t xml:space="preserve">Александровское -</w:t>
      </w:r>
      <w:r>
        <w:rPr>
          <w:rFonts w:ascii="PT Astra Serif" w:hAnsi="PT Astra Serif" w:eastAsia="Times New Roman" w:cs="Calibri"/>
          <w:sz w:val="24"/>
          <w:szCs w:val="24"/>
          <w:lang w:eastAsia="ru-RU"/>
        </w:rPr>
        <w:t xml:space="preserve"> 35 км в Александровском районе;</w:t>
      </w:r>
      <w:r>
        <w:rPr>
          <w:rFonts w:ascii="PT Astra Serif" w:hAnsi="PT Astra Serif" w:eastAsia="Times New Roman" w:cs="Calibri"/>
          <w:sz w:val="24"/>
          <w:szCs w:val="24"/>
          <w:lang w:eastAsia="ru-RU"/>
        </w:rPr>
      </w:r>
      <w:r>
        <w:rPr>
          <w:rFonts w:ascii="PT Astra Serif" w:hAnsi="PT Astra Serif" w:eastAsia="Times New Roman" w:cs="Calibri"/>
          <w:sz w:val="24"/>
          <w:szCs w:val="24"/>
          <w:lang w:eastAsia="ru-RU"/>
        </w:rPr>
      </w:r>
    </w:p>
    <w:p>
      <w:pPr>
        <w:ind w:firstLine="709"/>
        <w:jc w:val="both"/>
        <w:spacing w:after="0" w:line="240" w:lineRule="auto"/>
        <w:rPr>
          <w:rFonts w:ascii="PT Astra Serif" w:hAnsi="PT Astra Serif" w:eastAsia="Times New Roman" w:cs="Calibri"/>
          <w:sz w:val="24"/>
          <w:szCs w:val="24"/>
          <w:lang w:eastAsia="ru-RU"/>
        </w:rPr>
      </w:pPr>
      <w:r>
        <w:rPr>
          <w:rFonts w:ascii="PT Astra Serif" w:hAnsi="PT Astra Serif" w:eastAsia="Calibri"/>
          <w:sz w:val="24"/>
          <w:szCs w:val="24"/>
        </w:rPr>
        <w:t xml:space="preserve">–</w:t>
      </w:r>
      <w:r>
        <w:rPr>
          <w:rFonts w:ascii="PT Astra Serif" w:hAnsi="PT Astra Serif" w:eastAsia="Times New Roman" w:cs="Calibri"/>
          <w:sz w:val="24"/>
          <w:szCs w:val="24"/>
          <w:lang w:eastAsia="ru-RU"/>
        </w:rPr>
        <w:t xml:space="preserve"> Стрежевой - Нижневартовск в г. Стрежевом</w:t>
      </w:r>
      <w:r>
        <w:rPr>
          <w:rFonts w:ascii="PT Astra Serif" w:hAnsi="PT Astra Serif" w:eastAsia="Times New Roman" w:cs="Calibri"/>
          <w:sz w:val="24"/>
          <w:szCs w:val="24"/>
          <w:lang w:eastAsia="ru-RU"/>
        </w:rPr>
        <w:t xml:space="preserve">;</w:t>
      </w:r>
      <w:r>
        <w:rPr>
          <w:rFonts w:ascii="PT Astra Serif" w:hAnsi="PT Astra Serif" w:eastAsia="Times New Roman" w:cs="Calibri"/>
          <w:sz w:val="24"/>
          <w:szCs w:val="24"/>
          <w:lang w:eastAsia="ru-RU"/>
        </w:rPr>
      </w:r>
      <w:r>
        <w:rPr>
          <w:rFonts w:ascii="PT Astra Serif" w:hAnsi="PT Astra Serif" w:eastAsia="Times New Roman" w:cs="Calibri"/>
          <w:sz w:val="24"/>
          <w:szCs w:val="24"/>
          <w:lang w:eastAsia="ru-RU"/>
        </w:rPr>
      </w:r>
    </w:p>
    <w:p>
      <w:pPr>
        <w:ind w:firstLine="709"/>
        <w:jc w:val="both"/>
        <w:spacing w:after="0" w:line="240" w:lineRule="auto"/>
        <w:rPr>
          <w:rFonts w:ascii="PT Astra Serif" w:hAnsi="PT Astra Serif" w:eastAsia="Times New Roman" w:cs="Calibri"/>
          <w:sz w:val="24"/>
          <w:szCs w:val="24"/>
          <w:lang w:eastAsia="ru-RU"/>
        </w:rPr>
      </w:pPr>
      <w:r>
        <w:rPr>
          <w:rFonts w:ascii="PT Astra Serif" w:hAnsi="PT Astra Serif" w:eastAsia="Calibri"/>
          <w:sz w:val="24"/>
          <w:szCs w:val="24"/>
        </w:rPr>
        <w:t xml:space="preserve">–</w:t>
      </w:r>
      <w:r>
        <w:rPr>
          <w:rFonts w:ascii="PT Astra Serif" w:hAnsi="PT Astra Serif" w:eastAsia="Times New Roman" w:cs="Calibri"/>
          <w:sz w:val="24"/>
          <w:szCs w:val="24"/>
          <w:lang w:eastAsia="ru-RU"/>
        </w:rPr>
        <w:t xml:space="preserve"> Парабель</w:t>
      </w:r>
      <w:r>
        <w:rPr>
          <w:rFonts w:ascii="PT Astra Serif" w:hAnsi="PT Astra Serif" w:eastAsia="Times New Roman" w:cs="Calibri"/>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cs="Calibri"/>
          <w:sz w:val="24"/>
          <w:szCs w:val="24"/>
          <w:lang w:eastAsia="ru-RU"/>
        </w:rPr>
        <w:t xml:space="preserve">Новиково</w:t>
      </w:r>
      <w:r>
        <w:rPr>
          <w:rFonts w:ascii="PT Astra Serif" w:hAnsi="PT Astra Serif" w:eastAsia="Times New Roman" w:cs="Calibri"/>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cs="Calibri"/>
          <w:sz w:val="24"/>
          <w:szCs w:val="24"/>
          <w:lang w:eastAsia="ru-RU"/>
        </w:rPr>
        <w:t xml:space="preserve">Кедровый в Парабельском районе</w:t>
      </w:r>
      <w:r>
        <w:rPr>
          <w:rFonts w:ascii="PT Astra Serif" w:hAnsi="PT Astra Serif" w:eastAsia="Times New Roman" w:cs="Calibri"/>
          <w:sz w:val="24"/>
          <w:szCs w:val="24"/>
          <w:lang w:eastAsia="ru-RU"/>
        </w:rPr>
        <w:t xml:space="preserve">;</w:t>
      </w:r>
      <w:r>
        <w:rPr>
          <w:rFonts w:ascii="PT Astra Serif" w:hAnsi="PT Astra Serif" w:eastAsia="Times New Roman" w:cs="Calibri"/>
          <w:sz w:val="24"/>
          <w:szCs w:val="24"/>
          <w:lang w:eastAsia="ru-RU"/>
        </w:rPr>
      </w:r>
      <w:r>
        <w:rPr>
          <w:rFonts w:ascii="PT Astra Serif" w:hAnsi="PT Astra Serif" w:eastAsia="Times New Roman" w:cs="Calibri"/>
          <w:sz w:val="24"/>
          <w:szCs w:val="24"/>
          <w:lang w:eastAsia="ru-RU"/>
        </w:rPr>
      </w:r>
    </w:p>
    <w:p>
      <w:pPr>
        <w:ind w:firstLine="709"/>
        <w:jc w:val="both"/>
        <w:spacing w:after="0" w:line="240" w:lineRule="auto"/>
        <w:rPr>
          <w:rFonts w:ascii="PT Astra Serif" w:hAnsi="PT Astra Serif" w:eastAsia="Times New Roman" w:cs="Calibri"/>
          <w:sz w:val="24"/>
          <w:szCs w:val="24"/>
          <w:lang w:eastAsia="ru-RU"/>
        </w:rPr>
      </w:pPr>
      <w:r>
        <w:rPr>
          <w:rFonts w:ascii="PT Astra Serif" w:hAnsi="PT Astra Serif" w:eastAsia="Calibri"/>
          <w:sz w:val="24"/>
          <w:szCs w:val="24"/>
        </w:rPr>
        <w:t xml:space="preserve">–</w:t>
      </w:r>
      <w:r>
        <w:rPr>
          <w:rFonts w:ascii="PT Astra Serif" w:hAnsi="PT Astra Serif" w:eastAsia="Times New Roman" w:cs="Calibri"/>
          <w:sz w:val="24"/>
          <w:szCs w:val="24"/>
          <w:lang w:eastAsia="ru-RU"/>
        </w:rPr>
        <w:t xml:space="preserve"> Каргасок</w:t>
      </w:r>
      <w:r>
        <w:rPr>
          <w:rFonts w:ascii="PT Astra Serif" w:hAnsi="PT Astra Serif" w:eastAsia="Times New Roman" w:cs="Calibri"/>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cs="Calibri"/>
          <w:sz w:val="24"/>
          <w:szCs w:val="24"/>
          <w:lang w:eastAsia="ru-RU"/>
        </w:rPr>
        <w:t xml:space="preserve">Средний Васюган в Каргасокском районе</w:t>
      </w:r>
      <w:r>
        <w:rPr>
          <w:rFonts w:ascii="PT Astra Serif" w:hAnsi="PT Astra Serif" w:eastAsia="Times New Roman" w:cs="Calibri"/>
          <w:sz w:val="24"/>
          <w:szCs w:val="24"/>
          <w:lang w:eastAsia="ru-RU"/>
        </w:rPr>
        <w:t xml:space="preserve">;</w:t>
      </w:r>
      <w:r>
        <w:rPr>
          <w:rFonts w:ascii="PT Astra Serif" w:hAnsi="PT Astra Serif" w:eastAsia="Times New Roman" w:cs="Calibri"/>
          <w:sz w:val="24"/>
          <w:szCs w:val="24"/>
          <w:lang w:eastAsia="ru-RU"/>
        </w:rPr>
      </w:r>
      <w:r>
        <w:rPr>
          <w:rFonts w:ascii="PT Astra Serif" w:hAnsi="PT Astra Serif" w:eastAsia="Times New Roman" w:cs="Calibri"/>
          <w:sz w:val="24"/>
          <w:szCs w:val="24"/>
          <w:lang w:eastAsia="ru-RU"/>
        </w:rPr>
      </w:r>
    </w:p>
    <w:p>
      <w:pPr>
        <w:ind w:firstLine="709"/>
        <w:jc w:val="both"/>
        <w:spacing w:after="0" w:line="240" w:lineRule="auto"/>
        <w:rPr>
          <w:rFonts w:ascii="PT Astra Serif" w:hAnsi="PT Astra Serif" w:eastAsia="Times New Roman" w:cs="Calibri"/>
          <w:strike/>
          <w:sz w:val="24"/>
          <w:szCs w:val="24"/>
          <w:lang w:eastAsia="ru-RU"/>
        </w:rPr>
      </w:pPr>
      <w:r>
        <w:rPr>
          <w:rFonts w:ascii="PT Astra Serif" w:hAnsi="PT Astra Serif" w:eastAsia="Calibri"/>
          <w:sz w:val="24"/>
          <w:szCs w:val="24"/>
        </w:rPr>
        <w:t xml:space="preserve">–</w:t>
      </w:r>
      <w:r>
        <w:rPr>
          <w:rFonts w:ascii="PT Astra Serif" w:hAnsi="PT Astra Serif" w:eastAsia="Times New Roman" w:cs="Calibri"/>
          <w:sz w:val="24"/>
          <w:szCs w:val="24"/>
          <w:lang w:eastAsia="ru-RU"/>
        </w:rPr>
        <w:t xml:space="preserve"> подъезд к с. Новорождественско</w:t>
      </w:r>
      <w:r>
        <w:rPr>
          <w:rFonts w:ascii="PT Astra Serif" w:hAnsi="PT Astra Serif" w:eastAsia="Times New Roman" w:cs="Calibri"/>
          <w:sz w:val="24"/>
          <w:szCs w:val="24"/>
          <w:lang w:eastAsia="ru-RU"/>
        </w:rPr>
        <w:t xml:space="preserve">му</w:t>
      </w:r>
      <w:r>
        <w:rPr>
          <w:rFonts w:ascii="PT Astra Serif" w:hAnsi="PT Astra Serif" w:eastAsia="Times New Roman" w:cs="Calibri"/>
          <w:sz w:val="24"/>
          <w:szCs w:val="24"/>
          <w:lang w:eastAsia="ru-RU"/>
        </w:rPr>
        <w:t xml:space="preserve">, к д. Романовк</w:t>
      </w:r>
      <w:r>
        <w:rPr>
          <w:rFonts w:ascii="PT Astra Serif" w:hAnsi="PT Astra Serif" w:eastAsia="Times New Roman" w:cs="Calibri"/>
          <w:sz w:val="24"/>
          <w:szCs w:val="24"/>
          <w:lang w:eastAsia="ru-RU"/>
        </w:rPr>
        <w:t xml:space="preserve">е</w:t>
      </w:r>
      <w:r>
        <w:rPr>
          <w:rFonts w:ascii="PT Astra Serif" w:hAnsi="PT Astra Serif" w:eastAsia="Times New Roman" w:cs="Calibri"/>
          <w:sz w:val="24"/>
          <w:szCs w:val="24"/>
          <w:lang w:eastAsia="ru-RU"/>
        </w:rPr>
        <w:t xml:space="preserve"> в Томском районе</w:t>
      </w:r>
      <w:r>
        <w:rPr>
          <w:rFonts w:ascii="PT Astra Serif" w:hAnsi="PT Astra Serif" w:eastAsia="Times New Roman" w:cs="Calibri"/>
          <w:sz w:val="24"/>
          <w:szCs w:val="24"/>
          <w:lang w:eastAsia="ru-RU"/>
        </w:rPr>
        <w:t xml:space="preserve">.</w:t>
      </w:r>
      <w:r>
        <w:rPr>
          <w:rFonts w:ascii="PT Astra Serif" w:hAnsi="PT Astra Serif" w:eastAsia="Times New Roman" w:cs="Calibri"/>
          <w:strike/>
          <w:sz w:val="24"/>
          <w:szCs w:val="24"/>
          <w:lang w:eastAsia="ru-RU"/>
        </w:rPr>
      </w:r>
      <w:r>
        <w:rPr>
          <w:rFonts w:ascii="PT Astra Serif" w:hAnsi="PT Astra Serif" w:eastAsia="Times New Roman" w:cs="Calibri"/>
          <w:strike/>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2023 году региону предоставлен инфраструктурный кредит, в рамках которого ведется «Строительство автомобильной дороги Малое транспортное кольцо г. Томска на участке км 0 - км 5»,</w:t>
      </w:r>
      <w:r>
        <w:rPr>
          <w:rFonts w:ascii="PT Astra Serif" w:hAnsi="PT Astra Serif" w:eastAsia="Times New Roman"/>
          <w:sz w:val="24"/>
          <w:szCs w:val="24"/>
          <w:lang w:eastAsia="ru-RU"/>
        </w:rPr>
        <w:t xml:space="preserve"> техническая готовность объекта</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14,8%.</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В рамках работ по ремонту и содержанию автомобильных дорог регионального и межмуниципального значения и сооружений на них выполнены мероприятия по обеспечению безопасности дорожного движения, в том числе:</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 нанесение горизонтальной дорожной разметки проезжей части – 1866,89 км;</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 установка недостающих барьерных ограждений – 22 511,2 км;</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 установка недостающих остановочных площадок и автопавильонов - 34 шт.;</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 установка сигнальных столбиков – 2 598,0 шт.;</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 установка дорожных знаков – 1 415,0 шт.</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В 2023 году проводится ремонт автомобильных дорог 2 </w:t>
      </w: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3</w:t>
      </w:r>
      <w:r>
        <w:rPr>
          <w:rFonts w:ascii="PT Astra Serif" w:hAnsi="PT Astra Serif" w:eastAsia="Times New Roman"/>
          <w:sz w:val="24"/>
          <w:szCs w:val="24"/>
          <w:lang w:eastAsia="ru-RU"/>
        </w:rPr>
        <w:t xml:space="preserve">-й</w:t>
      </w:r>
      <w:r>
        <w:rPr>
          <w:rFonts w:ascii="PT Astra Serif" w:hAnsi="PT Astra Serif" w:eastAsia="Times New Roman"/>
          <w:sz w:val="24"/>
          <w:szCs w:val="24"/>
          <w:lang w:eastAsia="ru-RU"/>
        </w:rPr>
        <w:t xml:space="preserve"> категорий: общая протяженность ремонта дорог в г. Томске составила 6,89 км, в ЗАТО Северск </w:t>
      </w: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9,9 км.</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В 2023 году бюджет Дорожного фонда Томской области составил </w:t>
      </w:r>
      <w:r>
        <w:rPr>
          <w:rFonts w:ascii="PT Astra Serif" w:hAnsi="PT Astra Serif" w:eastAsia="Times New Roman"/>
          <w:sz w:val="24"/>
          <w:szCs w:val="24"/>
          <w:lang w:eastAsia="ru-RU"/>
        </w:rPr>
        <w:t xml:space="preserve">12,6 </w:t>
      </w:r>
      <w:r>
        <w:rPr>
          <w:rFonts w:ascii="PT Astra Serif" w:hAnsi="PT Astra Serif" w:eastAsia="Times New Roman"/>
          <w:sz w:val="24"/>
          <w:szCs w:val="24"/>
          <w:lang w:eastAsia="ru-RU"/>
        </w:rPr>
        <w:t xml:space="preserve">млрд</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рублей (в 2022 –</w:t>
      </w:r>
      <w:r>
        <w:rPr>
          <w:rFonts w:ascii="PT Astra Serif" w:hAnsi="PT Astra Serif" w:eastAsia="Times New Roman"/>
          <w:sz w:val="24"/>
          <w:szCs w:val="24"/>
          <w:lang w:eastAsia="ru-RU"/>
        </w:rPr>
        <w:t xml:space="preserve">10,6</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млрд</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рублей).</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1. Строительство значимых для социально-экономического развития Томской области объектов дорожной инфраструктуры: Малое транспортное кольцо г. Томска,</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2. Реконструкция автомобильной дороги Могильный Мыс – Парабель - Каргасок в Колпашевском районе.</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3. Разработка ПСД на строительство третьего моста через р. Томь в г. Томске.</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4. </w:t>
      </w:r>
      <w:r>
        <w:rPr>
          <w:rFonts w:ascii="PT Astra Serif" w:hAnsi="PT Astra Serif" w:eastAsia="Times New Roman"/>
          <w:sz w:val="24"/>
          <w:szCs w:val="24"/>
          <w:lang w:eastAsia="ru-RU"/>
        </w:rPr>
        <w:t xml:space="preserve">Включение проекта строительства Северной широтной дороги «Пермь – Серов – Ханты-Мансийск – Сургут – Нижневартовск – Томск» в Транспортную стратегию России и государственную программу «Развитие транспортной системы Российской Федерации» </w:t>
      </w:r>
      <w:r>
        <w:rPr>
          <w:rFonts w:ascii="PT Astra Serif" w:hAnsi="PT Astra Serif" w:eastAsia="Times New Roman"/>
          <w:sz w:val="24"/>
          <w:szCs w:val="24"/>
          <w:lang w:eastAsia="ru-RU"/>
        </w:rPr>
        <w:t xml:space="preserve">на условиях софинансирования </w:t>
      </w:r>
      <w:r>
        <w:rPr>
          <w:rFonts w:ascii="PT Astra Serif" w:hAnsi="PT Astra Serif" w:eastAsia="Times New Roman"/>
          <w:sz w:val="24"/>
          <w:szCs w:val="24"/>
          <w:lang w:eastAsia="ru-RU"/>
        </w:rPr>
        <w:t xml:space="preserve">из </w:t>
      </w:r>
      <w:r>
        <w:rPr>
          <w:rFonts w:ascii="PT Astra Serif" w:hAnsi="PT Astra Serif" w:eastAsia="Times New Roman"/>
          <w:sz w:val="24"/>
          <w:szCs w:val="24"/>
          <w:lang w:eastAsia="ru-RU"/>
        </w:rPr>
        <w:t xml:space="preserve">средств федерального бюджета</w:t>
      </w:r>
      <w:r>
        <w:rPr>
          <w:rFonts w:ascii="PT Astra Serif" w:hAnsi="PT Astra Serif" w:eastAsia="Times New Roman"/>
          <w:sz w:val="24"/>
          <w:szCs w:val="24"/>
          <w:lang w:eastAsia="ru-RU"/>
        </w:rPr>
        <w:t xml:space="preserve">.</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shd w:val="clear" w:color="auto" w:fill="eaf1dd" w:themeFill="accent3" w:themeFillTint="33"/>
        <w:rPr>
          <w:rFonts w:ascii="PT Astra Serif" w:hAnsi="PT Astra Serif"/>
          <w:b/>
          <w:bCs/>
          <w:sz w:val="24"/>
          <w:szCs w:val="24"/>
        </w:rPr>
      </w:pPr>
      <w:r>
        <w:rPr>
          <w:rFonts w:ascii="PT Astra Serif" w:hAnsi="PT Astra Serif"/>
          <w:b/>
          <w:bCs/>
          <w:sz w:val="24"/>
          <w:szCs w:val="24"/>
        </w:rPr>
        <w:t xml:space="preserve">Магистральная инфраструктура и пассажирские перевозки</w:t>
      </w:r>
      <w:r>
        <w:rPr>
          <w:rFonts w:ascii="PT Astra Serif" w:hAnsi="PT Astra Serif"/>
          <w:b/>
          <w:bCs/>
          <w:sz w:val="24"/>
          <w:szCs w:val="24"/>
        </w:rPr>
      </w:r>
      <w:r>
        <w:rPr>
          <w:rFonts w:ascii="PT Astra Serif" w:hAnsi="PT Astra Serif"/>
          <w:b/>
          <w:bCs/>
          <w:sz w:val="24"/>
          <w:szCs w:val="24"/>
        </w:rPr>
      </w:r>
    </w:p>
    <w:p>
      <w:pPr>
        <w:ind w:right="-15" w:firstLine="567"/>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2023 году выполнена научно-исследовательская работа по разработке документов транспортного планирования Томской области (Программы комплексного развития транспортной инфраструктуры Томской области и Комплексной схемы организации транспортного обслуж</w:t>
      </w:r>
      <w:r>
        <w:rPr>
          <w:rFonts w:ascii="PT Astra Serif" w:hAnsi="PT Astra Serif" w:eastAsia="Times New Roman" w:cs="Arial"/>
          <w:sz w:val="24"/>
          <w:szCs w:val="24"/>
          <w:lang w:eastAsia="ru-RU"/>
        </w:rPr>
        <w:t xml:space="preserve">ивания населения общественным транспортом Томской области), которая содержит информацию о текущем состоянии транспортной инфраструктуры и транспортной системы Томской области, сценарии развития пассажирского транспорта общего пользования в Томской области </w:t>
      </w:r>
      <w:r>
        <w:rPr>
          <w:rFonts w:ascii="PT Astra Serif" w:hAnsi="PT Astra Serif" w:eastAsia="Times New Roman" w:cs="Arial"/>
          <w:sz w:val="24"/>
          <w:szCs w:val="24"/>
          <w:lang w:eastAsia="ru-RU"/>
        </w:rPr>
        <w:t xml:space="preserve">на период до 2030 года с </w:t>
      </w:r>
      <w:r>
        <w:rPr>
          <w:rFonts w:ascii="PT Astra Serif" w:hAnsi="PT Astra Serif" w:eastAsia="Times New Roman" w:cs="Arial"/>
          <w:sz w:val="24"/>
          <w:szCs w:val="24"/>
          <w:lang w:eastAsia="ru-RU"/>
        </w:rPr>
        <w:t xml:space="preserve">горизонтом планирования до 2035</w:t>
      </w:r>
      <w:r>
        <w:rPr>
          <w:rFonts w:ascii="PT Astra Serif" w:hAnsi="PT Astra Serif" w:eastAsia="Times New Roman" w:cs="Arial"/>
          <w:sz w:val="24"/>
          <w:szCs w:val="24"/>
          <w:lang w:eastAsia="ru-RU"/>
        </w:rPr>
        <w:t xml:space="preserve">. В настоящее время проекты документов транспортного планирования проходят процедуру согласования и последующего утверждения.</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567"/>
        <w:jc w:val="both"/>
        <w:spacing w:after="0" w:line="240" w:lineRule="auto"/>
        <w:rPr>
          <w:rFonts w:ascii="PT Astra Serif" w:hAnsi="PT Astra Serif" w:eastAsia="Times New Roman"/>
          <w:sz w:val="24"/>
          <w:szCs w:val="24"/>
          <w:lang w:eastAsia="ar-SA"/>
        </w:rPr>
      </w:pPr>
      <w:r>
        <w:rPr>
          <w:rFonts w:ascii="PT Astra Serif" w:hAnsi="PT Astra Serif" w:eastAsia="Times New Roman"/>
          <w:sz w:val="24"/>
          <w:szCs w:val="24"/>
          <w:lang w:eastAsia="ar-SA"/>
        </w:rPr>
        <w:t xml:space="preserve">В рамках Комплексного плана модернизации и расширения магистральной инфраструкт</w:t>
      </w:r>
      <w:r>
        <w:rPr>
          <w:rFonts w:ascii="PT Astra Serif" w:hAnsi="PT Astra Serif" w:eastAsia="Times New Roman"/>
          <w:sz w:val="24"/>
          <w:szCs w:val="24"/>
          <w:lang w:eastAsia="ar-SA"/>
        </w:rPr>
        <w:t xml:space="preserve">уры Российской Федерации до 2024 года и государственной программы «Развитие транспортной системы» в Томской области осуществлялась реализация проекта Реконструкция аэропортового комплекса «Богашево» (г. Томск) с целью увеличения пропускной способности терм</w:t>
      </w:r>
      <w:r>
        <w:rPr>
          <w:rFonts w:ascii="PT Astra Serif" w:hAnsi="PT Astra Serif" w:eastAsia="Times New Roman"/>
          <w:sz w:val="24"/>
          <w:szCs w:val="24"/>
          <w:lang w:eastAsia="ar-SA"/>
        </w:rPr>
        <w:t xml:space="preserve">инала аэропорта до 1 млн</w:t>
      </w:r>
      <w:r>
        <w:rPr>
          <w:rFonts w:ascii="PT Astra Serif" w:hAnsi="PT Astra Serif" w:eastAsia="Times New Roman"/>
          <w:sz w:val="24"/>
          <w:szCs w:val="24"/>
          <w:lang w:eastAsia="ar-SA"/>
        </w:rPr>
        <w:t xml:space="preserve"> пассажиров в год, обеспечения</w:t>
      </w:r>
      <w:r>
        <w:rPr>
          <w:rFonts w:ascii="PT Astra Serif" w:hAnsi="PT Astra Serif" w:eastAsia="Times New Roman"/>
          <w:sz w:val="24"/>
          <w:szCs w:val="24"/>
          <w:lang w:eastAsia="ar-SA"/>
        </w:rPr>
        <w:t xml:space="preserve"> соответствия искусственной взле</w:t>
      </w:r>
      <w:r>
        <w:rPr>
          <w:rFonts w:ascii="PT Astra Serif" w:hAnsi="PT Astra Serif" w:eastAsia="Times New Roman"/>
          <w:sz w:val="24"/>
          <w:szCs w:val="24"/>
          <w:lang w:eastAsia="ar-SA"/>
        </w:rPr>
        <w:t xml:space="preserve">тно-посадочной полосы (ИВПП) и других объектов аэродромной инфраструктуры требованиям в области безопасности полетов. Государственным заказчиком выступает федеральное казенное учреждение «Ространсмодернизация».</w:t>
      </w:r>
      <w:r>
        <w:rPr>
          <w:rFonts w:ascii="PT Astra Serif" w:hAnsi="PT Astra Serif" w:eastAsia="Times New Roman"/>
          <w:sz w:val="24"/>
          <w:szCs w:val="24"/>
          <w:lang w:eastAsia="ar-SA"/>
        </w:rPr>
      </w:r>
      <w:r>
        <w:rPr>
          <w:rFonts w:ascii="PT Astra Serif" w:hAnsi="PT Astra Serif" w:eastAsia="Times New Roman"/>
          <w:sz w:val="24"/>
          <w:szCs w:val="24"/>
          <w:lang w:eastAsia="ar-SA"/>
        </w:rPr>
      </w:r>
    </w:p>
    <w:p>
      <w:pPr>
        <w:ind w:firstLine="567"/>
        <w:jc w:val="both"/>
        <w:spacing w:after="0" w:line="240" w:lineRule="auto"/>
        <w:rPr>
          <w:rFonts w:ascii="PT Astra Serif" w:hAnsi="PT Astra Serif" w:eastAsia="Times New Roman"/>
          <w:sz w:val="24"/>
          <w:szCs w:val="24"/>
          <w:lang w:eastAsia="ar-SA"/>
        </w:rPr>
      </w:pPr>
      <w:r>
        <w:rPr>
          <w:rFonts w:ascii="PT Astra Serif" w:hAnsi="PT Astra Serif" w:eastAsia="Times New Roman"/>
          <w:sz w:val="24"/>
          <w:szCs w:val="24"/>
          <w:lang w:eastAsia="ar-SA"/>
        </w:rPr>
        <w:t xml:space="preserve">На 01.01.2024 все работы по проекту выполнены. Получение разрешения на ввод объекта в эксплуатацию ожидается в июле 2024 года. </w:t>
      </w:r>
      <w:r>
        <w:rPr>
          <w:rFonts w:ascii="PT Astra Serif" w:hAnsi="PT Astra Serif" w:eastAsia="Times New Roman"/>
          <w:sz w:val="24"/>
          <w:szCs w:val="24"/>
          <w:lang w:eastAsia="ar-SA"/>
        </w:rPr>
      </w:r>
      <w:r>
        <w:rPr>
          <w:rFonts w:ascii="PT Astra Serif" w:hAnsi="PT Astra Serif" w:eastAsia="Times New Roman"/>
          <w:sz w:val="24"/>
          <w:szCs w:val="24"/>
          <w:lang w:eastAsia="ar-SA"/>
        </w:rPr>
      </w:r>
    </w:p>
    <w:p>
      <w:pPr>
        <w:ind w:firstLine="567"/>
        <w:jc w:val="both"/>
        <w:spacing w:after="0" w:line="240" w:lineRule="auto"/>
        <w:rPr>
          <w:rFonts w:ascii="PT Astra Serif" w:hAnsi="PT Astra Serif" w:eastAsia="Times New Roman"/>
          <w:sz w:val="24"/>
          <w:szCs w:val="24"/>
          <w:lang w:eastAsia="ar-SA"/>
        </w:rPr>
      </w:pPr>
      <w:r>
        <w:rPr>
          <w:rFonts w:ascii="PT Astra Serif" w:hAnsi="PT Astra Serif" w:eastAsia="Times New Roman"/>
          <w:sz w:val="24"/>
          <w:szCs w:val="24"/>
          <w:lang w:eastAsia="ar-SA"/>
        </w:rPr>
        <w:t xml:space="preserve">За счет средств частного инвестора (холдинга Новапорт) продолжена реализация проекта по строительству здания аэровокзального комплек</w:t>
      </w:r>
      <w:r>
        <w:rPr>
          <w:rFonts w:ascii="PT Astra Serif" w:hAnsi="PT Astra Serif" w:eastAsia="Times New Roman"/>
          <w:sz w:val="24"/>
          <w:szCs w:val="24"/>
          <w:lang w:eastAsia="ar-SA"/>
        </w:rPr>
        <w:t xml:space="preserve">са внутренних воздушных линий на 400 пассажиров в час и аванперрона, количество стоек регистрации пассажиров планируется увеличить с 10 до 14 ед. Площадь аэровокзального комплекса составит 6787,2 кв. м. Завершить реализацию проекта планируется в 2024 году.</w:t>
      </w:r>
      <w:r>
        <w:rPr>
          <w:rFonts w:ascii="PT Astra Serif" w:hAnsi="PT Astra Serif" w:eastAsia="Times New Roman"/>
          <w:sz w:val="24"/>
          <w:szCs w:val="24"/>
          <w:lang w:eastAsia="ar-SA"/>
        </w:rPr>
      </w:r>
      <w:r>
        <w:rPr>
          <w:rFonts w:ascii="PT Astra Serif" w:hAnsi="PT Astra Serif" w:eastAsia="Times New Roman"/>
          <w:sz w:val="24"/>
          <w:szCs w:val="24"/>
          <w:lang w:eastAsia="ar-SA"/>
        </w:rPr>
      </w:r>
    </w:p>
    <w:p>
      <w:pPr>
        <w:ind w:firstLine="567"/>
        <w:jc w:val="both"/>
        <w:spacing w:after="0" w:line="240" w:lineRule="auto"/>
        <w:rPr>
          <w:rFonts w:ascii="PT Astra Serif" w:hAnsi="PT Astra Serif" w:eastAsia="Times New Roman"/>
          <w:sz w:val="24"/>
          <w:szCs w:val="24"/>
          <w:lang w:eastAsia="ar-SA"/>
        </w:rPr>
      </w:pPr>
      <w:r>
        <w:rPr>
          <w:rFonts w:ascii="PT Astra Serif" w:hAnsi="PT Astra Serif" w:eastAsia="Times New Roman"/>
          <w:sz w:val="24"/>
          <w:szCs w:val="24"/>
          <w:lang w:eastAsia="ar-SA"/>
        </w:rPr>
        <w:t xml:space="preserve">Развитие маршрутной сети воздушных перевозок является одним из приоритетов. Расширение межрегиональных направлений из аэропорта Томск позволяет жителям области осуществлять перелеты по России, минуя Москву, существенно </w:t>
      </w:r>
      <w:r>
        <w:rPr>
          <w:rFonts w:ascii="PT Astra Serif" w:hAnsi="PT Astra Serif" w:eastAsia="Times New Roman"/>
          <w:sz w:val="24"/>
          <w:szCs w:val="24"/>
          <w:lang w:eastAsia="ar-SA"/>
        </w:rPr>
        <w:t xml:space="preserve">сокращая временные и денежные затраты</w:t>
      </w:r>
      <w:r>
        <w:rPr>
          <w:rFonts w:ascii="PT Astra Serif" w:hAnsi="PT Astra Serif" w:eastAsia="Times New Roman"/>
          <w:sz w:val="24"/>
          <w:szCs w:val="24"/>
          <w:lang w:eastAsia="ar-SA"/>
        </w:rPr>
        <w:t xml:space="preserve">.</w:t>
      </w:r>
      <w:r>
        <w:rPr>
          <w:rFonts w:ascii="PT Astra Serif" w:hAnsi="PT Astra Serif" w:eastAsia="Times New Roman"/>
          <w:sz w:val="24"/>
          <w:szCs w:val="24"/>
          <w:lang w:eastAsia="ar-SA"/>
        </w:rPr>
      </w:r>
      <w:r>
        <w:rPr>
          <w:rFonts w:ascii="PT Astra Serif" w:hAnsi="PT Astra Serif" w:eastAsia="Times New Roman"/>
          <w:sz w:val="24"/>
          <w:szCs w:val="24"/>
          <w:lang w:eastAsia="ar-SA"/>
        </w:rPr>
      </w:r>
    </w:p>
    <w:p>
      <w:pPr>
        <w:ind w:firstLine="567"/>
        <w:jc w:val="both"/>
        <w:spacing w:after="0" w:line="240" w:lineRule="auto"/>
        <w:rPr>
          <w:rFonts w:ascii="PT Astra Serif" w:hAnsi="PT Astra Serif" w:eastAsia="Times New Roman"/>
          <w:sz w:val="24"/>
          <w:szCs w:val="24"/>
          <w:lang w:eastAsia="ar-SA"/>
        </w:rPr>
      </w:pPr>
      <w:r>
        <w:rPr>
          <w:rFonts w:ascii="PT Astra Serif" w:hAnsi="PT Astra Serif" w:eastAsia="Times New Roman"/>
          <w:sz w:val="24"/>
          <w:szCs w:val="24"/>
          <w:lang w:eastAsia="ru-RU"/>
        </w:rPr>
        <w:t xml:space="preserve">В 2023 году пассажиропоток аэропорта Томск вырос по сравнению с 2022 годом на 11% и составил 599 тысяч человек, что во многом связано с проводимой работой по формированию оптимальной маршрутной сети </w:t>
      </w:r>
      <w:r>
        <w:rPr>
          <w:rFonts w:ascii="PT Astra Serif" w:hAnsi="PT Astra Serif" w:eastAsia="Times New Roman"/>
          <w:sz w:val="24"/>
          <w:szCs w:val="24"/>
          <w:lang w:eastAsia="ar-SA"/>
        </w:rPr>
        <w:t xml:space="preserve">из аэропорта Томск, построенн</w:t>
      </w:r>
      <w:r>
        <w:rPr>
          <w:rFonts w:ascii="PT Astra Serif" w:hAnsi="PT Astra Serif" w:eastAsia="Times New Roman"/>
          <w:sz w:val="24"/>
          <w:szCs w:val="24"/>
          <w:lang w:eastAsia="ar-SA"/>
        </w:rPr>
        <w:t xml:space="preserve">ой на связях с </w:t>
      </w:r>
      <w:r>
        <w:rPr>
          <w:rFonts w:ascii="PT Astra Serif" w:hAnsi="PT Astra Serif" w:eastAsia="Times New Roman"/>
          <w:sz w:val="24"/>
          <w:szCs w:val="24"/>
          <w:lang w:eastAsia="ar-SA"/>
        </w:rPr>
        <w:t xml:space="preserve">основными узловыми аэропортами (Новосибирск, Красноярск, Екатеринбург, Сочи, Казань, Тюмень, Санкт-Петербург).</w:t>
      </w:r>
      <w:r>
        <w:rPr>
          <w:rFonts w:ascii="PT Astra Serif" w:hAnsi="PT Astra Serif" w:eastAsia="Times New Roman"/>
          <w:sz w:val="24"/>
          <w:szCs w:val="24"/>
          <w:lang w:eastAsia="ar-SA"/>
        </w:rPr>
      </w:r>
      <w:r>
        <w:rPr>
          <w:rFonts w:ascii="PT Astra Serif" w:hAnsi="PT Astra Serif" w:eastAsia="Times New Roman"/>
          <w:sz w:val="24"/>
          <w:szCs w:val="24"/>
          <w:lang w:eastAsia="ar-SA"/>
        </w:rPr>
      </w:r>
    </w:p>
    <w:p>
      <w:pPr>
        <w:ind w:firstLine="567"/>
        <w:jc w:val="both"/>
        <w:spacing w:after="0" w:line="240" w:lineRule="auto"/>
        <w:rPr>
          <w:rFonts w:ascii="PT Astra Serif" w:hAnsi="PT Astra Serif" w:eastAsia="Times New Roman"/>
          <w:sz w:val="24"/>
          <w:szCs w:val="24"/>
        </w:rPr>
      </w:pPr>
      <w:r>
        <w:rPr>
          <w:rFonts w:ascii="PT Astra Serif" w:hAnsi="PT Astra Serif" w:eastAsia="Times New Roman"/>
          <w:sz w:val="24"/>
          <w:szCs w:val="24"/>
          <w:lang w:eastAsia="ru-RU"/>
        </w:rPr>
        <w:t xml:space="preserve">В 2023 году в аэропорту Томска действовало 16 межрегиональных направлений (Екатеринбург, Игарка, Иркутск, Казань, Красноярск, Москва, Нижневартовск, Нижний Новгород, Новосибирск, Новый Уренгой, Омск, Сочи, Санкт-Петербург, С</w:t>
      </w:r>
      <w:r>
        <w:rPr>
          <w:rFonts w:ascii="PT Astra Serif" w:hAnsi="PT Astra Serif" w:eastAsia="Times New Roman"/>
          <w:sz w:val="24"/>
          <w:szCs w:val="24"/>
          <w:lang w:eastAsia="ru-RU"/>
        </w:rPr>
        <w:t xml:space="preserve">ургут, Тюмень, Улан-Уде), 10 из которых (Екатеринбург, Красноярск, Новосибирск, Тюмень, Нижний Новгород, Улан-Удэ, Казань, Сочи, Иркутск, Омск) субсидировались из федерального и регионального бюджетов (софинансирование со стороны Томской области составило </w:t>
      </w:r>
      <w:r>
        <w:rPr>
          <w:rFonts w:ascii="PT Astra Serif" w:hAnsi="PT Astra Serif" w:eastAsia="Times New Roman"/>
          <w:sz w:val="24"/>
          <w:szCs w:val="24"/>
          <w:lang w:eastAsia="ru-RU"/>
        </w:rPr>
        <w:t xml:space="preserve">97,3 </w:t>
      </w:r>
      <w:r>
        <w:rPr>
          <w:rFonts w:ascii="PT Astra Serif" w:hAnsi="PT Astra Serif" w:eastAsia="Times New Roman"/>
          <w:sz w:val="24"/>
          <w:szCs w:val="24"/>
          <w:lang w:eastAsia="ru-RU"/>
        </w:rPr>
        <w:t xml:space="preserve">млн рублей).</w:t>
      </w:r>
      <w:r>
        <w:rPr>
          <w:rFonts w:ascii="PT Astra Serif" w:hAnsi="PT Astra Serif" w:eastAsia="Times New Roman"/>
          <w:sz w:val="24"/>
          <w:szCs w:val="24"/>
        </w:rPr>
      </w:r>
      <w:r>
        <w:rPr>
          <w:rFonts w:ascii="PT Astra Serif" w:hAnsi="PT Astra Serif" w:eastAsia="Times New Roman"/>
          <w:sz w:val="24"/>
          <w:szCs w:val="24"/>
        </w:rPr>
      </w:r>
    </w:p>
    <w:p>
      <w:pPr>
        <w:ind w:firstLine="567"/>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2023 году возобновлены полеты по международному направлению в Тайланд (остров Пхукет). В 2024 году планируется открытие прям</w:t>
      </w:r>
      <w:r>
        <w:rPr>
          <w:rFonts w:ascii="PT Astra Serif" w:hAnsi="PT Astra Serif" w:eastAsia="Times New Roman"/>
          <w:sz w:val="24"/>
          <w:szCs w:val="24"/>
          <w:lang w:eastAsia="ru-RU"/>
        </w:rPr>
        <w:t xml:space="preserve">ых</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рейсов</w:t>
      </w:r>
      <w:r>
        <w:rPr>
          <w:rFonts w:ascii="PT Astra Serif" w:hAnsi="PT Astra Serif" w:eastAsia="Times New Roman"/>
          <w:sz w:val="24"/>
          <w:szCs w:val="24"/>
          <w:lang w:eastAsia="ru-RU"/>
        </w:rPr>
        <w:t xml:space="preserve"> в Турцию, Египет, Китай.</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567"/>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На 2024 год в перечень субсидируемых маршрутов включены 11 маршрутов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Улан-Удэ»,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Екатеринбург»,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Новосибирск»,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Казань»,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Красноярск»,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Тюмень»,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Нижний Новгород»,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Омск»,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Махачкала»,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Самара» и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Нижневартовск»). В областном бюджете на 2024 год на данные цели предусмотрено</w:t>
      </w:r>
      <w:r>
        <w:rPr>
          <w:rFonts w:ascii="PT Astra Serif" w:hAnsi="PT Astra Serif" w:eastAsia="Times New Roman"/>
          <w:sz w:val="24"/>
          <w:szCs w:val="24"/>
          <w:lang w:eastAsia="ru-RU"/>
        </w:rPr>
        <w:t xml:space="preserve"> 134 млн</w:t>
      </w:r>
      <w:r>
        <w:rPr>
          <w:rFonts w:ascii="PT Astra Serif" w:hAnsi="PT Astra Serif" w:eastAsia="Times New Roman"/>
          <w:sz w:val="24"/>
          <w:szCs w:val="24"/>
          <w:lang w:eastAsia="ru-RU"/>
        </w:rPr>
        <w:t xml:space="preserve"> рублей.</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567"/>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Субсидирование авиаперевозок дае</w:t>
      </w:r>
      <w:r>
        <w:rPr>
          <w:rFonts w:ascii="PT Astra Serif" w:hAnsi="PT Astra Serif" w:eastAsia="Times New Roman"/>
          <w:sz w:val="24"/>
          <w:szCs w:val="24"/>
          <w:lang w:eastAsia="ru-RU"/>
        </w:rPr>
        <w:t xml:space="preserve">т возможность пассажирам всех категорий пользоваться специальными тарифами при пол</w:t>
      </w:r>
      <w:r>
        <w:rPr>
          <w:rFonts w:ascii="PT Astra Serif" w:hAnsi="PT Astra Serif" w:eastAsia="Times New Roman"/>
          <w:sz w:val="24"/>
          <w:szCs w:val="24"/>
          <w:lang w:eastAsia="ru-RU"/>
        </w:rPr>
        <w:t xml:space="preserve">е</w:t>
      </w:r>
      <w:r>
        <w:rPr>
          <w:rFonts w:ascii="PT Astra Serif" w:hAnsi="PT Astra Serif" w:eastAsia="Times New Roman"/>
          <w:sz w:val="24"/>
          <w:szCs w:val="24"/>
          <w:lang w:eastAsia="ru-RU"/>
        </w:rPr>
        <w:t xml:space="preserve">тах по межрегиональным маршрутам.</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567"/>
        <w:jc w:val="both"/>
        <w:spacing w:after="0" w:line="240" w:lineRule="auto"/>
        <w:rPr>
          <w:rFonts w:ascii="PT Astra Serif" w:hAnsi="PT Astra Serif" w:eastAsia="Times New Roman"/>
          <w:strike/>
          <w:sz w:val="24"/>
          <w:szCs w:val="24"/>
          <w:lang w:eastAsia="ru-RU"/>
        </w:rPr>
      </w:pPr>
      <w:r>
        <w:rPr>
          <w:rFonts w:ascii="PT Astra Serif" w:hAnsi="PT Astra Serif" w:eastAsia="Times New Roman"/>
          <w:sz w:val="24"/>
          <w:szCs w:val="24"/>
          <w:lang w:eastAsia="ru-RU"/>
        </w:rPr>
        <w:t xml:space="preserve">Работа по привлечению авиакомпаний </w:t>
      </w:r>
      <w:r>
        <w:rPr>
          <w:rFonts w:ascii="PT Astra Serif" w:hAnsi="PT Astra Serif" w:eastAsia="Times New Roman"/>
          <w:sz w:val="24"/>
          <w:szCs w:val="24"/>
          <w:lang w:eastAsia="ru-RU"/>
        </w:rPr>
        <w:t xml:space="preserve">к</w:t>
      </w:r>
      <w:r>
        <w:rPr>
          <w:rFonts w:ascii="PT Astra Serif" w:hAnsi="PT Astra Serif" w:eastAsia="Times New Roman"/>
          <w:sz w:val="24"/>
          <w:szCs w:val="24"/>
          <w:lang w:eastAsia="ru-RU"/>
        </w:rPr>
        <w:t xml:space="preserve"> открытию новых маршрутов будет продолжаться.</w:t>
      </w:r>
      <w:r>
        <w:rPr>
          <w:rFonts w:ascii="PT Astra Serif" w:hAnsi="PT Astra Serif" w:eastAsia="Times New Roman"/>
          <w:strike/>
          <w:sz w:val="24"/>
          <w:szCs w:val="24"/>
          <w:lang w:eastAsia="ru-RU"/>
        </w:rPr>
      </w:r>
      <w:r>
        <w:rPr>
          <w:rFonts w:ascii="PT Astra Serif" w:hAnsi="PT Astra Serif" w:eastAsia="Times New Roman"/>
          <w:strike/>
          <w:sz w:val="24"/>
          <w:szCs w:val="24"/>
          <w:lang w:eastAsia="ru-RU"/>
        </w:rPr>
      </w:r>
    </w:p>
    <w:p>
      <w:pPr>
        <w:ind w:firstLine="567"/>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Реализуем</w:t>
      </w:r>
      <w:r>
        <w:rPr>
          <w:rFonts w:ascii="PT Astra Serif" w:hAnsi="PT Astra Serif" w:eastAsia="Times New Roman"/>
          <w:sz w:val="24"/>
          <w:szCs w:val="24"/>
          <w:lang w:eastAsia="ru-RU"/>
        </w:rPr>
        <w:t xml:space="preserve">ая в Томской области программа развития местных воздушных перевозок предполагает создание сети местных воздушных линий, включающей перевозку пассажиров из труднодоступных малых населенных пунктов в центр муниципального образования и далее в аэропорт Томск.</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567"/>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На авиарейсе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Стре</w:t>
      </w:r>
      <w:r>
        <w:rPr>
          <w:rFonts w:ascii="PT Astra Serif" w:hAnsi="PT Astra Serif" w:eastAsia="Times New Roman"/>
          <w:sz w:val="24"/>
          <w:szCs w:val="24"/>
          <w:lang w:eastAsia="ru-RU"/>
        </w:rPr>
        <w:t xml:space="preserve">жевой действуют меры поддержки, направленные на обеспечение возможности приобретения билетов по специальному тарифу отдельным категориям граждан (граждане в возрасте до 23 лет включительно, женщины в возрасте свыше 55 лет, мужчины в возрасте свыше 60 лет).</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567"/>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сложившихся экономических условиях с 2022 года по настоящее время по маршрутам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cs="Arial"/>
          <w:sz w:val="24"/>
          <w:szCs w:val="24"/>
          <w:lang w:eastAsia="ru-RU"/>
        </w:rPr>
        <w:t xml:space="preserve">Кедровый»,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cs="Arial"/>
          <w:sz w:val="24"/>
          <w:szCs w:val="24"/>
          <w:lang w:eastAsia="ru-RU"/>
        </w:rPr>
        <w:t xml:space="preserve">Каргасок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cs="Arial"/>
          <w:sz w:val="24"/>
          <w:szCs w:val="24"/>
          <w:lang w:eastAsia="ru-RU"/>
        </w:rPr>
        <w:t xml:space="preserve">Новый Васюган» перевозка пассажиров не осуществлялась. Основным сдерживающим фактором являлось </w:t>
      </w:r>
      <w:r>
        <w:rPr>
          <w:rFonts w:ascii="PT Astra Serif" w:hAnsi="PT Astra Serif" w:eastAsia="PT Astra Serif" w:cs="Arial"/>
          <w:sz w:val="24"/>
          <w:szCs w:val="24"/>
          <w:lang w:eastAsia="ru-RU"/>
        </w:rPr>
        <w:t xml:space="preserve">в</w:t>
      </w:r>
      <w:r>
        <w:rPr>
          <w:rFonts w:ascii="PT Astra Serif" w:hAnsi="PT Astra Serif" w:eastAsia="Times New Roman" w:cs="Arial"/>
          <w:sz w:val="24"/>
          <w:szCs w:val="24"/>
          <w:lang w:eastAsia="ru-RU"/>
        </w:rPr>
        <w:t xml:space="preserve">ведение международных санкций, которые уменьшили возможности авиакомпаний в использовании воздушных судов, что повлияло на количество выполняемых рейсов.</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567"/>
        <w:jc w:val="both"/>
        <w:spacing w:after="0" w:line="240" w:lineRule="auto"/>
        <w:rPr>
          <w:rFonts w:ascii="PT Astra Serif" w:hAnsi="PT Astra Serif" w:eastAsia="Times New Roman" w:cs="Arial"/>
          <w:strike/>
          <w:sz w:val="24"/>
          <w:szCs w:val="24"/>
          <w:lang w:eastAsia="ru-RU"/>
        </w:rPr>
      </w:pPr>
      <w:r>
        <w:rPr>
          <w:rFonts w:ascii="PT Astra Serif" w:hAnsi="PT Astra Serif" w:eastAsia="Times New Roman" w:cs="Arial"/>
          <w:sz w:val="24"/>
          <w:szCs w:val="24"/>
          <w:lang w:eastAsia="ru-RU"/>
        </w:rPr>
        <w:t xml:space="preserve">В текущем году планируется возобновить перевозку пассажиров по внутриобластным маршрутам. Из действующих авиакомпаний ООО «Аэропром» (г. Красноярск) подтвердила готовность с 2024 года начать выполнять полеты по маршруту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cs="Arial"/>
          <w:sz w:val="24"/>
          <w:szCs w:val="24"/>
          <w:lang w:eastAsia="ru-RU"/>
        </w:rPr>
        <w:t xml:space="preserve">Кедровый» и позднее по маршруту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cs="Arial"/>
          <w:sz w:val="24"/>
          <w:szCs w:val="24"/>
          <w:lang w:eastAsia="ru-RU"/>
        </w:rPr>
        <w:t xml:space="preserve">Каргасок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cs="Arial"/>
          <w:sz w:val="24"/>
          <w:szCs w:val="24"/>
          <w:lang w:eastAsia="ru-RU"/>
        </w:rPr>
        <w:t xml:space="preserve">Новый Васюган» на воздушных судах типа ТВС-2МС (АН-2). В 1-м квартале 2024 года заключено соглашение на выполнение пассажирских перевозок по данному маршруту начиная с апреля 2024 года.</w:t>
      </w:r>
      <w:r>
        <w:rPr>
          <w:rFonts w:ascii="PT Astra Serif" w:hAnsi="PT Astra Serif" w:eastAsia="Times New Roman" w:cs="Arial"/>
          <w:strike/>
          <w:sz w:val="24"/>
          <w:szCs w:val="24"/>
          <w:lang w:eastAsia="ru-RU"/>
        </w:rPr>
      </w:r>
      <w:r>
        <w:rPr>
          <w:rFonts w:ascii="PT Astra Serif" w:hAnsi="PT Astra Serif" w:eastAsia="Times New Roman" w:cs="Arial"/>
          <w:strike/>
          <w:sz w:val="24"/>
          <w:szCs w:val="24"/>
          <w:lang w:eastAsia="ru-RU"/>
        </w:rPr>
      </w:r>
    </w:p>
    <w:p>
      <w:pPr>
        <w:ind w:firstLine="567"/>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областном бюджете предусмотрено финансирование в размере 51 млн рублей.</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567"/>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С 2022 года из областного бюджета осуществляется софинансирование организации транспортного обслуживания населения воздушным транспортом в границах муниципальных районов (вертол</w:t>
      </w:r>
      <w:r>
        <w:rPr>
          <w:rFonts w:ascii="PT Astra Serif" w:hAnsi="PT Astra Serif" w:eastAsia="Times New Roman" w:cs="Arial"/>
          <w:sz w:val="24"/>
          <w:szCs w:val="24"/>
          <w:lang w:eastAsia="ru-RU"/>
        </w:rPr>
        <w:t xml:space="preserve">е</w:t>
      </w:r>
      <w:r>
        <w:rPr>
          <w:rFonts w:ascii="PT Astra Serif" w:hAnsi="PT Astra Serif" w:eastAsia="Times New Roman" w:cs="Arial"/>
          <w:sz w:val="24"/>
          <w:szCs w:val="24"/>
          <w:lang w:eastAsia="ru-RU"/>
        </w:rPr>
        <w:t xml:space="preserve">тные пере</w:t>
      </w:r>
      <w:r>
        <w:rPr>
          <w:rFonts w:ascii="PT Astra Serif" w:hAnsi="PT Astra Serif" w:eastAsia="Times New Roman" w:cs="Arial"/>
          <w:sz w:val="24"/>
          <w:szCs w:val="24"/>
          <w:lang w:eastAsia="ru-RU"/>
        </w:rPr>
        <w:t xml:space="preserve">возки) в общем размере 25,5 млн</w:t>
      </w:r>
      <w:r>
        <w:rPr>
          <w:rFonts w:ascii="PT Astra Serif" w:hAnsi="PT Astra Serif" w:eastAsia="Times New Roman" w:cs="Arial"/>
          <w:sz w:val="24"/>
          <w:szCs w:val="24"/>
          <w:lang w:eastAsia="ru-RU"/>
        </w:rPr>
        <w:t xml:space="preserve"> рублей, в том ч</w:t>
      </w:r>
      <w:r>
        <w:rPr>
          <w:rFonts w:ascii="PT Astra Serif" w:hAnsi="PT Astra Serif" w:eastAsia="Times New Roman" w:cs="Arial"/>
          <w:sz w:val="24"/>
          <w:szCs w:val="24"/>
          <w:lang w:eastAsia="ru-RU"/>
        </w:rPr>
        <w:t xml:space="preserve">исле в Александровском (8,2 млн</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рублей), Каргасокском (16,4 млн</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рублей) и Парабельском (0,9 млн</w:t>
      </w:r>
      <w:r>
        <w:rPr>
          <w:rFonts w:ascii="PT Astra Serif" w:hAnsi="PT Astra Serif" w:eastAsia="Times New Roman" w:cs="Arial"/>
          <w:sz w:val="24"/>
          <w:szCs w:val="24"/>
          <w:lang w:eastAsia="ru-RU"/>
        </w:rPr>
        <w:t xml:space="preserve"> рублей) районах.</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contextualSpacing/>
        <w:ind w:firstLine="567"/>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По данным ведомственной статистики</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отправление грузов внутренним водным транспортом по Томской области в 2023 году составило 2733,4 тыс. тонн (в 2022 году – 2 781,5 тыс. тонн). Объем пассажироперевозок в 2023 году составил 31,59 тыс. пассажиров.</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contextualSpacing/>
        <w:ind w:firstLine="567"/>
        <w:jc w:val="both"/>
        <w:spacing w:after="0" w:line="240" w:lineRule="auto"/>
        <w:rPr>
          <w:rFonts w:ascii="PT Astra Serif" w:hAnsi="PT Astra Serif" w:eastAsia="Times New Roman"/>
          <w:strike/>
          <w:sz w:val="24"/>
          <w:szCs w:val="24"/>
          <w:lang w:eastAsia="ru-RU"/>
        </w:rPr>
      </w:pPr>
      <w:r>
        <w:rPr>
          <w:rFonts w:ascii="PT Astra Serif" w:hAnsi="PT Astra Serif" w:eastAsia="Times New Roman"/>
          <w:sz w:val="24"/>
          <w:szCs w:val="24"/>
          <w:lang w:eastAsia="ru-RU"/>
        </w:rPr>
        <w:t xml:space="preserve">В целях поддержки пассажирских перевозок на внутреннем водном транспорте в Томской области в</w:t>
      </w:r>
      <w:r>
        <w:rPr>
          <w:rFonts w:ascii="PT Astra Serif" w:hAnsi="PT Astra Serif" w:eastAsia="Times New Roman" w:cs="Arial"/>
          <w:sz w:val="24"/>
          <w:szCs w:val="24"/>
          <w:lang w:eastAsia="ru-RU"/>
        </w:rPr>
        <w:t xml:space="preserve"> 2023 году на организацию транспортного обслуживания населения внутренним водным транспортом в границах муниципальных районов предоставлены субсидии бюджетам Верхнекетского, Колпашевского, Молчановского, Кривошеинского </w:t>
      </w:r>
      <w:r>
        <w:rPr>
          <w:rFonts w:ascii="PT Astra Serif" w:hAnsi="PT Astra Serif" w:eastAsia="Times New Roman" w:cs="Arial"/>
          <w:sz w:val="24"/>
          <w:szCs w:val="24"/>
          <w:lang w:eastAsia="ru-RU"/>
        </w:rPr>
        <w:t xml:space="preserve">районов </w:t>
      </w:r>
      <w:r>
        <w:rPr>
          <w:rFonts w:ascii="PT Astra Serif" w:hAnsi="PT Astra Serif" w:eastAsia="Times New Roman" w:cs="Arial"/>
          <w:sz w:val="24"/>
          <w:szCs w:val="24"/>
          <w:lang w:eastAsia="ru-RU"/>
        </w:rPr>
        <w:t xml:space="preserve">на общую сумму 15,15 млн рублей.</w:t>
      </w:r>
      <w:r>
        <w:rPr>
          <w:rFonts w:ascii="PT Astra Serif" w:hAnsi="PT Astra Serif" w:eastAsia="Times New Roman"/>
          <w:strike/>
          <w:sz w:val="24"/>
          <w:szCs w:val="24"/>
          <w:lang w:eastAsia="ru-RU"/>
        </w:rPr>
      </w:r>
      <w:r>
        <w:rPr>
          <w:rFonts w:ascii="PT Astra Serif" w:hAnsi="PT Astra Serif" w:eastAsia="Times New Roman"/>
          <w:strike/>
          <w:sz w:val="24"/>
          <w:szCs w:val="24"/>
          <w:lang w:eastAsia="ru-RU"/>
        </w:rPr>
      </w:r>
    </w:p>
    <w:p>
      <w:pPr>
        <w:ind w:firstLine="567"/>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На 2024 год предусмотрены бюджетные ассигнования в размере 15 млн рублей </w:t>
      </w:r>
      <w:r>
        <w:rPr>
          <w:rFonts w:ascii="PT Astra Serif" w:hAnsi="PT Astra Serif" w:eastAsia="PT Astra Serif" w:cs="PT Astra Serif"/>
          <w:sz w:val="24"/>
          <w:szCs w:val="24"/>
          <w:lang w:eastAsia="ru-RU"/>
        </w:rPr>
        <w:t xml:space="preserve">на предоставление субсидии юридическому лицу, осуществляющему перевозки пассажиров водным транспортом по маршруту «Каргасок – Стрежевой»</w:t>
      </w:r>
      <w:r>
        <w:rPr>
          <w:rFonts w:ascii="PT Astra Serif" w:hAnsi="PT Astra Serif" w:eastAsia="PT Astra Serif" w:cs="PT Astra Serif"/>
          <w:sz w:val="24"/>
          <w:szCs w:val="24"/>
          <w:lang w:eastAsia="ru-RU"/>
        </w:rPr>
        <w:t xml:space="preserve">,</w:t>
      </w:r>
      <w:r>
        <w:rPr>
          <w:rFonts w:ascii="PT Astra Serif" w:hAnsi="PT Astra Serif" w:eastAsia="PT Astra Serif" w:cs="PT Astra Serif"/>
          <w:sz w:val="24"/>
          <w:szCs w:val="24"/>
          <w:lang w:eastAsia="ru-RU"/>
        </w:rPr>
        <w:t xml:space="preserve"> для выпо</w:t>
      </w:r>
      <w:r>
        <w:rPr>
          <w:rFonts w:ascii="PT Astra Serif" w:hAnsi="PT Astra Serif" w:eastAsia="PT Astra Serif" w:cs="PT Astra Serif"/>
          <w:sz w:val="24"/>
          <w:szCs w:val="24"/>
          <w:lang w:eastAsia="ru-RU"/>
        </w:rPr>
        <w:t xml:space="preserve">лнения ремонта плавучих пристаней (дебаркадеров) в с. </w:t>
      </w:r>
      <w:r>
        <w:rPr>
          <w:rFonts w:ascii="PT Astra Serif" w:hAnsi="PT Astra Serif" w:eastAsia="PT Astra Serif" w:cs="PT Astra Serif"/>
          <w:sz w:val="24"/>
          <w:szCs w:val="24"/>
          <w:lang w:eastAsia="ru-RU"/>
        </w:rPr>
        <w:t xml:space="preserve">Александровско</w:t>
      </w:r>
      <w:r>
        <w:rPr>
          <w:rFonts w:ascii="PT Astra Serif" w:hAnsi="PT Astra Serif" w:eastAsia="PT Astra Serif" w:cs="PT Astra Serif"/>
          <w:sz w:val="24"/>
          <w:szCs w:val="24"/>
          <w:lang w:eastAsia="ru-RU"/>
        </w:rPr>
        <w:t xml:space="preserve">м</w:t>
      </w:r>
      <w:r>
        <w:rPr>
          <w:rFonts w:ascii="PT Astra Serif" w:hAnsi="PT Astra Serif" w:eastAsia="PT Astra Serif" w:cs="PT Astra Serif"/>
          <w:sz w:val="24"/>
          <w:szCs w:val="24"/>
          <w:lang w:eastAsia="ru-RU"/>
        </w:rPr>
        <w:t xml:space="preserve">, п. Колтогорск, с. Новоникольско</w:t>
      </w:r>
      <w:r>
        <w:rPr>
          <w:rFonts w:ascii="PT Astra Serif" w:hAnsi="PT Astra Serif" w:eastAsia="PT Astra Serif" w:cs="PT Astra Serif"/>
          <w:sz w:val="24"/>
          <w:szCs w:val="24"/>
          <w:lang w:eastAsia="ru-RU"/>
        </w:rPr>
        <w:t xml:space="preserve">м</w:t>
      </w:r>
      <w:r>
        <w:rPr>
          <w:rFonts w:ascii="PT Astra Serif" w:hAnsi="PT Astra Serif" w:eastAsia="PT Astra Serif" w:cs="PT Astra Serif"/>
          <w:sz w:val="24"/>
          <w:szCs w:val="24"/>
          <w:lang w:eastAsia="ru-RU"/>
        </w:rPr>
        <w:t xml:space="preserve">, с. Вертикос</w:t>
      </w:r>
      <w:r>
        <w:rPr>
          <w:rFonts w:ascii="PT Astra Serif" w:hAnsi="PT Astra Serif" w:eastAsia="PT Astra Serif" w:cs="PT Astra Serif"/>
          <w:sz w:val="24"/>
          <w:szCs w:val="24"/>
          <w:lang w:eastAsia="ru-RU"/>
        </w:rPr>
        <w:t xml:space="preserve">е</w:t>
      </w:r>
      <w:r>
        <w:rPr>
          <w:rFonts w:ascii="PT Astra Serif" w:hAnsi="PT Astra Serif" w:eastAsia="PT Astra Serif" w:cs="PT Astra Serif"/>
          <w:sz w:val="24"/>
          <w:szCs w:val="24"/>
          <w:lang w:eastAsia="ru-RU"/>
        </w:rPr>
        <w:t xml:space="preserve">.</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567"/>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shd w:val="clear" w:color="auto" w:fill="ffffff"/>
          <w:lang w:eastAsia="ru-RU"/>
        </w:rPr>
        <w:t xml:space="preserve">По итогам 2023 года пассажиропоток железнодорожным транспортом по Томской области составил 668,4 тыс. человек (в 2022 году </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cs="Arial"/>
          <w:sz w:val="24"/>
          <w:szCs w:val="24"/>
          <w:shd w:val="clear" w:color="auto" w:fill="ffffff"/>
          <w:lang w:eastAsia="ru-RU"/>
        </w:rPr>
        <w:t xml:space="preserve"> 650,3 тыс. человек). Объем грузов, отправленных железнодорожным транспортом, составил 2376,2 тыс. тонн.</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567"/>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рамках взаимодействия с ОАО «РЖД» в 202</w:t>
      </w:r>
      <w:r>
        <w:rPr>
          <w:rFonts w:ascii="PT Astra Serif" w:hAnsi="PT Astra Serif" w:eastAsia="Times New Roman" w:cs="Arial"/>
          <w:sz w:val="24"/>
          <w:szCs w:val="24"/>
          <w:lang w:eastAsia="ru-RU"/>
        </w:rPr>
        <w:t xml:space="preserve">3</w:t>
      </w:r>
      <w:r>
        <w:rPr>
          <w:rFonts w:ascii="PT Astra Serif" w:hAnsi="PT Astra Serif" w:eastAsia="Times New Roman" w:cs="Arial"/>
          <w:sz w:val="24"/>
          <w:szCs w:val="24"/>
          <w:lang w:eastAsia="ru-RU"/>
        </w:rPr>
        <w:t xml:space="preserve"> году удалось сохранить движение всех ранее действующих поездов, за исключением международных направлений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cs="Arial"/>
          <w:sz w:val="24"/>
          <w:szCs w:val="24"/>
          <w:lang w:eastAsia="ru-RU"/>
        </w:rPr>
        <w:t xml:space="preserve">Риддер»,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cs="Arial"/>
          <w:sz w:val="24"/>
          <w:szCs w:val="24"/>
          <w:lang w:eastAsia="ru-RU"/>
        </w:rPr>
        <w:t xml:space="preserve">Караганда».</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right="-15" w:firstLine="567"/>
        <w:jc w:val="both"/>
        <w:spacing w:after="0" w:line="240" w:lineRule="auto"/>
        <w:rPr>
          <w:rFonts w:ascii="PT Astra Serif" w:hAnsi="PT Astra Serif" w:eastAsia="Times New Roman" w:cs="Calibri"/>
          <w:sz w:val="24"/>
          <w:szCs w:val="24"/>
          <w:lang w:eastAsia="ar-SA"/>
        </w:rPr>
      </w:pPr>
      <w:r>
        <w:rPr>
          <w:rFonts w:ascii="PT Astra Serif" w:hAnsi="PT Astra Serif" w:eastAsia="Times New Roman" w:cs="Calibri"/>
          <w:sz w:val="24"/>
          <w:szCs w:val="24"/>
          <w:lang w:eastAsia="ar-SA"/>
        </w:rPr>
        <w:t xml:space="preserve">В настоящее время действуют направления поездов дальнего следования по маршрутам «Томск – Москва» (взамен фирменного поезда «Томич»), «Томск – Анапа», «Томск – Адлер»,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cs="Calibri"/>
          <w:sz w:val="24"/>
          <w:szCs w:val="24"/>
          <w:lang w:eastAsia="ar-SA"/>
        </w:rPr>
        <w:t xml:space="preserve">Бийск»,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cs="Calibri"/>
          <w:sz w:val="24"/>
          <w:szCs w:val="24"/>
          <w:lang w:eastAsia="ar-SA"/>
        </w:rPr>
        <w:t xml:space="preserve">Новосибирск», «Томск – Белый Яр»,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cs="Calibri"/>
          <w:sz w:val="24"/>
          <w:szCs w:val="24"/>
          <w:lang w:eastAsia="ar-SA"/>
        </w:rPr>
        <w:t xml:space="preserve">Владивосток». В пригородном сообщении функционируют маршруты по направлениям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cs="Calibri"/>
          <w:sz w:val="24"/>
          <w:szCs w:val="24"/>
          <w:lang w:eastAsia="ar-SA"/>
        </w:rPr>
        <w:t xml:space="preserve">Тайга», «Томск – Басандайка», «Томск – Асино».</w:t>
      </w:r>
      <w:r>
        <w:rPr>
          <w:rFonts w:ascii="PT Astra Serif" w:hAnsi="PT Astra Serif" w:eastAsia="Times New Roman" w:cs="Calibri"/>
          <w:sz w:val="24"/>
          <w:szCs w:val="24"/>
          <w:lang w:eastAsia="ar-SA"/>
        </w:rPr>
        <w:t xml:space="preserve"> </w:t>
      </w:r>
      <w:r>
        <w:rPr>
          <w:rFonts w:ascii="PT Astra Serif" w:hAnsi="PT Astra Serif" w:eastAsia="Times New Roman" w:cs="Calibri"/>
          <w:sz w:val="24"/>
          <w:szCs w:val="24"/>
          <w:lang w:eastAsia="ar-SA"/>
        </w:rPr>
      </w:r>
      <w:r>
        <w:rPr>
          <w:rFonts w:ascii="PT Astra Serif" w:hAnsi="PT Astra Serif" w:eastAsia="Times New Roman" w:cs="Calibri"/>
          <w:sz w:val="24"/>
          <w:szCs w:val="24"/>
          <w:lang w:eastAsia="ar-SA"/>
        </w:rPr>
      </w:r>
    </w:p>
    <w:p>
      <w:pPr>
        <w:ind w:right="-15" w:firstLine="567"/>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2023 году обеспечен</w:t>
      </w:r>
      <w:r>
        <w:rPr>
          <w:rFonts w:ascii="PT Astra Serif" w:hAnsi="PT Astra Serif" w:eastAsia="Times New Roman" w:cs="Arial"/>
          <w:sz w:val="24"/>
          <w:szCs w:val="24"/>
          <w:lang w:eastAsia="ru-RU"/>
        </w:rPr>
        <w:t xml:space="preserve">а</w:t>
      </w:r>
      <w:r>
        <w:rPr>
          <w:rFonts w:ascii="PT Astra Serif" w:hAnsi="PT Astra Serif" w:eastAsia="Times New Roman" w:cs="Arial"/>
          <w:sz w:val="24"/>
          <w:szCs w:val="24"/>
          <w:lang w:eastAsia="ru-RU"/>
        </w:rPr>
        <w:t xml:space="preserve"> транспортная связ</w:t>
      </w:r>
      <w:r>
        <w:rPr>
          <w:rFonts w:ascii="PT Astra Serif" w:hAnsi="PT Astra Serif" w:eastAsia="Times New Roman" w:cs="Arial"/>
          <w:sz w:val="24"/>
          <w:szCs w:val="24"/>
          <w:lang w:eastAsia="ru-RU"/>
        </w:rPr>
        <w:t xml:space="preserve">ь административных центров муниципальных районов (городских округов) Томской области и более 50 сельских населенных пунктов Томского района с областным центром посредством осуществления перевозок пассажиров по маршрутам регулярных перевозок с регулируемым </w:t>
      </w:r>
      <w:r>
        <w:rPr>
          <w:rFonts w:ascii="PT Astra Serif" w:hAnsi="PT Astra Serif" w:eastAsia="Times New Roman" w:cs="Arial"/>
          <w:sz w:val="24"/>
          <w:szCs w:val="24"/>
          <w:lang w:eastAsia="ru-RU"/>
        </w:rPr>
        <w:t xml:space="preserve">тарифом.</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right="-15" w:firstLine="567"/>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tabs>
          <w:tab w:val="left" w:pos="4962" w:leader="none"/>
        </w:tabs>
        <w:rPr>
          <w:rFonts w:ascii="PT Astra Serif" w:hAnsi="PT Astra Serif" w:eastAsia="Times New Roman" w:cs="Arial"/>
          <w:sz w:val="24"/>
          <w:szCs w:val="24"/>
          <w:shd w:val="clear" w:color="auto" w:fill="ffffff"/>
          <w:lang w:eastAsia="ru-RU"/>
        </w:rPr>
      </w:pPr>
      <w:r>
        <w:rPr>
          <w:rFonts w:ascii="PT Astra Serif" w:hAnsi="PT Astra Serif" w:eastAsia="Times New Roman" w:cs="Arial"/>
          <w:sz w:val="24"/>
          <w:szCs w:val="24"/>
          <w:shd w:val="clear" w:color="auto" w:fill="ffffff"/>
          <w:lang w:eastAsia="ru-RU"/>
        </w:rPr>
        <w:t xml:space="preserve">1. Взаимодействие с ОАО «РЖД» по вопросам развития пассажирского сообщения  дальнего следования, в том числе в международном направлении.</w:t>
      </w:r>
      <w:r>
        <w:rPr>
          <w:rFonts w:ascii="PT Astra Serif" w:hAnsi="PT Astra Serif" w:eastAsia="Times New Roman" w:cs="Arial"/>
          <w:sz w:val="24"/>
          <w:szCs w:val="24"/>
          <w:shd w:val="clear" w:color="auto" w:fill="ffffff"/>
          <w:lang w:eastAsia="ru-RU"/>
        </w:rPr>
      </w:r>
      <w:r>
        <w:rPr>
          <w:rFonts w:ascii="PT Astra Serif" w:hAnsi="PT Astra Serif" w:eastAsia="Times New Roman" w:cs="Arial"/>
          <w:sz w:val="24"/>
          <w:szCs w:val="24"/>
          <w:shd w:val="clear" w:color="auto" w:fill="ffffff"/>
          <w:lang w:eastAsia="ru-RU"/>
        </w:rPr>
      </w:r>
    </w:p>
    <w:p>
      <w:pPr>
        <w:ind w:firstLine="709"/>
        <w:jc w:val="both"/>
        <w:spacing w:after="0" w:line="240" w:lineRule="auto"/>
        <w:tabs>
          <w:tab w:val="left" w:pos="4962" w:leader="none"/>
        </w:tabs>
        <w:rPr>
          <w:rFonts w:ascii="PT Astra Serif" w:hAnsi="PT Astra Serif" w:eastAsia="Times New Roman" w:cs="Arial"/>
          <w:sz w:val="24"/>
          <w:szCs w:val="24"/>
          <w:shd w:val="clear" w:color="auto" w:fill="ffffff"/>
          <w:lang w:eastAsia="ru-RU"/>
        </w:rPr>
      </w:pPr>
      <w:r>
        <w:rPr>
          <w:rFonts w:ascii="PT Astra Serif" w:hAnsi="PT Astra Serif" w:eastAsia="Times New Roman" w:cs="Arial"/>
          <w:sz w:val="24"/>
          <w:szCs w:val="24"/>
          <w:shd w:val="clear" w:color="auto" w:fill="ffffff"/>
          <w:lang w:eastAsia="ru-RU"/>
        </w:rPr>
        <w:t xml:space="preserve">2. Завершение работ по строительств</w:t>
      </w:r>
      <w:r>
        <w:rPr>
          <w:rFonts w:ascii="PT Astra Serif" w:hAnsi="PT Astra Serif" w:eastAsia="Times New Roman" w:cs="Arial"/>
          <w:sz w:val="24"/>
          <w:szCs w:val="24"/>
          <w:shd w:val="clear" w:color="auto" w:fill="ffffff"/>
          <w:lang w:eastAsia="ru-RU"/>
        </w:rPr>
        <w:t xml:space="preserve">у</w:t>
      </w:r>
      <w:r>
        <w:rPr>
          <w:rFonts w:ascii="PT Astra Serif" w:hAnsi="PT Astra Serif" w:eastAsia="Times New Roman" w:cs="Arial"/>
          <w:sz w:val="24"/>
          <w:szCs w:val="24"/>
          <w:shd w:val="clear" w:color="auto" w:fill="ffffff"/>
          <w:lang w:eastAsia="ru-RU"/>
        </w:rPr>
        <w:t xml:space="preserve"> терминала внутренних воздушных линий «Аэропорта Томск».</w:t>
      </w:r>
      <w:r>
        <w:rPr>
          <w:rFonts w:ascii="PT Astra Serif" w:hAnsi="PT Astra Serif" w:eastAsia="Times New Roman" w:cs="Arial"/>
          <w:sz w:val="24"/>
          <w:szCs w:val="24"/>
          <w:shd w:val="clear" w:color="auto" w:fill="ffffff"/>
          <w:lang w:eastAsia="ru-RU"/>
        </w:rPr>
      </w:r>
      <w:r>
        <w:rPr>
          <w:rFonts w:ascii="PT Astra Serif" w:hAnsi="PT Astra Serif" w:eastAsia="Times New Roman" w:cs="Arial"/>
          <w:sz w:val="24"/>
          <w:szCs w:val="24"/>
          <w:shd w:val="clear" w:color="auto" w:fill="ffffff"/>
          <w:lang w:eastAsia="ru-RU"/>
        </w:rPr>
      </w:r>
    </w:p>
    <w:p>
      <w:pPr>
        <w:ind w:firstLine="709"/>
        <w:jc w:val="both"/>
        <w:spacing w:after="0" w:line="240" w:lineRule="auto"/>
        <w:tabs>
          <w:tab w:val="left" w:pos="4962" w:leader="none"/>
        </w:tabs>
        <w:rPr>
          <w:rFonts w:ascii="PT Astra Serif" w:hAnsi="PT Astra Serif" w:eastAsia="Times New Roman" w:cs="Arial"/>
          <w:sz w:val="24"/>
          <w:szCs w:val="24"/>
          <w:shd w:val="clear" w:color="auto" w:fill="ffffff"/>
          <w:lang w:eastAsia="ru-RU"/>
        </w:rPr>
      </w:pPr>
      <w:r>
        <w:rPr>
          <w:rFonts w:ascii="PT Astra Serif" w:hAnsi="PT Astra Serif" w:eastAsia="Times New Roman" w:cs="Arial"/>
          <w:sz w:val="24"/>
          <w:szCs w:val="24"/>
          <w:shd w:val="clear" w:color="auto" w:fill="ffffff"/>
          <w:lang w:eastAsia="ru-RU"/>
        </w:rPr>
        <w:t xml:space="preserve">3. Создание и внедрение интеллектуальной транспортной системы Томской области для обеспечения мониторинга и контроля работы общественного транспорта.</w:t>
      </w:r>
      <w:r>
        <w:rPr>
          <w:rFonts w:ascii="PT Astra Serif" w:hAnsi="PT Astra Serif" w:eastAsia="Times New Roman" w:cs="Arial"/>
          <w:sz w:val="24"/>
          <w:szCs w:val="24"/>
          <w:shd w:val="clear" w:color="auto" w:fill="ffffff"/>
          <w:lang w:eastAsia="ru-RU"/>
        </w:rPr>
      </w:r>
      <w:r>
        <w:rPr>
          <w:rFonts w:ascii="PT Astra Serif" w:hAnsi="PT Astra Serif" w:eastAsia="Times New Roman" w:cs="Arial"/>
          <w:sz w:val="24"/>
          <w:szCs w:val="24"/>
          <w:shd w:val="clear" w:color="auto" w:fill="ffffff"/>
          <w:lang w:eastAsia="ru-RU"/>
        </w:rPr>
      </w:r>
    </w:p>
    <w:p>
      <w:pPr>
        <w:ind w:firstLine="709"/>
        <w:jc w:val="both"/>
        <w:spacing w:after="0" w:line="240" w:lineRule="auto"/>
        <w:tabs>
          <w:tab w:val="left" w:pos="4962" w:leader="none"/>
        </w:tabs>
        <w:rPr>
          <w:rFonts w:ascii="PT Astra Serif" w:hAnsi="PT Astra Serif" w:eastAsia="Times New Roman" w:cs="Arial"/>
          <w:sz w:val="24"/>
          <w:szCs w:val="24"/>
          <w:shd w:val="clear" w:color="auto" w:fill="ffffff"/>
          <w:lang w:eastAsia="ru-RU"/>
        </w:rPr>
      </w:pPr>
      <w:r>
        <w:rPr>
          <w:rFonts w:ascii="PT Astra Serif" w:hAnsi="PT Astra Serif" w:eastAsia="Times New Roman" w:cs="Arial"/>
          <w:sz w:val="24"/>
          <w:szCs w:val="24"/>
          <w:shd w:val="clear" w:color="auto" w:fill="ffffff"/>
          <w:lang w:eastAsia="ru-RU"/>
        </w:rPr>
        <w:t xml:space="preserve">4. Развитие межмуниципальной маршрутной сети внутреннего водного транспорта</w:t>
      </w:r>
      <w:r>
        <w:rPr>
          <w:rFonts w:ascii="PT Astra Serif" w:hAnsi="PT Astra Serif" w:eastAsia="Times New Roman" w:cs="Arial"/>
          <w:sz w:val="24"/>
          <w:szCs w:val="24"/>
          <w:shd w:val="clear" w:color="auto" w:fill="ffffff"/>
          <w:lang w:eastAsia="ru-RU"/>
        </w:rPr>
        <w:t xml:space="preserve">.</w:t>
      </w:r>
      <w:r>
        <w:rPr>
          <w:rFonts w:ascii="PT Astra Serif" w:hAnsi="PT Astra Serif" w:eastAsia="Times New Roman" w:cs="Arial"/>
          <w:sz w:val="24"/>
          <w:szCs w:val="24"/>
          <w:shd w:val="clear" w:color="auto" w:fill="ffffff"/>
          <w:lang w:eastAsia="ru-RU"/>
        </w:rPr>
      </w:r>
      <w:r>
        <w:rPr>
          <w:rFonts w:ascii="PT Astra Serif" w:hAnsi="PT Astra Serif" w:eastAsia="Times New Roman" w:cs="Arial"/>
          <w:sz w:val="24"/>
          <w:szCs w:val="24"/>
          <w:shd w:val="clear" w:color="auto" w:fill="ffffff"/>
          <w:lang w:eastAsia="ru-RU"/>
        </w:rPr>
      </w:r>
    </w:p>
    <w:p>
      <w:pPr>
        <w:ind w:firstLine="709"/>
        <w:jc w:val="both"/>
        <w:spacing w:after="0" w:line="240" w:lineRule="auto"/>
        <w:tabs>
          <w:tab w:val="left" w:pos="4962" w:leader="none"/>
        </w:tabs>
        <w:rPr>
          <w:rFonts w:ascii="PT Astra Serif" w:hAnsi="PT Astra Serif" w:eastAsia="Times New Roman" w:cs="Arial"/>
          <w:sz w:val="24"/>
          <w:szCs w:val="24"/>
          <w:shd w:val="clear" w:color="auto" w:fill="ffffff"/>
          <w:lang w:eastAsia="ru-RU"/>
        </w:rPr>
      </w:pPr>
      <w:r>
        <w:rPr>
          <w:rFonts w:ascii="PT Astra Serif" w:hAnsi="PT Astra Serif" w:eastAsia="Times New Roman" w:cs="Arial"/>
          <w:sz w:val="24"/>
          <w:szCs w:val="24"/>
          <w:shd w:val="clear" w:color="auto" w:fill="ffffff"/>
          <w:lang w:eastAsia="ru-RU"/>
        </w:rPr>
        <w:t xml:space="preserve">5. Обеспечение осуществления регулярных перевозок пассажиров и багажа автомобильным транспортом по межмуниципальным маршрутам.</w:t>
      </w:r>
      <w:r>
        <w:rPr>
          <w:rFonts w:ascii="PT Astra Serif" w:hAnsi="PT Astra Serif" w:eastAsia="Times New Roman" w:cs="Arial"/>
          <w:sz w:val="24"/>
          <w:szCs w:val="24"/>
          <w:shd w:val="clear" w:color="auto" w:fill="ffffff"/>
          <w:lang w:eastAsia="ru-RU"/>
        </w:rPr>
      </w:r>
      <w:r>
        <w:rPr>
          <w:rFonts w:ascii="PT Astra Serif" w:hAnsi="PT Astra Serif" w:eastAsia="Times New Roman" w:cs="Arial"/>
          <w:sz w:val="24"/>
          <w:szCs w:val="24"/>
          <w:shd w:val="clear" w:color="auto" w:fill="ffffff"/>
          <w:lang w:eastAsia="ru-RU"/>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61"/>
        <w:spacing w:line="240" w:lineRule="auto"/>
        <w:shd w:val="clear" w:color="auto" w:fill="eaf1dd" w:themeFill="accent3" w:themeFillTint="33"/>
        <w:rPr>
          <w:rFonts w:ascii="PT Astra Serif" w:hAnsi="PT Astra Serif"/>
          <w:b/>
          <w:bCs/>
        </w:rPr>
      </w:pPr>
      <w:r>
        <w:rPr>
          <w:rFonts w:ascii="PT Astra Serif" w:hAnsi="PT Astra Serif"/>
          <w:b/>
          <w:bCs/>
        </w:rPr>
        <w:t xml:space="preserve">Связь</w:t>
      </w:r>
      <w:r>
        <w:rPr>
          <w:rStyle w:val="1138"/>
          <w:bCs/>
        </w:rPr>
        <w:footnoteReference w:id="13"/>
      </w:r>
      <w:r>
        <w:rPr>
          <w:rFonts w:ascii="PT Astra Serif" w:hAnsi="PT Astra Serif"/>
          <w:b/>
          <w:bCs/>
        </w:rPr>
      </w:r>
      <w:r>
        <w:rPr>
          <w:rFonts w:ascii="PT Astra Serif" w:hAnsi="PT Astra Serif"/>
          <w:b/>
          <w:bCs/>
        </w:rPr>
      </w:r>
    </w:p>
    <w:p>
      <w:pPr>
        <w:ind w:firstLine="567"/>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По итогам 2023 года доля населения Томской области, обеспеченного услугами подвижной радиотелефонной связи, составляет около 99,7%. Услуги сотовой связи не</w:t>
      </w:r>
      <w:r>
        <w:rPr>
          <w:rFonts w:ascii="PT Astra Serif" w:hAnsi="PT Astra Serif" w:eastAsia="Times New Roman"/>
          <w:sz w:val="24"/>
          <w:szCs w:val="24"/>
          <w:lang w:eastAsia="ru-RU"/>
        </w:rPr>
        <w:t xml:space="preserve"> представлены либо качество требует улучшения преимущественно в малочисленных населенных пунктах (численность менее 100 человек) или отдаленных населенных пунктах (п. Катайга Верхнекетского района, с. Бондарка, с. Новый Тевриз Каргасокского района и др.).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567"/>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2023 году за счет сре</w:t>
      </w:r>
      <w:r>
        <w:rPr>
          <w:rFonts w:ascii="PT Astra Serif" w:hAnsi="PT Astra Serif" w:eastAsia="Times New Roman"/>
          <w:sz w:val="24"/>
          <w:szCs w:val="24"/>
          <w:lang w:eastAsia="ru-RU"/>
        </w:rPr>
        <w:t xml:space="preserve">дств областного бюджета (12 млн</w:t>
      </w:r>
      <w:r>
        <w:rPr>
          <w:rFonts w:ascii="PT Astra Serif" w:hAnsi="PT Astra Serif" w:eastAsia="Times New Roman"/>
          <w:sz w:val="24"/>
          <w:szCs w:val="24"/>
          <w:lang w:eastAsia="ru-RU"/>
        </w:rPr>
        <w:t xml:space="preserve"> рублей) доступность сотовой связи и беспроводного доступа к </w:t>
      </w:r>
      <w:r>
        <w:rPr>
          <w:rFonts w:ascii="PT Astra Serif" w:hAnsi="PT Astra Serif" w:eastAsia="Times New Roman"/>
          <w:sz w:val="24"/>
          <w:szCs w:val="24"/>
        </w:rPr>
        <w:t xml:space="preserve">сети Интернет </w:t>
      </w:r>
      <w:r>
        <w:rPr>
          <w:rFonts w:ascii="PT Astra Serif" w:hAnsi="PT Astra Serif" w:eastAsia="Times New Roman"/>
          <w:sz w:val="24"/>
          <w:szCs w:val="24"/>
          <w:lang w:eastAsia="ru-RU"/>
        </w:rPr>
        <w:t xml:space="preserve">обеспечен</w:t>
      </w:r>
      <w:r>
        <w:rPr>
          <w:rFonts w:ascii="PT Astra Serif" w:hAnsi="PT Astra Serif" w:eastAsia="Times New Roman"/>
          <w:sz w:val="24"/>
          <w:szCs w:val="24"/>
          <w:lang w:eastAsia="ru-RU"/>
        </w:rPr>
        <w:t xml:space="preserve">а</w:t>
      </w:r>
      <w:r>
        <w:rPr>
          <w:rFonts w:ascii="PT Astra Serif" w:hAnsi="PT Astra Serif" w:eastAsia="Times New Roman"/>
          <w:sz w:val="24"/>
          <w:szCs w:val="24"/>
          <w:lang w:eastAsia="ru-RU"/>
        </w:rPr>
        <w:t xml:space="preserve"> в 3 населенных пунктах Томской области (с. Хмелевка Кожевниковский район, с. Нельмач Парабельский район, с. Новый Васюган Каргасокский район).</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567"/>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При предоставлении доступа к услугам сотовой связи у жителей также появляется возможность пользоваться услугами беспроводного доступа к сети Интернет.</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567"/>
        <w:jc w:val="both"/>
        <w:spacing w:after="0" w:line="240" w:lineRule="auto"/>
        <w:rPr>
          <w:rFonts w:ascii="PT Astra Serif" w:hAnsi="PT Astra Serif" w:eastAsia="Times New Roman"/>
          <w:strike/>
          <w:sz w:val="24"/>
          <w:szCs w:val="24"/>
          <w:lang w:eastAsia="ru-RU"/>
        </w:rPr>
      </w:pPr>
      <w:r>
        <w:rPr>
          <w:rFonts w:ascii="PT Astra Serif" w:hAnsi="PT Astra Serif" w:eastAsia="Times New Roman"/>
          <w:sz w:val="24"/>
          <w:szCs w:val="24"/>
          <w:lang w:eastAsia="ru-RU"/>
        </w:rPr>
        <w:t xml:space="preserve">На конец 2023 года доля домохозяйств, которым обеспечен широкополосный доступ к сети Интернет, составляет около 95%.</w:t>
      </w:r>
      <w:r>
        <w:rPr>
          <w:rFonts w:ascii="PT Astra Serif" w:hAnsi="PT Astra Serif" w:eastAsia="Times New Roman"/>
          <w:strike/>
          <w:sz w:val="24"/>
          <w:szCs w:val="24"/>
          <w:lang w:eastAsia="ru-RU"/>
        </w:rPr>
        <w:t xml:space="preserve"> </w:t>
      </w:r>
      <w:r>
        <w:rPr>
          <w:rFonts w:ascii="PT Astra Serif" w:hAnsi="PT Astra Serif" w:eastAsia="Times New Roman"/>
          <w:strike/>
          <w:sz w:val="24"/>
          <w:szCs w:val="24"/>
          <w:lang w:eastAsia="ru-RU"/>
        </w:rPr>
      </w:r>
      <w:r>
        <w:rPr>
          <w:rFonts w:ascii="PT Astra Serif" w:hAnsi="PT Astra Serif" w:eastAsia="Times New Roman"/>
          <w:strike/>
          <w:sz w:val="24"/>
          <w:szCs w:val="24"/>
          <w:lang w:eastAsia="ru-RU"/>
        </w:rPr>
      </w:r>
    </w:p>
    <w:p>
      <w:pPr>
        <w:ind w:firstLine="567"/>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Деятельность операторов широкополосного доступа к сети Интернет сконцентрирована в горо</w:t>
      </w:r>
      <w:r>
        <w:rPr>
          <w:rFonts w:ascii="PT Astra Serif" w:hAnsi="PT Astra Serif" w:eastAsia="Times New Roman"/>
          <w:sz w:val="24"/>
          <w:szCs w:val="24"/>
          <w:lang w:eastAsia="ru-RU"/>
        </w:rPr>
        <w:t xml:space="preserve">дах, районных центрах и других крупных населенных пунктах Томской области. Услуги широкополосного проводного/беспроводного доступа к сети Интернет не представлены в основном в населенных пунктах Томской области с численностью населения 500 и менее человек.</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567"/>
        <w:jc w:val="both"/>
        <w:spacing w:after="0" w:line="240" w:lineRule="auto"/>
        <w:tabs>
          <w:tab w:val="left" w:pos="6096" w:leader="none"/>
        </w:tabs>
        <w:rPr>
          <w:rFonts w:ascii="PT Astra Serif" w:hAnsi="PT Astra Serif" w:eastAsia="Times New Roman"/>
          <w:strike/>
          <w:sz w:val="24"/>
          <w:szCs w:val="24"/>
          <w:lang w:eastAsia="ru-RU"/>
        </w:rPr>
      </w:pPr>
      <w:r>
        <w:rPr>
          <w:rFonts w:ascii="PT Astra Serif" w:hAnsi="PT Astra Serif" w:eastAsia="Times New Roman"/>
          <w:sz w:val="24"/>
          <w:szCs w:val="24"/>
          <w:lang w:eastAsia="ru-RU"/>
        </w:rPr>
        <w:t xml:space="preserve">В рамках реализации второго этапа федерального проекта «Ус</w:t>
      </w:r>
      <w:r>
        <w:rPr>
          <w:rFonts w:ascii="PT Astra Serif" w:hAnsi="PT Astra Serif" w:eastAsia="Times New Roman"/>
          <w:sz w:val="24"/>
          <w:szCs w:val="24"/>
          <w:lang w:eastAsia="ru-RU"/>
        </w:rPr>
        <w:t xml:space="preserve">транение цифрового неравенства»</w:t>
      </w:r>
      <w:r>
        <w:rPr>
          <w:rFonts w:ascii="PT Astra Serif" w:hAnsi="PT Astra Serif" w:eastAsia="Times New Roman"/>
          <w:sz w:val="24"/>
          <w:szCs w:val="24"/>
          <w:lang w:eastAsia="ru-RU"/>
        </w:rPr>
        <w:t xml:space="preserve"> ежегодно Минцифры России определяет (</w:t>
      </w:r>
      <w:r>
        <w:rPr>
          <w:rFonts w:ascii="PT Astra Serif" w:hAnsi="PT Astra Serif" w:eastAsia="Times New Roman" w:cs="PT Astra Serif"/>
          <w:sz w:val="24"/>
          <w:szCs w:val="24"/>
          <w:lang w:eastAsia="ru-RU"/>
        </w:rPr>
        <w:t xml:space="preserve">по итогам голосования </w:t>
      </w:r>
      <w:r>
        <w:rPr>
          <w:rFonts w:ascii="PT Astra Serif" w:hAnsi="PT Astra Serif" w:eastAsia="Times New Roman"/>
          <w:sz w:val="24"/>
          <w:szCs w:val="24"/>
          <w:lang w:eastAsia="ru-RU"/>
        </w:rPr>
        <w:t xml:space="preserve">на сайте Госуслуги и посредством почтовых отправлений) перечень населенных пунктов </w:t>
      </w:r>
      <w:r>
        <w:rPr>
          <w:rFonts w:ascii="PT Astra Serif" w:hAnsi="PT Astra Serif" w:eastAsia="Times New Roman" w:cs="PT Astra Serif"/>
          <w:sz w:val="24"/>
          <w:szCs w:val="24"/>
          <w:lang w:eastAsia="ru-RU"/>
        </w:rPr>
        <w:t xml:space="preserve">с населением от 100 до 500 человек и очередность развития в них телекоммуникационных услуг</w:t>
      </w:r>
      <w:r>
        <w:rPr>
          <w:rFonts w:ascii="PT Astra Serif" w:hAnsi="PT Astra Serif" w:eastAsia="Times New Roman"/>
          <w:sz w:val="24"/>
          <w:szCs w:val="24"/>
          <w:lang w:eastAsia="ru-RU"/>
        </w:rPr>
        <w:t xml:space="preserve">.</w:t>
      </w:r>
      <w:r>
        <w:rPr>
          <w:rFonts w:ascii="PT Astra Serif" w:hAnsi="PT Astra Serif" w:eastAsia="Times New Roman"/>
          <w:strike/>
          <w:sz w:val="24"/>
          <w:szCs w:val="24"/>
          <w:lang w:eastAsia="ru-RU"/>
        </w:rPr>
      </w:r>
      <w:r>
        <w:rPr>
          <w:rFonts w:ascii="PT Astra Serif" w:hAnsi="PT Astra Serif" w:eastAsia="Times New Roman"/>
          <w:strike/>
          <w:sz w:val="24"/>
          <w:szCs w:val="24"/>
          <w:lang w:eastAsia="ru-RU"/>
        </w:rPr>
      </w:r>
    </w:p>
    <w:p>
      <w:pPr>
        <w:ind w:firstLine="567"/>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2023 году услуги беспроводного доступа к сети Интернет обеспечены в 21 населенном пункте </w:t>
      </w:r>
      <w:r>
        <w:rPr>
          <w:rFonts w:ascii="PT Astra Serif" w:hAnsi="PT Astra Serif" w:eastAsia="Calibri"/>
          <w:sz w:val="24"/>
          <w:szCs w:val="24"/>
        </w:rPr>
        <w:t xml:space="preserve">в 9 муниципальных районах Томской области</w:t>
      </w:r>
      <w:r>
        <w:rPr>
          <w:rFonts w:ascii="PT Astra Serif" w:hAnsi="PT Astra Serif" w:eastAsia="Times New Roman"/>
          <w:sz w:val="24"/>
          <w:szCs w:val="24"/>
          <w:lang w:eastAsia="ru-RU"/>
        </w:rPr>
        <w:t xml:space="preserve"> (Гарь, Первопашенск Асиновского района; Туе</w:t>
      </w:r>
      <w:r>
        <w:rPr>
          <w:rFonts w:ascii="PT Astra Serif" w:hAnsi="PT Astra Serif" w:eastAsia="Times New Roman"/>
          <w:sz w:val="24"/>
          <w:szCs w:val="24"/>
          <w:lang w:eastAsia="ru-RU"/>
        </w:rPr>
        <w:t xml:space="preserve">ндат, Громышевка Зырянского района; Назино, Новоникольское Александровского района; Усть-Тым, Напас, Молодежный, Неготка Каргасокского района; Старица Парабельского района; Аркашево, Головина Томского района; Елгай, Аптала Кожевниковского района; Белосток,</w:t>
      </w:r>
      <w:r>
        <w:rPr>
          <w:rFonts w:ascii="PT Astra Serif" w:hAnsi="PT Astra Serif" w:eastAsia="Times New Roman"/>
          <w:sz w:val="24"/>
          <w:szCs w:val="24"/>
          <w:lang w:eastAsia="ru-RU"/>
        </w:rPr>
        <w:t xml:space="preserve"> Новоисламбуль, Вознесенка Кривошеинского района; Волково, Могильный Мыс, Старокороткино Колпашевского района) с учетом квоты, установленной Минцифры России на 2023 год (15 населенных пунктов), а также населенных пунктов, по которым не завершены работы в 2</w:t>
      </w:r>
      <w:r>
        <w:rPr>
          <w:rFonts w:ascii="PT Astra Serif" w:hAnsi="PT Astra Serif" w:eastAsia="Times New Roman"/>
          <w:sz w:val="24"/>
          <w:szCs w:val="24"/>
          <w:lang w:eastAsia="ru-RU"/>
        </w:rPr>
        <w:t xml:space="preserve">022 году (6 населенных пунктов).</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1. Обеспечение беспроводным доступом к сети Интернет жителей 13 населенных пунктов в 12 муниципальных районах Томской области в рамках федерального проекта «Устранение цифрового неравенства».</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2. Обеспечение за счет средств областного бюджета доступности сотовой связи </w:t>
      </w:r>
      <w:r>
        <w:rPr>
          <w:rFonts w:ascii="PT Astra Serif" w:hAnsi="PT Astra Serif"/>
          <w:sz w:val="24"/>
          <w:szCs w:val="24"/>
        </w:rPr>
        <w:t xml:space="preserve">и беспроводного доступа к сети Интернет в населенном пункте Катайга Верхнекетского района.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sz w:val="24"/>
          <w:szCs w:val="24"/>
        </w:rPr>
        <w:t xml:space="preserve">3.</w:t>
      </w:r>
      <w:r>
        <w:rPr>
          <w:rFonts w:ascii="PT Astra Serif" w:hAnsi="PT Astra Serif" w:eastAsia="Calibri"/>
          <w:sz w:val="24"/>
          <w:szCs w:val="24"/>
        </w:rPr>
        <w:t xml:space="preserve"> Развитие магистральной инфраструктуры связи и строительство волоконно-оптической линии на участке «Стрежевой</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Calibri"/>
          <w:sz w:val="24"/>
          <w:szCs w:val="24"/>
        </w:rPr>
        <w:t xml:space="preserve">Александровское» (при условии софинансирования из федерального бюджета).</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46"/>
        <w:outlineLvl w:val="1"/>
      </w:pPr>
      <w:r/>
      <w:bookmarkStart w:id="24" w:name="_Toc134630414"/>
      <w:r>
        <w:t xml:space="preserve">4.3. Обеспечение модернизации и развития коммунальной инфраструктуры</w:t>
      </w:r>
      <w:bookmarkEnd w:id="24"/>
      <w: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jc w:val="both"/>
        <w:spacing w:after="0" w:line="240" w:lineRule="auto"/>
        <w:shd w:val="clear" w:color="auto" w:fill="eaf1dd" w:themeFill="accent3" w:themeFillTint="33"/>
        <w:rPr>
          <w:rFonts w:ascii="PT Astra Serif" w:hAnsi="PT Astra Serif"/>
          <w:b/>
          <w:sz w:val="24"/>
          <w:szCs w:val="24"/>
        </w:rPr>
      </w:pPr>
      <w:r>
        <w:rPr>
          <w:rFonts w:ascii="PT Astra Serif" w:hAnsi="PT Astra Serif"/>
          <w:b/>
          <w:sz w:val="24"/>
          <w:szCs w:val="24"/>
        </w:rPr>
        <w:t xml:space="preserve">Жилищно-коммунальный комплекс</w:t>
      </w:r>
      <w:r>
        <w:rPr>
          <w:rFonts w:ascii="PT Astra Serif" w:hAnsi="PT Astra Serif"/>
          <w:b/>
          <w:sz w:val="24"/>
          <w:szCs w:val="24"/>
        </w:rPr>
      </w:r>
      <w:r>
        <w:rPr>
          <w:rFonts w:ascii="PT Astra Serif" w:hAnsi="PT Astra Serif"/>
          <w:b/>
          <w:sz w:val="24"/>
          <w:szCs w:val="24"/>
        </w:rPr>
      </w:r>
    </w:p>
    <w:p>
      <w:pPr>
        <w:ind w:firstLine="708"/>
        <w:jc w:val="both"/>
        <w:spacing w:after="0" w:line="240" w:lineRule="auto"/>
        <w:widowControl w:val="off"/>
        <w:rPr>
          <w:rFonts w:ascii="PT Astra Serif" w:hAnsi="PT Astra Serif"/>
          <w:sz w:val="24"/>
          <w:szCs w:val="24"/>
        </w:rPr>
      </w:pPr>
      <w:r>
        <w:rPr>
          <w:rFonts w:ascii="PT Astra Serif" w:hAnsi="PT Astra Serif"/>
          <w:sz w:val="24"/>
          <w:szCs w:val="24"/>
        </w:rPr>
        <w:t xml:space="preserve">На территории региона, в целях развития жилищно-коммунального хозяйства, ежегодно реализовывается ряд мероприятий, в том числе обеспечивается подготовка хозяйственного комплекса Томской области к отопительному периоду и контроль </w:t>
      </w:r>
      <w:r>
        <w:rPr>
          <w:rFonts w:ascii="PT Astra Serif" w:hAnsi="PT Astra Serif"/>
          <w:sz w:val="24"/>
          <w:szCs w:val="24"/>
        </w:rPr>
        <w:t xml:space="preserve">за </w:t>
      </w:r>
      <w:r>
        <w:rPr>
          <w:rFonts w:ascii="PT Astra Serif" w:hAnsi="PT Astra Serif"/>
          <w:sz w:val="24"/>
          <w:szCs w:val="24"/>
        </w:rPr>
        <w:t xml:space="preserve">его прохождением, организован мониторинг запасов топлива и аварийных ситуаций на объектах коммунальной инфраструктуры.</w:t>
      </w:r>
      <w:r>
        <w:rPr>
          <w:rFonts w:ascii="PT Astra Serif" w:hAnsi="PT Astra Serif"/>
          <w:sz w:val="24"/>
          <w:szCs w:val="24"/>
        </w:rPr>
      </w:r>
      <w:r>
        <w:rPr>
          <w:rFonts w:ascii="PT Astra Serif" w:hAnsi="PT Astra Serif"/>
          <w:sz w:val="24"/>
          <w:szCs w:val="24"/>
        </w:rPr>
      </w:r>
    </w:p>
    <w:p>
      <w:pPr>
        <w:ind w:firstLine="708"/>
        <w:jc w:val="both"/>
        <w:spacing w:after="0" w:line="240" w:lineRule="auto"/>
        <w:widowControl w:val="off"/>
        <w:rPr>
          <w:rFonts w:ascii="PT Astra Serif" w:hAnsi="PT Astra Serif"/>
          <w:sz w:val="24"/>
          <w:szCs w:val="24"/>
        </w:rPr>
      </w:pPr>
      <w:r>
        <w:rPr>
          <w:rFonts w:ascii="PT Astra Serif" w:hAnsi="PT Astra Serif"/>
          <w:sz w:val="24"/>
          <w:szCs w:val="24"/>
        </w:rPr>
        <w:t xml:space="preserve">По окончанию 2023 года во всех муниципальных образованиях Томской области разработаны и утверждены схемы теплоснабжения. Схемы водоснабжения и водоотведения </w:t>
      </w:r>
      <w:r>
        <w:rPr>
          <w:rFonts w:ascii="PT Astra Serif" w:hAnsi="PT Astra Serif" w:eastAsia="Calibri"/>
          <w:sz w:val="24"/>
          <w:szCs w:val="24"/>
        </w:rPr>
        <w:t xml:space="preserve">разработаны и утверждены в 100 из 119 муниципальных образованиях Томской области, что составляет 84%.</w:t>
      </w:r>
      <w:r>
        <w:rPr>
          <w:rFonts w:ascii="PT Astra Serif" w:hAnsi="PT Astra Serif"/>
          <w:sz w:val="24"/>
          <w:szCs w:val="24"/>
        </w:rPr>
      </w:r>
      <w:r>
        <w:rPr>
          <w:rFonts w:ascii="PT Astra Serif" w:hAnsi="PT Astra Serif"/>
          <w:sz w:val="24"/>
          <w:szCs w:val="24"/>
        </w:rPr>
      </w:r>
    </w:p>
    <w:p>
      <w:pPr>
        <w:ind w:firstLine="708"/>
        <w:jc w:val="both"/>
        <w:spacing w:after="0" w:line="240" w:lineRule="auto"/>
        <w:widowControl w:val="off"/>
        <w:rPr>
          <w:rFonts w:ascii="PT Astra Serif" w:hAnsi="PT Astra Serif"/>
          <w:sz w:val="24"/>
          <w:szCs w:val="24"/>
        </w:rPr>
      </w:pPr>
      <w:r>
        <w:rPr>
          <w:rFonts w:ascii="PT Astra Serif" w:hAnsi="PT Astra Serif"/>
          <w:sz w:val="24"/>
          <w:szCs w:val="24"/>
        </w:rPr>
        <w:t xml:space="preserve">Оцифровка систем теплоснабжения завершена для 14 районных центров и центров сельских поселений, которые являются основой для подготовки инвестиционных проектов</w:t>
      </w:r>
      <w:r>
        <w:rPr>
          <w:rFonts w:ascii="PT Astra Serif" w:hAnsi="PT Astra Serif"/>
          <w:sz w:val="24"/>
          <w:szCs w:val="24"/>
        </w:rPr>
        <w:t xml:space="preserve">,</w:t>
      </w:r>
      <w:r>
        <w:rPr>
          <w:rFonts w:ascii="PT Astra Serif" w:hAnsi="PT Astra Serif"/>
          <w:sz w:val="24"/>
          <w:szCs w:val="24"/>
        </w:rPr>
        <w:t xml:space="preserve"> и позволяет оптимизиров</w:t>
      </w:r>
      <w:r>
        <w:rPr>
          <w:rFonts w:ascii="PT Astra Serif" w:hAnsi="PT Astra Serif"/>
          <w:sz w:val="24"/>
          <w:szCs w:val="24"/>
        </w:rPr>
        <w:t xml:space="preserve">ать на предпроектном этапе и этапе проектирования технические решения и объем капитальных затрат на строительство источников теплоснабжения. Так при подготовке проекта по переводу котельных г. Асино оптимизация установленной мощности составило порядка 20%.</w:t>
      </w:r>
      <w:r>
        <w:rPr>
          <w:rFonts w:ascii="PT Astra Serif" w:hAnsi="PT Astra Serif"/>
          <w:sz w:val="24"/>
          <w:szCs w:val="24"/>
        </w:rPr>
      </w:r>
      <w:r>
        <w:rPr>
          <w:rFonts w:ascii="PT Astra Serif" w:hAnsi="PT Astra Serif"/>
          <w:sz w:val="24"/>
          <w:szCs w:val="24"/>
        </w:rPr>
      </w:r>
    </w:p>
    <w:p>
      <w:pPr>
        <w:ind w:firstLine="708"/>
        <w:jc w:val="both"/>
        <w:spacing w:after="0" w:line="240" w:lineRule="auto"/>
        <w:widowControl w:val="off"/>
        <w:rPr>
          <w:rFonts w:ascii="PT Astra Serif" w:hAnsi="PT Astra Serif"/>
          <w:sz w:val="24"/>
          <w:szCs w:val="24"/>
        </w:rPr>
      </w:pPr>
      <w:r>
        <w:rPr>
          <w:rFonts w:ascii="PT Astra Serif" w:hAnsi="PT Astra Serif"/>
          <w:sz w:val="24"/>
          <w:szCs w:val="24"/>
        </w:rPr>
        <w:t xml:space="preserve">Совместно с муниципальными образованиями приняты меры по разработке и</w:t>
      </w:r>
      <w:r>
        <w:rPr>
          <w:rFonts w:ascii="PT Astra Serif" w:hAnsi="PT Astra Serif"/>
          <w:sz w:val="24"/>
          <w:szCs w:val="24"/>
        </w:rPr>
        <w:t xml:space="preserve"> утверждению нормативной базы для снижения задолженности коммунальных организаций за энергоресурсы, создана система урегулирования убытков коммунальных предприятий, реализуются типовые модели погашения задолженности и финансового оздоровления предприятий. </w:t>
      </w:r>
      <w:r>
        <w:rPr>
          <w:rFonts w:ascii="PT Astra Serif" w:hAnsi="PT Astra Serif"/>
          <w:sz w:val="24"/>
          <w:szCs w:val="24"/>
        </w:rPr>
      </w:r>
      <w:r>
        <w:rPr>
          <w:rFonts w:ascii="PT Astra Serif" w:hAnsi="PT Astra Serif"/>
          <w:sz w:val="24"/>
          <w:szCs w:val="24"/>
        </w:rPr>
      </w:r>
    </w:p>
    <w:p>
      <w:pPr>
        <w:ind w:right="114" w:firstLine="720"/>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целях эффективного решения задач по сдерживанию роста задолженности и снижению задолженности за топли</w:t>
      </w:r>
      <w:r>
        <w:rPr>
          <w:rFonts w:ascii="PT Astra Serif" w:hAnsi="PT Astra Serif" w:eastAsia="PT Astra Serif" w:cs="PT Astra Serif"/>
          <w:sz w:val="24"/>
          <w:szCs w:val="24"/>
        </w:rPr>
        <w:t xml:space="preserve">вно-энергетические ресурсы (газ, электроэнергия, твердое и жидкое топливо) действует межведомственная комиссия по урегулированию задолженности за топливно-энергетические ресурсы организаций, предоставляющих коммунальные услуги на территории Томской области</w:t>
      </w: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t xml:space="preserve"> Реализуется План мероприятий по снижению просроченной кредиторской задолженности за коммунальные услуги.</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В 2023 году в рамках реализации Региональной программы капитального ремонта общего имущества в многок</w:t>
      </w:r>
      <w:r>
        <w:rPr>
          <w:rFonts w:ascii="PT Astra Serif" w:hAnsi="PT Astra Serif" w:eastAsia="Calibri"/>
          <w:sz w:val="24"/>
          <w:szCs w:val="24"/>
        </w:rPr>
        <w:t xml:space="preserve">вартирных домах, расположенных на территории Томской области (далее – Региональная программа), обеспечено оказание услуг и (или) выполнение работ по капитальному ремонту 239 многоквартирных домов, расположенных на территориях 16 муниципальных образований, </w:t>
      </w:r>
      <w:r>
        <w:rPr>
          <w:rFonts w:ascii="PT Astra Serif" w:hAnsi="PT Astra Serif"/>
          <w:sz w:val="24"/>
          <w:szCs w:val="24"/>
        </w:rPr>
        <w:t xml:space="preserve">улучшены условия проживания 17,5</w:t>
      </w:r>
      <w:r>
        <w:rPr>
          <w:rFonts w:ascii="PT Astra Serif" w:hAnsi="PT Astra Serif"/>
          <w:sz w:val="24"/>
          <w:szCs w:val="24"/>
        </w:rPr>
        <w:t xml:space="preserve"> </w:t>
      </w:r>
      <w:r>
        <w:rPr>
          <w:rFonts w:ascii="PT Astra Serif" w:hAnsi="PT Astra Serif"/>
          <w:sz w:val="24"/>
          <w:szCs w:val="24"/>
        </w:rPr>
        <w:t xml:space="preserve">тыс. человек.</w:t>
      </w:r>
      <w:r>
        <w:rPr>
          <w:rFonts w:ascii="PT Astra Serif" w:hAnsi="PT Astra Serif"/>
          <w:sz w:val="24"/>
          <w:szCs w:val="24"/>
        </w:rPr>
      </w:r>
      <w:r>
        <w:rPr>
          <w:rFonts w:ascii="PT Astra Serif" w:hAnsi="PT Astra Serif"/>
          <w:sz w:val="24"/>
          <w:szCs w:val="24"/>
        </w:rPr>
      </w:r>
    </w:p>
    <w:p>
      <w:pPr>
        <w:ind w:firstLine="708"/>
        <w:jc w:val="both"/>
        <w:spacing w:after="0" w:line="240" w:lineRule="auto"/>
        <w:widowControl w:val="off"/>
        <w:rPr>
          <w:rFonts w:ascii="PT Astra Serif" w:hAnsi="PT Astra Serif" w:eastAsia="PT Astra Serif" w:cs="PT Astra Serif"/>
          <w:sz w:val="24"/>
          <w:szCs w:val="24"/>
        </w:rPr>
      </w:pPr>
      <w:r>
        <w:rPr>
          <w:rFonts w:ascii="PT Astra Serif" w:hAnsi="PT Astra Serif"/>
          <w:sz w:val="24"/>
          <w:szCs w:val="24"/>
        </w:rPr>
        <w:t xml:space="preserve">В 202</w:t>
      </w:r>
      <w:r>
        <w:rPr>
          <w:rFonts w:ascii="PT Astra Serif" w:hAnsi="PT Astra Serif"/>
          <w:sz w:val="24"/>
          <w:szCs w:val="24"/>
        </w:rPr>
        <w:t xml:space="preserve">3 году выполнение краткосрочного плана реализации Региональной программы составило 100%. Уровень собираемости взносов по счету регионального оператора и на специальных счетах по итогам 2023 года составил 96,38%, в том числе по счету регионального оператора</w:t>
      </w:r>
      <w:r>
        <w:rPr>
          <w:rFonts w:ascii="PT Astra Serif" w:hAnsi="PT Astra Serif"/>
          <w:sz w:val="24"/>
          <w:szCs w:val="24"/>
        </w:rPr>
        <w:t xml:space="preserve"> </w:t>
      </w:r>
      <w:r>
        <w:rPr>
          <w:rFonts w:ascii="PT Astra Serif" w:hAnsi="PT Astra Serif" w:eastAsia="Calibri"/>
          <w:sz w:val="24"/>
          <w:szCs w:val="24"/>
        </w:rPr>
        <w:t xml:space="preserve">–</w:t>
      </w:r>
      <w:r>
        <w:rPr>
          <w:rFonts w:ascii="PT Astra Serif" w:hAnsi="PT Astra Serif"/>
          <w:sz w:val="24"/>
          <w:szCs w:val="24"/>
        </w:rPr>
        <w:t xml:space="preserve"> 95,95%, что выше уровня 2022 года (92,85%).</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8"/>
        <w:jc w:val="both"/>
        <w:spacing w:after="0" w:line="240" w:lineRule="auto"/>
        <w:widowControl w:val="off"/>
        <w:rPr>
          <w:rFonts w:ascii="PT Astra Serif" w:hAnsi="PT Astra Serif"/>
          <w:sz w:val="24"/>
          <w:szCs w:val="24"/>
        </w:rPr>
      </w:pPr>
      <w:r>
        <w:rPr>
          <w:rFonts w:ascii="PT Astra Serif" w:hAnsi="PT Astra Serif"/>
          <w:sz w:val="24"/>
          <w:szCs w:val="24"/>
        </w:rPr>
        <w:t xml:space="preserve">Для обеспечения жителей Томской области комфортными условиями проживания необходимо улучшение состояни</w:t>
      </w:r>
      <w:r>
        <w:rPr>
          <w:rFonts w:ascii="PT Astra Serif" w:hAnsi="PT Astra Serif"/>
          <w:sz w:val="24"/>
          <w:szCs w:val="24"/>
        </w:rPr>
        <w:t xml:space="preserve">я</w:t>
      </w:r>
      <w:r>
        <w:rPr>
          <w:rFonts w:ascii="PT Astra Serif" w:hAnsi="PT Astra Serif"/>
          <w:sz w:val="24"/>
          <w:szCs w:val="24"/>
        </w:rPr>
        <w:t xml:space="preserve"> жилищного фонда, обеспечение надежной и эффективной работы коммунальной инфраструктуры, повышение качества жилищно-коммунального обслуживания. </w:t>
      </w:r>
      <w:r>
        <w:rPr>
          <w:rFonts w:ascii="PT Astra Serif" w:hAnsi="PT Astra Serif"/>
          <w:sz w:val="24"/>
          <w:szCs w:val="24"/>
        </w:rPr>
      </w:r>
      <w:r>
        <w:rPr>
          <w:rFonts w:ascii="PT Astra Serif" w:hAnsi="PT Astra Serif"/>
          <w:sz w:val="24"/>
          <w:szCs w:val="24"/>
        </w:rPr>
      </w:r>
    </w:p>
    <w:p>
      <w:pPr>
        <w:ind w:firstLine="708"/>
        <w:jc w:val="both"/>
        <w:spacing w:after="0" w:line="240" w:lineRule="auto"/>
        <w:widowControl w:val="off"/>
        <w:rPr>
          <w:rFonts w:ascii="PT Astra Serif" w:hAnsi="PT Astra Serif"/>
          <w:sz w:val="24"/>
          <w:szCs w:val="24"/>
        </w:rPr>
      </w:pPr>
      <w:r>
        <w:rPr>
          <w:rFonts w:ascii="PT Astra Serif" w:hAnsi="PT Astra Serif"/>
          <w:sz w:val="24"/>
          <w:szCs w:val="24"/>
        </w:rPr>
        <w:t xml:space="preserve">В 2023 году реализованы следующие мероприятия:</w:t>
      </w:r>
      <w:r>
        <w:rPr>
          <w:rFonts w:ascii="PT Astra Serif" w:hAnsi="PT Astra Serif"/>
          <w:sz w:val="24"/>
          <w:szCs w:val="24"/>
        </w:rPr>
      </w:r>
      <w:r>
        <w:rPr>
          <w:rFonts w:ascii="PT Astra Serif" w:hAnsi="PT Astra Serif"/>
          <w:sz w:val="24"/>
          <w:szCs w:val="24"/>
        </w:rPr>
      </w:r>
    </w:p>
    <w:p>
      <w:pPr>
        <w:ind w:firstLine="708"/>
        <w:jc w:val="both"/>
        <w:spacing w:after="0" w:line="240" w:lineRule="auto"/>
        <w:widowControl w:val="off"/>
        <w:rPr>
          <w:rFonts w:ascii="PT Astra Serif" w:hAnsi="PT Astra Serif" w:eastAsia="Calibri"/>
          <w:bCs/>
          <w:iCs/>
          <w:sz w:val="24"/>
          <w:szCs w:val="24"/>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eastAsia="Times New Roman"/>
          <w:sz w:val="24"/>
          <w:szCs w:val="24"/>
        </w:rPr>
        <w:t xml:space="preserve">проведен капитальный ремонт 73 объектов коммунальной инфраструктуры в 17 муниципальных образованиях Томской области в целях подготовки хозяйственного комплекса к безаварийному прохождению отопительного сезона</w:t>
      </w:r>
      <w:r>
        <w:rPr>
          <w:rFonts w:ascii="PT Astra Serif" w:hAnsi="PT Astra Serif"/>
          <w:sz w:val="24"/>
          <w:szCs w:val="24"/>
        </w:rPr>
        <w:t xml:space="preserve">. Выполненные работы позволили получить муниципальным образованиям Томской области </w:t>
      </w:r>
      <w:r>
        <w:rPr>
          <w:rFonts w:ascii="PT Astra Serif" w:hAnsi="PT Astra Serif" w:eastAsia="Calibri"/>
          <w:bCs/>
          <w:iCs/>
          <w:sz w:val="24"/>
          <w:szCs w:val="24"/>
        </w:rPr>
        <w:t xml:space="preserve">105 паспортов готовности к отопительному сезону 2023</w:t>
      </w:r>
      <w:r>
        <w:rPr>
          <w:rFonts w:ascii="PT Astra Serif" w:hAnsi="PT Astra Serif" w:eastAsia="Calibri"/>
          <w:bCs/>
          <w:iCs/>
          <w:sz w:val="24"/>
          <w:szCs w:val="24"/>
        </w:rPr>
        <w:t xml:space="preserve"> </w:t>
      </w:r>
      <w:r>
        <w:rPr>
          <w:rFonts w:ascii="PT Astra Serif" w:hAnsi="PT Astra Serif" w:eastAsia="Calibri"/>
          <w:sz w:val="24"/>
          <w:szCs w:val="24"/>
        </w:rPr>
        <w:t xml:space="preserve">– </w:t>
      </w:r>
      <w:r>
        <w:rPr>
          <w:rFonts w:ascii="PT Astra Serif" w:hAnsi="PT Astra Serif" w:eastAsia="Calibri"/>
          <w:bCs/>
          <w:iCs/>
          <w:sz w:val="24"/>
          <w:szCs w:val="24"/>
        </w:rPr>
        <w:t xml:space="preserve">2024 годов</w:t>
      </w:r>
      <w:r>
        <w:rPr>
          <w:rFonts w:ascii="PT Astra Serif" w:hAnsi="PT Astra Serif"/>
          <w:sz w:val="24"/>
          <w:szCs w:val="24"/>
        </w:rPr>
        <w:t xml:space="preserve"> из 116 возможных</w:t>
      </w:r>
      <w:r>
        <w:rPr>
          <w:rFonts w:ascii="PT Astra Serif" w:hAnsi="PT Astra Serif" w:eastAsia="Calibri"/>
          <w:bCs/>
          <w:iCs/>
          <w:sz w:val="24"/>
          <w:szCs w:val="24"/>
        </w:rPr>
        <w:t xml:space="preserve">, что составило 90,5%;</w:t>
      </w:r>
      <w:r>
        <w:rPr>
          <w:rFonts w:ascii="PT Astra Serif" w:hAnsi="PT Astra Serif" w:eastAsia="Calibri"/>
          <w:bCs/>
          <w:iCs/>
          <w:sz w:val="24"/>
          <w:szCs w:val="24"/>
        </w:rPr>
      </w:r>
      <w:r>
        <w:rPr>
          <w:rFonts w:ascii="PT Astra Serif" w:hAnsi="PT Astra Serif" w:eastAsia="Calibri"/>
          <w:bCs/>
          <w:iCs/>
          <w:sz w:val="24"/>
          <w:szCs w:val="24"/>
        </w:rPr>
      </w:r>
    </w:p>
    <w:p>
      <w:pPr>
        <w:pStyle w:val="1165"/>
        <w:ind w:firstLine="708"/>
        <w:jc w:val="both"/>
        <w:rPr>
          <w:rFonts w:eastAsia="PT Astra Serif"/>
          <w:strike/>
          <w:color w:val="auto"/>
        </w:rPr>
      </w:pPr>
      <w:r>
        <w:rPr>
          <w:rFonts w:eastAsia="Calibri"/>
        </w:rPr>
        <w:t xml:space="preserve">–</w:t>
      </w:r>
      <w:r>
        <w:rPr>
          <w:color w:val="auto"/>
        </w:rPr>
        <w:t xml:space="preserve"> с привлечением средств федерального бюджета в рамках регионального проекта «</w:t>
      </w:r>
      <w:r>
        <w:rPr>
          <w:color w:val="auto"/>
        </w:rPr>
        <w:t xml:space="preserve">Чистая вода» федерального проекта «Чистая вода» национального проекта «Жилье и городская среда» реализовано 9 мероприятий по строительству и (или) реконструкции объектов питьевого водоснабжения: строительство сетей водоснабжения в п. Наука г. Томска (1 и 2</w:t>
      </w:r>
      <w:r>
        <w:rPr>
          <w:color w:val="auto"/>
        </w:rPr>
        <w:t xml:space="preserve">-й</w:t>
      </w:r>
      <w:r>
        <w:rPr>
          <w:color w:val="auto"/>
        </w:rPr>
        <w:t xml:space="preserve"> этапы), реконструкция 6 объектов системы водоснабжения в с. Первомайское и строительство 6 скважин на существующих подземных водозаборах в</w:t>
      </w:r>
      <w:r>
        <w:rPr>
          <w:color w:val="auto"/>
        </w:rPr>
        <w:t xml:space="preserve"> </w:t>
      </w:r>
      <w:r>
        <w:rPr>
          <w:color w:val="auto"/>
        </w:rPr>
        <w:t xml:space="preserve">г. Северске</w:t>
      </w:r>
      <w:r>
        <w:rPr>
          <w:rFonts w:eastAsia="PT Astra Serif"/>
          <w:color w:val="auto"/>
        </w:rPr>
        <w:t xml:space="preserve">;</w:t>
      </w:r>
      <w:r>
        <w:rPr>
          <w:rFonts w:eastAsia="PT Astra Serif"/>
          <w:strike/>
          <w:color w:val="auto"/>
        </w:rPr>
      </w:r>
      <w:r>
        <w:rPr>
          <w:rFonts w:eastAsia="PT Astra Serif"/>
          <w:strike/>
          <w:color w:val="auto"/>
        </w:rPr>
      </w:r>
    </w:p>
    <w:p>
      <w:pPr>
        <w:ind w:firstLine="708"/>
        <w:jc w:val="both"/>
        <w:spacing w:after="0" w:line="240" w:lineRule="auto"/>
        <w:widowControl w:val="off"/>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завершена реализация мероприятий в рамках концессионного соглашения, заключенного со структурами ПАО «Интер РАО», по переводу части областного центра на центральное теплоснабжение. </w:t>
      </w:r>
      <w:r>
        <w:rPr>
          <w:rFonts w:ascii="PT Astra Serif" w:hAnsi="PT Astra Serif"/>
          <w:sz w:val="24"/>
          <w:szCs w:val="24"/>
        </w:rPr>
      </w:r>
      <w:r>
        <w:rPr>
          <w:rFonts w:ascii="PT Astra Serif" w:hAnsi="PT Astra Serif"/>
          <w:sz w:val="24"/>
          <w:szCs w:val="24"/>
        </w:rPr>
      </w:r>
    </w:p>
    <w:p>
      <w:pPr>
        <w:ind w:firstLine="709"/>
        <w:jc w:val="both"/>
        <w:spacing w:after="0" w:line="240" w:lineRule="auto"/>
        <w:widowControl w:val="off"/>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с привлечением средств Фонда национального благосостояния в рамках концессионных соглашений реализованы мероприятия «Газификация водогрейных котельных с. Пе</w:t>
      </w:r>
      <w:r>
        <w:rPr>
          <w:rFonts w:ascii="PT Astra Serif" w:hAnsi="PT Astra Serif"/>
          <w:sz w:val="24"/>
          <w:szCs w:val="24"/>
        </w:rPr>
        <w:t xml:space="preserve">рвомайское Первомайского района</w:t>
      </w:r>
      <w:r>
        <w:rPr>
          <w:rFonts w:ascii="PT Astra Serif" w:hAnsi="PT Astra Serif"/>
          <w:sz w:val="24"/>
          <w:szCs w:val="24"/>
        </w:rPr>
        <w:t xml:space="preserve">» и «Газовая водогрейная котельная в пос. Зональная Станция Томского района». Все котельные введены в эксплуатацию в октябре 2023 года и обеспечивают надлежащим теплоснабжением жителей с.</w:t>
      </w:r>
      <w:r>
        <w:rPr>
          <w:rFonts w:ascii="PT Astra Serif" w:hAnsi="PT Astra Serif"/>
          <w:sz w:val="24"/>
          <w:szCs w:val="24"/>
        </w:rPr>
        <w:t xml:space="preserve"> </w:t>
      </w:r>
      <w:r>
        <w:rPr>
          <w:rFonts w:ascii="PT Astra Serif" w:hAnsi="PT Astra Serif"/>
          <w:sz w:val="24"/>
          <w:szCs w:val="24"/>
        </w:rPr>
        <w:t xml:space="preserve">Первомайского</w:t>
      </w:r>
      <w:r>
        <w:rPr>
          <w:rFonts w:ascii="PT Astra Serif" w:hAnsi="PT Astra Serif"/>
          <w:sz w:val="24"/>
          <w:szCs w:val="24"/>
        </w:rPr>
        <w:t xml:space="preserve"> и пос. Зональная </w:t>
      </w:r>
      <w:r>
        <w:rPr>
          <w:rFonts w:ascii="PT Astra Serif" w:hAnsi="PT Astra Serif"/>
          <w:sz w:val="24"/>
          <w:szCs w:val="24"/>
        </w:rPr>
        <w:t xml:space="preserve">Станция;</w:t>
      </w:r>
      <w:r>
        <w:rPr>
          <w:rFonts w:ascii="PT Astra Serif" w:hAnsi="PT Astra Serif"/>
          <w:sz w:val="24"/>
          <w:szCs w:val="24"/>
        </w:rPr>
      </w:r>
      <w:r>
        <w:rPr>
          <w:rFonts w:ascii="PT Astra Serif" w:hAnsi="PT Astra Serif"/>
          <w:sz w:val="24"/>
          <w:szCs w:val="24"/>
        </w:rPr>
      </w:r>
    </w:p>
    <w:p>
      <w:pPr>
        <w:ind w:firstLine="708"/>
        <w:jc w:val="both"/>
        <w:spacing w:after="0" w:line="240" w:lineRule="auto"/>
        <w:widowControl w:val="off"/>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за счет средств областного бюджета приобретено 7 участков тепловых сетей от 7</w:t>
      </w:r>
      <w:r>
        <w:rPr>
          <w:rFonts w:ascii="PT Astra Serif" w:hAnsi="PT Astra Serif"/>
          <w:sz w:val="24"/>
          <w:szCs w:val="24"/>
        </w:rPr>
        <w:t xml:space="preserve"> </w:t>
      </w:r>
      <w:r>
        <w:rPr>
          <w:rFonts w:ascii="PT Astra Serif" w:hAnsi="PT Astra Serif"/>
          <w:sz w:val="24"/>
          <w:szCs w:val="24"/>
        </w:rPr>
        <w:t xml:space="preserve">газовых котельных в г. Асино, а также 2 участка тепловых сетей от 1 котельной в с. Первомайско</w:t>
      </w:r>
      <w:r>
        <w:rPr>
          <w:rFonts w:ascii="PT Astra Serif" w:hAnsi="PT Astra Serif"/>
          <w:sz w:val="24"/>
          <w:szCs w:val="24"/>
        </w:rPr>
        <w:t xml:space="preserve">м</w:t>
      </w:r>
      <w:r>
        <w:rPr>
          <w:rFonts w:ascii="PT Astra Serif" w:hAnsi="PT Astra Serif"/>
          <w:sz w:val="24"/>
          <w:szCs w:val="24"/>
        </w:rPr>
        <w:t xml:space="preserve">. Приобретение указанных объектов позволило обеспечить стабильное теплоснабжение потребителей с. Первомайское и г. Асино.</w:t>
      </w:r>
      <w:r>
        <w:rPr>
          <w:rFonts w:ascii="PT Astra Serif" w:hAnsi="PT Astra Serif"/>
          <w:sz w:val="24"/>
          <w:szCs w:val="24"/>
        </w:rPr>
      </w:r>
      <w:r>
        <w:rPr>
          <w:rFonts w:ascii="PT Astra Serif" w:hAnsi="PT Astra Serif"/>
          <w:sz w:val="24"/>
          <w:szCs w:val="24"/>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8"/>
        <w:jc w:val="both"/>
        <w:spacing w:after="0" w:line="240" w:lineRule="auto"/>
        <w:widowControl w:val="off"/>
        <w:rPr>
          <w:rFonts w:ascii="PT Astra Serif" w:hAnsi="PT Astra Serif"/>
          <w:sz w:val="24"/>
          <w:szCs w:val="24"/>
        </w:rPr>
      </w:pPr>
      <w:r>
        <w:rPr>
          <w:rFonts w:ascii="PT Astra Serif" w:hAnsi="PT Astra Serif"/>
          <w:sz w:val="24"/>
          <w:szCs w:val="24"/>
        </w:rPr>
        <w:t xml:space="preserve">1. Реализации Регионал</w:t>
      </w:r>
      <w:r>
        <w:rPr>
          <w:rFonts w:ascii="PT Astra Serif" w:hAnsi="PT Astra Serif"/>
          <w:sz w:val="24"/>
          <w:szCs w:val="24"/>
        </w:rPr>
        <w:t xml:space="preserve">ьной программы капитального ремонта общего имущества в многоквартирных домах, расположенных на территории Томской области, регионального проекта «Чистая вода» национального проекта «Жилье и городская среда» с целью увеличения доли населения Томской области</w:t>
      </w:r>
      <w:r>
        <w:rPr>
          <w:rFonts w:ascii="PT Astra Serif" w:hAnsi="PT Astra Serif"/>
          <w:sz w:val="24"/>
          <w:szCs w:val="24"/>
        </w:rPr>
        <w:t xml:space="preserve">,</w:t>
      </w:r>
      <w:r>
        <w:rPr>
          <w:rFonts w:ascii="PT Astra Serif" w:hAnsi="PT Astra Serif"/>
          <w:sz w:val="24"/>
          <w:szCs w:val="24"/>
        </w:rPr>
        <w:t xml:space="preserve"> обеспеченного качественной питьевой водой, а также недопущения увеличения аварийности в системах водоснабжения. </w:t>
      </w:r>
      <w:r>
        <w:rPr>
          <w:rFonts w:ascii="PT Astra Serif" w:hAnsi="PT Astra Serif"/>
          <w:sz w:val="24"/>
          <w:szCs w:val="24"/>
        </w:rPr>
      </w:r>
      <w:r>
        <w:rPr>
          <w:rFonts w:ascii="PT Astra Serif" w:hAnsi="PT Astra Serif"/>
          <w:sz w:val="24"/>
          <w:szCs w:val="24"/>
        </w:rPr>
      </w:r>
    </w:p>
    <w:p>
      <w:pPr>
        <w:ind w:firstLine="708"/>
        <w:jc w:val="both"/>
        <w:spacing w:after="0" w:line="240" w:lineRule="auto"/>
        <w:widowControl w:val="off"/>
        <w:rPr>
          <w:rFonts w:ascii="PT Astra Serif" w:hAnsi="PT Astra Serif"/>
          <w:sz w:val="24"/>
          <w:szCs w:val="24"/>
        </w:rPr>
      </w:pPr>
      <w:r>
        <w:rPr>
          <w:rFonts w:ascii="PT Astra Serif" w:hAnsi="PT Astra Serif"/>
          <w:sz w:val="24"/>
          <w:szCs w:val="24"/>
        </w:rPr>
        <w:t xml:space="preserve">2. Продолжение работы по переводу источников теплоснабжения с других видов топлива (уголь, мазут) на природный газ с учетом развития газификации населенных пунктов (с. Бакчар, с. Подгорное, с. Тегульдет), модернизация 9 коммунальных котельных.</w:t>
      </w:r>
      <w:r>
        <w:rPr>
          <w:rFonts w:ascii="PT Astra Serif" w:hAnsi="PT Astra Serif"/>
          <w:sz w:val="24"/>
          <w:szCs w:val="24"/>
        </w:rPr>
      </w:r>
      <w:r>
        <w:rPr>
          <w:rFonts w:ascii="PT Astra Serif" w:hAnsi="PT Astra Serif"/>
          <w:sz w:val="24"/>
          <w:szCs w:val="24"/>
        </w:rPr>
      </w:r>
    </w:p>
    <w:p>
      <w:pPr>
        <w:ind w:firstLine="708"/>
        <w:jc w:val="both"/>
        <w:spacing w:after="0" w:line="240" w:lineRule="auto"/>
        <w:widowControl w:val="off"/>
        <w:rPr>
          <w:rFonts w:ascii="PT Astra Serif" w:hAnsi="PT Astra Serif"/>
          <w:sz w:val="24"/>
          <w:szCs w:val="24"/>
        </w:rPr>
      </w:pPr>
      <w:r>
        <w:rPr>
          <w:rFonts w:ascii="PT Astra Serif" w:hAnsi="PT Astra Serif"/>
          <w:sz w:val="24"/>
          <w:szCs w:val="24"/>
        </w:rPr>
        <w:t xml:space="preserve">3. Модернизация 3 объектов коммунальной инфраструктуры в Молчановском районе и г. Кедровый в 2024</w:t>
      </w:r>
      <w:r>
        <w:rPr>
          <w:rFonts w:ascii="PT Astra Serif" w:hAnsi="PT Astra Serif"/>
          <w:sz w:val="24"/>
          <w:szCs w:val="24"/>
        </w:rPr>
        <w:t xml:space="preserve"> </w:t>
      </w:r>
      <w:r>
        <w:rPr>
          <w:rFonts w:ascii="PT Astra Serif" w:hAnsi="PT Astra Serif" w:eastAsia="Calibri"/>
          <w:sz w:val="24"/>
          <w:szCs w:val="24"/>
        </w:rPr>
        <w:t xml:space="preserve">– </w:t>
      </w:r>
      <w:r>
        <w:rPr>
          <w:rFonts w:ascii="PT Astra Serif" w:hAnsi="PT Astra Serif"/>
          <w:sz w:val="24"/>
          <w:szCs w:val="24"/>
        </w:rPr>
        <w:t xml:space="preserve">2025 годах.</w:t>
      </w:r>
      <w:r>
        <w:rPr>
          <w:rFonts w:ascii="PT Astra Serif" w:hAnsi="PT Astra Serif"/>
          <w:sz w:val="24"/>
          <w:szCs w:val="24"/>
        </w:rPr>
      </w:r>
      <w:r>
        <w:rPr>
          <w:rFonts w:ascii="PT Astra Serif" w:hAnsi="PT Astra Serif"/>
          <w:sz w:val="24"/>
          <w:szCs w:val="24"/>
        </w:rPr>
      </w:r>
    </w:p>
    <w:p>
      <w:pPr>
        <w:ind w:firstLine="708"/>
        <w:jc w:val="both"/>
        <w:spacing w:after="0" w:line="240" w:lineRule="auto"/>
        <w:widowControl w:val="off"/>
        <w:rPr>
          <w:rFonts w:ascii="PT Astra Serif" w:hAnsi="PT Astra Serif"/>
          <w:sz w:val="24"/>
          <w:szCs w:val="24"/>
        </w:rPr>
      </w:pPr>
      <w:r>
        <w:rPr>
          <w:rFonts w:ascii="PT Astra Serif" w:hAnsi="PT Astra Serif"/>
          <w:sz w:val="24"/>
          <w:szCs w:val="24"/>
        </w:rPr>
        <w:t xml:space="preserve">4. Формирование перечня мероприятий для включения в региональный комплексный план модернизации систем коммунальной инфраструктуры до 2030 года с целью их дальнейшей реализации с привлечение средств федерального бюджета.</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shd w:val="clear" w:color="auto" w:fill="eaf1dd" w:themeFill="accent3" w:themeFillTint="33"/>
        <w:rPr>
          <w:rFonts w:ascii="PT Astra Serif" w:hAnsi="PT Astra Serif"/>
          <w:b/>
          <w:sz w:val="24"/>
          <w:szCs w:val="24"/>
        </w:rPr>
      </w:pPr>
      <w:r>
        <w:rPr>
          <w:rFonts w:ascii="PT Astra Serif" w:hAnsi="PT Astra Serif"/>
          <w:b/>
          <w:sz w:val="24"/>
          <w:szCs w:val="24"/>
        </w:rPr>
        <w:t xml:space="preserve">Энергетический комплекс</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В 2023 году организациями энергетического комплекса Томской области в рамках инвестиционных программ, предусматривающих новое строительство, реконструкцию, модернизацию и техперевооружение производственных объектов, освоено более </w:t>
      </w:r>
      <w:r>
        <w:rPr>
          <w:rFonts w:ascii="PT Astra Serif" w:hAnsi="PT Astra Serif" w:eastAsia="Times New Roman"/>
          <w:sz w:val="24"/>
          <w:szCs w:val="24"/>
          <w:highlight w:val="none"/>
        </w:rPr>
        <w:t xml:space="preserve">3 </w:t>
      </w:r>
      <w:r>
        <w:rPr>
          <w:rFonts w:ascii="PT Astra Serif" w:hAnsi="PT Astra Serif" w:eastAsia="Times New Roman"/>
          <w:sz w:val="24"/>
          <w:szCs w:val="24"/>
          <w:highlight w:val="none"/>
        </w:rPr>
        <w:t xml:space="preserve">млрд </w:t>
      </w:r>
      <w:r>
        <w:rPr>
          <w:rFonts w:ascii="PT Astra Serif" w:hAnsi="PT Astra Serif" w:eastAsia="Times New Roman"/>
          <w:sz w:val="24"/>
          <w:szCs w:val="24"/>
          <w:highlight w:val="none"/>
        </w:rPr>
        <w:t xml:space="preserve">551 млн</w:t>
      </w:r>
      <w:r>
        <w:rPr>
          <w:rFonts w:ascii="PT Astra Serif" w:hAnsi="PT Astra Serif" w:eastAsia="Times New Roman"/>
          <w:sz w:val="24"/>
          <w:szCs w:val="24"/>
          <w:highlight w:val="none"/>
        </w:rPr>
        <w:t xml:space="preserve"> рублей</w:t>
      </w:r>
      <w:r>
        <w:rPr>
          <w:rFonts w:ascii="PT Astra Serif" w:hAnsi="PT Astra Serif" w:eastAsia="Times New Roman"/>
          <w:sz w:val="24"/>
          <w:szCs w:val="24"/>
          <w:highlight w:val="none"/>
        </w:rPr>
        <w:t xml:space="preserve">,</w:t>
      </w:r>
      <w:r>
        <w:rPr>
          <w:rFonts w:ascii="PT Astra Serif" w:hAnsi="PT Astra Serif" w:eastAsia="Times New Roman"/>
          <w:sz w:val="24"/>
          <w:szCs w:val="24"/>
        </w:rPr>
        <w:t xml:space="preserve"> что на 35,6% выше уровня 2022 года, в частности:</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Calibri"/>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ПАО «ТРК» освоено 750,58 млн</w:t>
      </w:r>
      <w:r>
        <w:rPr>
          <w:rFonts w:ascii="PT Astra Serif" w:hAnsi="PT Astra Serif" w:eastAsia="Times New Roman"/>
          <w:sz w:val="24"/>
          <w:szCs w:val="24"/>
        </w:rPr>
        <w:t xml:space="preserve"> рублей (133% к 2022 году), в том числе выполнены работы по строительству кабельной линии в мкр. Южный, п. Зональная Станция для технологического присоединения потребителей.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720" w:leader="none"/>
        </w:tabs>
        <w:rPr>
          <w:rFonts w:ascii="PT Astra Serif" w:hAnsi="PT Astra Serif" w:eastAsia="Times New Roman"/>
          <w:sz w:val="24"/>
          <w:szCs w:val="24"/>
        </w:rPr>
      </w:pPr>
      <w:r>
        <w:rPr>
          <w:rFonts w:ascii="PT Astra Serif" w:hAnsi="PT Astra Serif" w:eastAsia="Calibri"/>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П</w:t>
      </w:r>
      <w:r>
        <w:rPr>
          <w:rFonts w:ascii="PT Astra Serif" w:hAnsi="PT Astra Serif" w:eastAsia="Times New Roman"/>
          <w:sz w:val="24"/>
          <w:szCs w:val="24"/>
        </w:rPr>
        <w:t xml:space="preserve">АО «Россети» освоено 380,15 млн</w:t>
      </w:r>
      <w:r>
        <w:rPr>
          <w:rFonts w:ascii="PT Astra Serif" w:hAnsi="PT Astra Serif" w:eastAsia="Times New Roman"/>
          <w:sz w:val="24"/>
          <w:szCs w:val="24"/>
        </w:rPr>
        <w:t xml:space="preserve"> рублей (375% к 2022 году), в том числе выполнены мероприятия по техническому перевооружению подстанций для осуществления технологического присоединения энергопринимающих устройств АО «ОЭЗ ТВТ «Томск».</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360" w:leader="none"/>
          <w:tab w:val="left" w:pos="720" w:leader="none"/>
          <w:tab w:val="left" w:pos="993" w:leader="none"/>
        </w:tabs>
        <w:rPr>
          <w:rFonts w:ascii="PT Astra Serif" w:hAnsi="PT Astra Serif" w:eastAsia="Times New Roman"/>
          <w:sz w:val="24"/>
          <w:szCs w:val="24"/>
        </w:rPr>
      </w:pPr>
      <w:r>
        <w:rPr>
          <w:rFonts w:ascii="PT Astra Serif" w:hAnsi="PT Astra Serif" w:eastAsia="Calibri"/>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ООО «Горсети» освое</w:t>
      </w:r>
      <w:r>
        <w:rPr>
          <w:rFonts w:ascii="PT Astra Serif" w:hAnsi="PT Astra Serif" w:eastAsia="Times New Roman"/>
          <w:sz w:val="24"/>
          <w:szCs w:val="24"/>
        </w:rPr>
        <w:t xml:space="preserve">но 219,94 млн</w:t>
      </w:r>
      <w:r>
        <w:rPr>
          <w:rFonts w:ascii="PT Astra Serif" w:hAnsi="PT Astra Serif" w:eastAsia="Times New Roman"/>
          <w:sz w:val="24"/>
          <w:szCs w:val="24"/>
        </w:rPr>
        <w:t xml:space="preserve"> рублей (176% к 2022 году), в том числе построена 1 трансформаторная подстанция, смонтировано 14 трансформаторов,  проложено 17,04 км кабельных и воздушных для технологического присоединения потребителей.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360" w:leader="none"/>
          <w:tab w:val="left" w:pos="720" w:leader="none"/>
          <w:tab w:val="left" w:pos="993" w:leader="none"/>
        </w:tabs>
        <w:rPr>
          <w:rFonts w:ascii="PT Astra Serif" w:hAnsi="PT Astra Serif" w:eastAsia="Times New Roman"/>
          <w:sz w:val="24"/>
          <w:szCs w:val="24"/>
        </w:rPr>
      </w:pPr>
      <w:r>
        <w:rPr>
          <w:rFonts w:ascii="PT Astra Serif" w:hAnsi="PT Astra Serif" w:eastAsia="Calibri"/>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АО «Томская генерация» освоено 395</w:t>
      </w:r>
      <w:r>
        <w:rPr>
          <w:rFonts w:ascii="PT Astra Serif" w:hAnsi="PT Astra Serif" w:eastAsia="Times New Roman"/>
          <w:sz w:val="24"/>
          <w:szCs w:val="24"/>
        </w:rPr>
        <w:t xml:space="preserve">,77 млн</w:t>
      </w:r>
      <w:r>
        <w:rPr>
          <w:rFonts w:ascii="PT Astra Serif" w:hAnsi="PT Astra Serif" w:eastAsia="Times New Roman"/>
          <w:sz w:val="24"/>
          <w:szCs w:val="24"/>
        </w:rPr>
        <w:t xml:space="preserve"> рублей (96,5% к 2022 году), выполнены работы: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Calibri"/>
          <w:sz w:val="24"/>
          <w:szCs w:val="24"/>
        </w:rPr>
        <w:t xml:space="preserve">–</w:t>
      </w:r>
      <w:r>
        <w:rPr>
          <w:rFonts w:ascii="PT Astra Serif" w:hAnsi="PT Astra Serif" w:eastAsia="Times New Roman"/>
          <w:sz w:val="24"/>
          <w:szCs w:val="24"/>
        </w:rPr>
        <w:t xml:space="preserve"> на Томской ГРЭС-2 реконструкция паропровода котла, модернизация оборудования автоматического химического контроля основного оборудования турбоагрегатов, реконструкция левого коллектора высо</w:t>
      </w:r>
      <w:r>
        <w:rPr>
          <w:rFonts w:ascii="PT Astra Serif" w:hAnsi="PT Astra Serif" w:eastAsia="Times New Roman"/>
          <w:sz w:val="24"/>
          <w:szCs w:val="24"/>
        </w:rPr>
        <w:t xml:space="preserve">кого давления поперечных связей;</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Calibri"/>
          <w:sz w:val="24"/>
          <w:szCs w:val="24"/>
        </w:rPr>
        <w:t xml:space="preserve">–</w:t>
      </w:r>
      <w:r>
        <w:rPr>
          <w:rFonts w:ascii="PT Astra Serif" w:hAnsi="PT Astra Serif" w:eastAsia="Times New Roman"/>
          <w:sz w:val="24"/>
          <w:szCs w:val="24"/>
        </w:rPr>
        <w:t xml:space="preserve"> на Томской ТЭЦ-3 модернизация программно-технического комплекса</w:t>
      </w:r>
      <w:r>
        <w:rPr>
          <w:rFonts w:ascii="PT Astra Serif" w:hAnsi="PT Astra Serif" w:eastAsia="Times New Roman"/>
          <w:sz w:val="24"/>
          <w:szCs w:val="24"/>
        </w:rPr>
        <w:t xml:space="preserve"> вибродиагностики турбоагрегата;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Calibri"/>
          <w:sz w:val="24"/>
          <w:szCs w:val="24"/>
        </w:rPr>
        <w:t xml:space="preserve">–</w:t>
      </w:r>
      <w:r>
        <w:rPr>
          <w:rFonts w:ascii="PT Astra Serif" w:hAnsi="PT Astra Serif" w:eastAsia="Times New Roman"/>
          <w:sz w:val="24"/>
          <w:szCs w:val="24"/>
        </w:rPr>
        <w:t xml:space="preserve"> на Томской ТЭЦ-1</w:t>
      </w:r>
      <w:r>
        <w:rPr>
          <w:rFonts w:ascii="PT Astra Serif" w:hAnsi="PT Astra Serif"/>
          <w:sz w:val="24"/>
          <w:szCs w:val="24"/>
        </w:rPr>
        <w:t xml:space="preserve"> </w:t>
      </w:r>
      <w:r>
        <w:rPr>
          <w:rFonts w:ascii="PT Astra Serif" w:hAnsi="PT Astra Serif" w:eastAsia="Times New Roman"/>
          <w:sz w:val="24"/>
          <w:szCs w:val="24"/>
        </w:rPr>
        <w:t xml:space="preserve">реконструкция системы газоснабжения котла.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720" w:leader="none"/>
        </w:tabs>
        <w:rPr>
          <w:rFonts w:ascii="PT Astra Serif" w:hAnsi="PT Astra Serif" w:eastAsia="Times New Roman"/>
          <w:sz w:val="24"/>
          <w:szCs w:val="24"/>
        </w:rPr>
      </w:pPr>
      <w:r>
        <w:rPr>
          <w:rFonts w:ascii="PT Astra Serif" w:hAnsi="PT Astra Serif" w:eastAsia="Calibri"/>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АО «ТомскРТС» освоено 507,7 млн рублей (132,6% к 2022 году), в том числе выполнен</w:t>
      </w:r>
      <w:r>
        <w:rPr>
          <w:rFonts w:ascii="PT Astra Serif" w:hAnsi="PT Astra Serif" w:eastAsia="Times New Roman"/>
          <w:sz w:val="24"/>
          <w:szCs w:val="24"/>
        </w:rPr>
        <w:t xml:space="preserve">о</w:t>
      </w:r>
      <w:r>
        <w:rPr>
          <w:rFonts w:ascii="PT Astra Serif" w:hAnsi="PT Astra Serif" w:eastAsia="Times New Roman"/>
          <w:sz w:val="24"/>
          <w:szCs w:val="24"/>
        </w:rPr>
        <w:t xml:space="preserve">: строительство тепловой магистрали подкачивающей насосной станцией для переключения нагрузки котельной по ул. Водяная, 80, над</w:t>
      </w:r>
      <w:r>
        <w:rPr>
          <w:rFonts w:ascii="PT Astra Serif" w:hAnsi="PT Astra Serif" w:eastAsia="Times New Roman"/>
          <w:sz w:val="24"/>
          <w:szCs w:val="24"/>
        </w:rPr>
        <w:t xml:space="preserve">е</w:t>
      </w:r>
      <w:r>
        <w:rPr>
          <w:rFonts w:ascii="PT Astra Serif" w:hAnsi="PT Astra Serif" w:eastAsia="Times New Roman"/>
          <w:sz w:val="24"/>
          <w:szCs w:val="24"/>
        </w:rPr>
        <w:t xml:space="preserve">жным теплоснабжением обеспечены 25 тысяч жителей микрорайона Черемошники, создана техническая возможность для подключения к теплоснабжению более 100 новых многоквартирных домов.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Введено в эксплуатацию 87,12 МВА трансформаторных мощностей, построено и реконструировано 189,97 км линий электропередач. Проведены работы по расчистке и расширению просек линий электропередачи в объеме более 3044 га.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Вопросы недопущения роста аварий в электросетевом комплексе и устранение их последствий находятся на постоянном контроле Штаба по обеспечению безопасности электроснабжения Томской области (далее </w:t>
      </w:r>
      <w:r>
        <w:rPr>
          <w:rFonts w:ascii="PT Astra Serif" w:hAnsi="PT Astra Serif" w:eastAsia="Calibri"/>
          <w:sz w:val="24"/>
          <w:szCs w:val="24"/>
        </w:rPr>
        <w:t xml:space="preserve">–</w:t>
      </w:r>
      <w:r>
        <w:rPr>
          <w:rFonts w:ascii="PT Astra Serif" w:hAnsi="PT Astra Serif" w:eastAsia="Times New Roman"/>
          <w:sz w:val="24"/>
          <w:szCs w:val="24"/>
        </w:rPr>
        <w:t xml:space="preserve"> Штаб). В 2023 году проведено 10 заседаний Штаба по рассмотрению вопросов выполнения мероприятий по пропуску паводковых вод, противопожарному сезону, выполнения ремонтных кампаний.</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trike/>
          <w:sz w:val="24"/>
          <w:szCs w:val="24"/>
        </w:rPr>
      </w:pPr>
      <w:r>
        <w:rPr>
          <w:rFonts w:ascii="PT Astra Serif" w:hAnsi="PT Astra Serif" w:eastAsia="Times New Roman"/>
          <w:sz w:val="24"/>
          <w:szCs w:val="24"/>
        </w:rPr>
        <w:t xml:space="preserve">Организациями энергетического комплекса были выполнены все запланированные ремонты основного оборудования на 2023 год. </w:t>
      </w:r>
      <w:r>
        <w:rPr>
          <w:rFonts w:ascii="PT Astra Serif" w:hAnsi="PT Astra Serif" w:eastAsia="Times New Roman"/>
          <w:strike/>
          <w:sz w:val="24"/>
          <w:szCs w:val="24"/>
        </w:rPr>
      </w:r>
      <w:r>
        <w:rPr>
          <w:rFonts w:ascii="PT Astra Serif" w:hAnsi="PT Astra Serif" w:eastAsia="Times New Roman"/>
          <w:strike/>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Решением Штаба создана комиссия по мониторингу и оценке готовности энергокомпаний к работе в отопительный сезон 2023</w:t>
      </w:r>
      <w:r>
        <w:rPr>
          <w:rFonts w:ascii="PT Astra Serif" w:hAnsi="PT Astra Serif" w:eastAsia="Times New Roman"/>
          <w:sz w:val="24"/>
          <w:szCs w:val="24"/>
        </w:rPr>
        <w:t xml:space="preserve"> </w:t>
      </w:r>
      <w:r>
        <w:rPr>
          <w:rFonts w:ascii="PT Astra Serif" w:hAnsi="PT Astra Serif" w:eastAsia="Calibri"/>
          <w:sz w:val="24"/>
          <w:szCs w:val="24"/>
        </w:rPr>
        <w:t xml:space="preserve">– </w:t>
      </w:r>
      <w:r>
        <w:rPr>
          <w:rFonts w:ascii="PT Astra Serif" w:hAnsi="PT Astra Serif" w:eastAsia="Times New Roman"/>
          <w:sz w:val="24"/>
          <w:szCs w:val="24"/>
        </w:rPr>
        <w:t xml:space="preserve">2024 годов. Все территориальные сетевые организации получили паспорта готовности, за исключением ООО «Сибирская электросеть», утратившей статус территориальной сетевой организации с 2024 года.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Для обеспечения электрической энергией социально значимых объектов подг</w:t>
      </w:r>
      <w:r>
        <w:rPr>
          <w:rFonts w:ascii="PT Astra Serif" w:hAnsi="PT Astra Serif" w:eastAsia="Times New Roman"/>
          <w:sz w:val="24"/>
          <w:szCs w:val="24"/>
        </w:rPr>
        <w:t xml:space="preserve">отовлены передвижные источники резервного электроснабжения мощностью от 30 до 400 кВт в количестве 29 единиц общей мощностью 3070 кВт. На случай аварийных отключений подготовлена специализированная техника и персонал. Аварийный запас укомплектован на 100%.</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trike/>
          <w:sz w:val="24"/>
          <w:szCs w:val="24"/>
        </w:rPr>
      </w:pPr>
      <w:r>
        <w:rPr>
          <w:rFonts w:ascii="PT Astra Serif" w:hAnsi="PT Astra Serif" w:eastAsia="Times New Roman"/>
          <w:sz w:val="24"/>
          <w:szCs w:val="24"/>
        </w:rPr>
        <w:t xml:space="preserve">На территории Томской области последовательно ведется работа по консолидации муниципальных электрических сетей и в настоящее время данная работа находится </w:t>
      </w:r>
      <w:r>
        <w:rPr>
          <w:rFonts w:ascii="PT Astra Serif" w:hAnsi="PT Astra Serif" w:eastAsia="Times New Roman"/>
          <w:sz w:val="24"/>
          <w:szCs w:val="24"/>
        </w:rPr>
        <w:t xml:space="preserve">на</w:t>
      </w:r>
      <w:r>
        <w:rPr>
          <w:rFonts w:ascii="PT Astra Serif" w:hAnsi="PT Astra Serif" w:eastAsia="Times New Roman"/>
          <w:sz w:val="24"/>
          <w:szCs w:val="24"/>
        </w:rPr>
        <w:t xml:space="preserve"> завершающей стадии. Мероприятия по продаже электросетевого комплекса осталось провести в Томском районе, Александровском сельском поселении и Колпашевском городском поселении.</w:t>
      </w:r>
      <w:r>
        <w:rPr>
          <w:rFonts w:ascii="PT Astra Serif" w:hAnsi="PT Astra Serif" w:eastAsia="Times New Roman"/>
          <w:strike/>
          <w:sz w:val="24"/>
          <w:szCs w:val="24"/>
        </w:rPr>
      </w:r>
      <w:r>
        <w:rPr>
          <w:rFonts w:ascii="PT Astra Serif" w:hAnsi="PT Astra Serif" w:eastAsia="Times New Roman"/>
          <w:strike/>
          <w:sz w:val="24"/>
          <w:szCs w:val="24"/>
        </w:rPr>
      </w:r>
    </w:p>
    <w:p>
      <w:pPr>
        <w:ind w:firstLine="709"/>
        <w:jc w:val="both"/>
        <w:spacing w:after="0" w:line="240" w:lineRule="auto"/>
        <w:widowControl w:val="off"/>
        <w:rPr>
          <w:rFonts w:ascii="PT Astra Serif" w:hAnsi="PT Astra Serif" w:eastAsia="Times New Roman"/>
          <w:sz w:val="24"/>
          <w:szCs w:val="24"/>
        </w:rPr>
      </w:pPr>
      <w:r>
        <w:rPr>
          <w:rFonts w:ascii="PT Astra Serif" w:hAnsi="PT Astra Serif" w:eastAsia="Times New Roman"/>
          <w:sz w:val="24"/>
          <w:szCs w:val="24"/>
        </w:rPr>
        <w:t xml:space="preserve">Компанией «Россети Томск» в рамках реализации концепции цифровой трансформации отрасли активно реализуются мероприятия по внедрению телемеханики, установке интеллектуальных приборов учета, мо</w:t>
      </w:r>
      <w:r>
        <w:rPr>
          <w:rFonts w:ascii="PT Astra Serif" w:hAnsi="PT Astra Serif" w:eastAsia="Times New Roman"/>
          <w:sz w:val="24"/>
          <w:szCs w:val="24"/>
        </w:rPr>
        <w:t xml:space="preserve">дернизации центров обработки данных по управлению электросетевыми объектами, замена систем хранения данных, активного сетевого и серверного оборудования, реализация модульного контейнерного исполнения, оборудованного необходимой инженерной инфраструктурой.</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В рамках реализации проекта «Модернизация ТЭЦ филиала АО «РИР» г. Северск» общий объем инвестиций по состоянию на 01.01.2024 составил 4,5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Комплексный проект техперевооружения станции стоимостью 9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 </w:t>
      </w:r>
      <w:r>
        <w:rPr>
          <w:rFonts w:ascii="PT Astra Serif" w:hAnsi="PT Astra Serif" w:eastAsia="Times New Roman"/>
          <w:sz w:val="24"/>
          <w:szCs w:val="24"/>
        </w:rPr>
        <w:t xml:space="preserve">АО </w:t>
      </w:r>
      <w:r>
        <w:rPr>
          <w:rFonts w:ascii="PT Astra Serif" w:hAnsi="PT Astra Serif" w:eastAsia="Times New Roman"/>
          <w:sz w:val="24"/>
          <w:szCs w:val="24"/>
        </w:rPr>
        <w:t xml:space="preserve">«</w:t>
      </w:r>
      <w:r>
        <w:rPr>
          <w:rFonts w:ascii="PT Astra Serif" w:hAnsi="PT Astra Serif" w:eastAsia="Times New Roman"/>
          <w:sz w:val="24"/>
          <w:szCs w:val="24"/>
        </w:rPr>
        <w:t xml:space="preserve">РИР</w:t>
      </w:r>
      <w:r>
        <w:rPr>
          <w:rFonts w:ascii="PT Astra Serif" w:hAnsi="PT Astra Serif" w:eastAsia="Times New Roman"/>
          <w:sz w:val="24"/>
          <w:szCs w:val="24"/>
        </w:rPr>
        <w:t xml:space="preserve">» реализует с 20</w:t>
      </w:r>
      <w:r>
        <w:rPr>
          <w:rFonts w:ascii="PT Astra Serif" w:hAnsi="PT Astra Serif" w:eastAsia="Times New Roman"/>
          <w:sz w:val="24"/>
          <w:szCs w:val="24"/>
        </w:rPr>
        <w:t xml:space="preserve">20 года. Модернизация станции включает реконструкцию десяти котлоагрегатов второй очереди, установку двух новых паровых турбин, вспомогательного оборудования и современной системы очистки дымовых газов. Все новое оборудование — отечественного производства.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В настоящее время в котельном цехе смонтировано около 90% оборудования котлоагрегата № 13, который планируется ввести в эксплуатацию в 2024 году.</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В 2023 году в Томской области утверждена первая в России Региональная программа повышени</w:t>
      </w:r>
      <w:r>
        <w:rPr>
          <w:rFonts w:ascii="PT Astra Serif" w:hAnsi="PT Astra Serif" w:eastAsia="Times New Roman"/>
          <w:sz w:val="24"/>
          <w:szCs w:val="24"/>
        </w:rPr>
        <w:t xml:space="preserve">я объемов утилизации золошлаковых отходов V класса опасности в Томской области, направленная на сокращение доли земель, нарушенных складированием золошлаковых отходов, повышение экономической эффективности использования продуктов сжигания твердого топлива.</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В 2023 году в Томской области утилизированы путем переработки 1 585 тонн отходов </w:t>
      </w:r>
      <w:r>
        <w:rPr>
          <w:rFonts w:ascii="PT Astra Serif" w:hAnsi="PT Astra Serif" w:eastAsia="Calibri"/>
          <w:sz w:val="24"/>
          <w:szCs w:val="24"/>
        </w:rPr>
        <w:t xml:space="preserve">–</w:t>
      </w:r>
      <w:r>
        <w:rPr>
          <w:rFonts w:ascii="PT Astra Serif" w:hAnsi="PT Astra Serif" w:eastAsia="Times New Roman"/>
          <w:sz w:val="24"/>
          <w:szCs w:val="24"/>
        </w:rPr>
        <w:t xml:space="preserve"> 2,6% в об</w:t>
      </w:r>
      <w:r>
        <w:rPr>
          <w:rFonts w:ascii="PT Astra Serif" w:hAnsi="PT Astra Serif" w:eastAsia="Times New Roman"/>
          <w:sz w:val="24"/>
          <w:szCs w:val="24"/>
        </w:rPr>
        <w:t xml:space="preserve">щем объеме ежегодно образованных тепловыми электростанциями продуктов сжигания твердого топлива (золошлаков), что обусловлено низкой внедренческой активностью использования отходов в строительной отрасли, включая дорожное строительство, и в сфере экологии.</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1. Продолжение реализации проекта по модернизации Северской ТЭЦ.</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2. Формирование Реестра генерирующих объектов, функционирующих на основе использования возобновляемых источников энергии.</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3. Подготовка энергокомплекса к осенне-зимнему периоду и обеспечение безопасности энергоснабжения, получение компаниями энергетической отрасли паспортов готовности к работе в зимний период.</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4. Продолжение работы по консолидации бесхозяйных и муниципальных электросетевых активов.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5. Продолжение цифровизации энергетической отрасли, в том числе путем оборудования электросетевого хозяйства системами телемеханики и интеллектуальными приборами учета, а также модернизации центров обработки данных по управлению электросетевыми объектами.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6. Продолжение работы по сокращению доли земель, нарушенных складированием золошлаковых отходов</w:t>
      </w:r>
      <w:r>
        <w:rPr>
          <w:rFonts w:ascii="PT Astra Serif" w:hAnsi="PT Astra Serif" w:eastAsia="Times New Roman"/>
          <w:sz w:val="24"/>
          <w:szCs w:val="24"/>
        </w:rPr>
        <w:t xml:space="preserve">,</w:t>
      </w:r>
      <w:r>
        <w:rPr>
          <w:rFonts w:ascii="PT Astra Serif" w:hAnsi="PT Astra Serif" w:eastAsia="Times New Roman"/>
          <w:sz w:val="24"/>
          <w:szCs w:val="24"/>
        </w:rPr>
        <w:t xml:space="preserve"> в рамках реализации Региональной программы повышения объемов утилизации золошлаковых отходов V класса опасности в Томской области.</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shd w:val="clear" w:color="auto" w:fill="eaf1dd" w:themeFill="accent3" w:themeFillTint="33"/>
        <w:rPr>
          <w:rFonts w:ascii="PT Astra Serif" w:hAnsi="PT Astra Serif"/>
          <w:b/>
          <w:sz w:val="24"/>
          <w:szCs w:val="24"/>
        </w:rPr>
      </w:pPr>
      <w:r>
        <w:rPr>
          <w:rFonts w:ascii="PT Astra Serif" w:hAnsi="PT Astra Serif"/>
          <w:b/>
          <w:sz w:val="24"/>
          <w:szCs w:val="24"/>
        </w:rPr>
        <w:t xml:space="preserve">Газовый комплекс</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На 1 января 2024 года число абонентов физических лиц, использующих природный газ для бытовых нужд, составило 53 112 абонент</w:t>
      </w:r>
      <w:r>
        <w:rPr>
          <w:rFonts w:ascii="PT Astra Serif" w:hAnsi="PT Astra Serif"/>
          <w:sz w:val="24"/>
          <w:szCs w:val="24"/>
        </w:rPr>
        <w:t xml:space="preserve">ов</w:t>
      </w:r>
      <w:r>
        <w:rPr>
          <w:rFonts w:ascii="PT Astra Serif" w:hAnsi="PT Astra Serif"/>
          <w:sz w:val="24"/>
          <w:szCs w:val="24"/>
        </w:rPr>
        <w:t xml:space="preserve">, прирост за год составил 3</w:t>
      </w:r>
      <w:r>
        <w:rPr>
          <w:rFonts w:ascii="PT Astra Serif" w:hAnsi="PT Astra Serif"/>
          <w:sz w:val="24"/>
          <w:szCs w:val="24"/>
        </w:rPr>
        <w:t xml:space="preserve"> 218 </w:t>
      </w:r>
      <w:r>
        <w:rPr>
          <w:rFonts w:ascii="PT Astra Serif" w:hAnsi="PT Astra Serif"/>
          <w:sz w:val="24"/>
          <w:szCs w:val="24"/>
        </w:rPr>
        <w:t xml:space="preserve">абонент</w:t>
      </w:r>
      <w:r>
        <w:rPr>
          <w:rFonts w:ascii="PT Astra Serif" w:hAnsi="PT Astra Serif"/>
          <w:sz w:val="24"/>
          <w:szCs w:val="24"/>
        </w:rPr>
        <w:t xml:space="preserve">ов</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Для обеспечения технической возможности подключения к сети газоснабжения за 2023 год построено более 500 км распределительных газопроводов и газопроводов-вводов. Уровень газификации региона природным газом на 1 января 2024 года составляет 48,5%.</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tbl>
      <w:tblPr>
        <w:tblStyle w:val="1142"/>
        <w:tblpPr w:horzAnchor="margin" w:tblpXSpec="left" w:vertAnchor="text" w:tblpY="86" w:leftFromText="180" w:topFromText="0" w:rightFromText="180" w:bottomFromText="0"/>
        <w:tblW w:w="0" w:type="auto"/>
        <w:tblBorders>
          <w:top w:val="single" w:color="00B050" w:sz="4" w:space="0"/>
          <w:left w:val="single" w:color="00B050" w:sz="4" w:space="0"/>
          <w:bottom w:val="single" w:color="00B050" w:sz="4" w:space="0"/>
          <w:right w:val="single" w:color="00B050" w:sz="4" w:space="0"/>
          <w:insideH w:val="single" w:color="00B050" w:sz="4" w:space="0"/>
          <w:insideV w:val="single" w:color="00B050" w:sz="4" w:space="0"/>
        </w:tblBorders>
        <w:tblLook w:val="04A0" w:firstRow="1" w:lastRow="0" w:firstColumn="1" w:lastColumn="0" w:noHBand="0" w:noVBand="1"/>
      </w:tblPr>
      <w:tblGrid>
        <w:gridCol w:w="9571"/>
      </w:tblGrid>
      <w:tr>
        <w:tblPrEx/>
        <w:trPr>
          <w:trHeight w:val="632"/>
        </w:trPr>
        <w:tc>
          <w:tcPr>
            <w:tcBorders>
              <w:top w:val="single" w:color="00B050" w:sz="4" w:space="0"/>
              <w:left w:val="single" w:color="00B050" w:sz="4" w:space="0"/>
              <w:bottom w:val="single" w:color="00B050" w:sz="4" w:space="0"/>
              <w:right w:val="single" w:color="00B050" w:sz="4" w:space="0"/>
            </w:tcBorders>
            <w:tcW w:w="9571" w:type="dxa"/>
            <w:textDirection w:val="lrTb"/>
            <w:noWrap w:val="false"/>
          </w:tcPr>
          <w:p>
            <w:pPr>
              <w:ind w:firstLine="709"/>
              <w:jc w:val="center"/>
              <w:rPr>
                <w:rFonts w:ascii="PT Astra Serif" w:hAnsi="PT Astra Serif"/>
                <w:b/>
                <w:sz w:val="24"/>
                <w:szCs w:val="24"/>
              </w:rPr>
            </w:pPr>
            <w:r>
              <w:rPr>
                <w:rFonts w:ascii="PT Astra Serif" w:hAnsi="PT Astra Serif"/>
                <w:b/>
                <w:sz w:val="24"/>
                <w:szCs w:val="24"/>
              </w:rPr>
              <w:t xml:space="preserve">Среди регионов СФО Томская область занимает 3-е место в рейтинге по потенциалу догазификации</w:t>
            </w:r>
            <w:r>
              <w:rPr>
                <w:rFonts w:ascii="PT Astra Serif" w:hAnsi="PT Astra Serif"/>
                <w:b/>
                <w:sz w:val="24"/>
                <w:szCs w:val="24"/>
              </w:rPr>
            </w:r>
            <w:r>
              <w:rPr>
                <w:rFonts w:ascii="PT Astra Serif" w:hAnsi="PT Astra Serif"/>
                <w:b/>
                <w:sz w:val="24"/>
                <w:szCs w:val="24"/>
              </w:rPr>
            </w:r>
          </w:p>
        </w:tc>
      </w:tr>
    </w:tbl>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Реализация мероприятий по газификации региона осуществляется в рамках государственных программ Томской области «Развитие коммунальной инфраструктуры в Томской области», «Региональной программы га</w:t>
      </w:r>
      <w:r>
        <w:rPr>
          <w:rFonts w:ascii="PT Astra Serif" w:hAnsi="PT Astra Serif"/>
          <w:sz w:val="24"/>
          <w:szCs w:val="24"/>
        </w:rPr>
        <w:t xml:space="preserve">зификации жилищно-коммунального хозяйства, промышленных и иных организаций Томской области», «Комплексное развитие сельских территорий Томской области» и программы развития газоснабжения и газификации Томской области, реализуемой совместно с ПАО «Газпром».</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осуществлялось проектирование котельной «Строительство газовой котельной для ОГАУ «Дом социального обслуживания «Забота». Строительство объекта будет обеспечено в 2024 году.</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Для проведения модернизации системы теплоснабжения с. Первомайско</w:t>
      </w:r>
      <w:r>
        <w:rPr>
          <w:rFonts w:ascii="PT Astra Serif" w:hAnsi="PT Astra Serif"/>
          <w:sz w:val="24"/>
          <w:szCs w:val="24"/>
        </w:rPr>
        <w:t xml:space="preserve">го</w:t>
      </w:r>
      <w:r>
        <w:rPr>
          <w:rFonts w:ascii="PT Astra Serif" w:hAnsi="PT Astra Serif"/>
          <w:sz w:val="24"/>
          <w:szCs w:val="24"/>
        </w:rPr>
        <w:t xml:space="preserve"> заключено концессионное  соглашение, в результате которого в 2023 году переведено 10 котельных на природный газ.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завершился муниципальный контракт на строительство первого этапа сетей газоснабжения протяженностью 17,9 км (257 домовладений) в с. Зырянско</w:t>
      </w:r>
      <w:r>
        <w:rPr>
          <w:rFonts w:ascii="PT Astra Serif" w:hAnsi="PT Astra Serif"/>
          <w:sz w:val="24"/>
          <w:szCs w:val="24"/>
        </w:rPr>
        <w:t xml:space="preserve">м</w:t>
      </w:r>
      <w:r>
        <w:rPr>
          <w:rFonts w:ascii="PT Astra Serif" w:hAnsi="PT Astra Serif"/>
          <w:sz w:val="24"/>
          <w:szCs w:val="24"/>
        </w:rPr>
        <w:t xml:space="preserve">.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рамках проекта «Социальная газификация» заключено 5,1 тыс. договоров, обеспечена техническая возможность подключения 10,8 тыс. ед., выполнено подключений к сетям 2,7 тыс. ед.</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Оказана поддержка ООО «Торговый дом ОАО «Томскоблгаз» для обеспечения бесперебойности поставок сжиженного углеводородного газа (далее – СУГ) населению Томской области для бытовых нужд по регулируемым ценам.</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1. Продолжение реализации проекта «Социальная газификация».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2. Продолжение реализации совместной с ПАО «Газпром» Программы по развитию газоснабжения и газификации Томской области на период 2021 – 2025 годов.</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3. Реализация региональной программы газификации Томской области в 2024</w:t>
      </w:r>
      <w:r>
        <w:rPr>
          <w:rFonts w:ascii="PT Astra Serif" w:hAnsi="PT Astra Serif"/>
          <w:sz w:val="24"/>
          <w:szCs w:val="24"/>
        </w:rPr>
        <w:t xml:space="preserve"> </w:t>
      </w:r>
      <w:r>
        <w:rPr>
          <w:rFonts w:ascii="PT Astra Serif" w:hAnsi="PT Astra Serif" w:eastAsia="Calibri"/>
          <w:sz w:val="24"/>
          <w:szCs w:val="24"/>
        </w:rPr>
        <w:t xml:space="preserve">– </w:t>
      </w:r>
      <w:r>
        <w:rPr>
          <w:rFonts w:ascii="PT Astra Serif" w:hAnsi="PT Astra Serif"/>
          <w:sz w:val="24"/>
          <w:szCs w:val="24"/>
        </w:rPr>
        <w:t xml:space="preserve">2033 годов.</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shd w:val="clear" w:color="auto" w:fill="eaf1dd" w:themeFill="accent3" w:themeFillTint="33"/>
        <w:tabs>
          <w:tab w:val="left" w:pos="4962" w:leader="none"/>
        </w:tabs>
        <w:rPr>
          <w:rFonts w:ascii="PT Astra Serif" w:hAnsi="PT Astra Serif" w:eastAsia="Times New Roman"/>
          <w:b/>
          <w:sz w:val="24"/>
          <w:szCs w:val="24"/>
        </w:rPr>
      </w:pPr>
      <w:r>
        <w:rPr>
          <w:rFonts w:ascii="PT Astra Serif" w:hAnsi="PT Astra Serif" w:eastAsia="Times New Roman"/>
          <w:b/>
          <w:sz w:val="24"/>
          <w:szCs w:val="24"/>
          <w:shd w:val="clear" w:color="auto" w:fill="eaf1dd" w:themeFill="accent3" w:themeFillTint="33"/>
        </w:rPr>
        <w:t xml:space="preserve">Тарифная политика</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Задачей органа </w:t>
      </w:r>
      <w:r>
        <w:rPr>
          <w:rFonts w:ascii="PT Astra Serif" w:hAnsi="PT Astra Serif"/>
          <w:sz w:val="24"/>
          <w:szCs w:val="24"/>
        </w:rPr>
        <w:t xml:space="preserve">тарифного регулирования Томской области является принятие тарифных решений на основе соблюдения баланса экономических интересов потребителей и поставщиков на регулируемых рынках товаров и услуг, обеспечивающего доступность для потребителей товаров и услуг,</w:t>
      </w:r>
      <w:r>
        <w:rPr>
          <w:rFonts w:ascii="PT Astra Serif" w:hAnsi="PT Astra Serif"/>
          <w:sz w:val="24"/>
          <w:szCs w:val="24"/>
        </w:rPr>
        <w:t xml:space="preserve"> реализуемых субъектами регулирования, с учетом предельных (максимальных) индексов изменения размера вносимой гражданами платы за коммунальные услуги (электроснабжение, газоснабжение, отопление, горячее водоснабжение, холодное водоснабжение, водоотведение)</w:t>
      </w:r>
      <w:r>
        <w:rPr>
          <w:rFonts w:ascii="PT Astra Serif" w:hAnsi="PT Astra Serif"/>
          <w:sz w:val="24"/>
          <w:szCs w:val="24"/>
        </w:rPr>
        <w:t xml:space="preserve">,</w:t>
      </w:r>
      <w:r>
        <w:rPr>
          <w:rFonts w:ascii="PT Astra Serif" w:hAnsi="PT Astra Serif"/>
          <w:sz w:val="24"/>
          <w:szCs w:val="24"/>
        </w:rPr>
        <w:t xml:space="preserve"> установленных для Томской области – Правительством Российской Федерации и для муниципальных образований – Губернатором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trike/>
          <w:sz w:val="24"/>
          <w:szCs w:val="24"/>
        </w:rPr>
      </w:pPr>
      <w:r>
        <w:rPr>
          <w:rFonts w:ascii="PT Astra Serif" w:hAnsi="PT Astra Serif"/>
          <w:sz w:val="24"/>
          <w:szCs w:val="24"/>
        </w:rPr>
        <w:t xml:space="preserve">Расчет тарифов на коммунальные услуги осуществлялся с учетом предельных (максимал</w:t>
      </w:r>
      <w:r>
        <w:rPr>
          <w:rFonts w:ascii="PT Astra Serif" w:hAnsi="PT Astra Serif"/>
          <w:sz w:val="24"/>
          <w:szCs w:val="24"/>
        </w:rPr>
        <w:t xml:space="preserve">ьных) индексов изменения размера вносимой гражданами платы за коммунальные услуги. В соответствии с требованиями постановления Правительства Российской Федерации от 14.11.2022 № 2053 «Об особенностях индексации регулируемых цен (тарифов) с 1 декабря 2022 г</w:t>
      </w:r>
      <w:r>
        <w:rPr>
          <w:rFonts w:ascii="PT Astra Serif" w:hAnsi="PT Astra Serif"/>
          <w:sz w:val="24"/>
          <w:szCs w:val="24"/>
        </w:rPr>
        <w:t xml:space="preserve">ода</w:t>
      </w:r>
      <w:r>
        <w:rPr>
          <w:rFonts w:ascii="PT Astra Serif" w:hAnsi="PT Astra Serif"/>
          <w:sz w:val="24"/>
          <w:szCs w:val="24"/>
        </w:rPr>
        <w:t xml:space="preserve"> по 31 декабря 2023 г</w:t>
      </w:r>
      <w:r>
        <w:rPr>
          <w:rFonts w:ascii="PT Astra Serif" w:hAnsi="PT Astra Serif"/>
          <w:sz w:val="24"/>
          <w:szCs w:val="24"/>
        </w:rPr>
        <w:t xml:space="preserve">ода</w:t>
      </w:r>
      <w:r>
        <w:rPr>
          <w:rFonts w:ascii="PT Astra Serif" w:hAnsi="PT Astra Serif"/>
          <w:sz w:val="24"/>
          <w:szCs w:val="24"/>
        </w:rPr>
        <w:t xml:space="preserve"> и внесении изменений в отдельные акты Прав</w:t>
      </w:r>
      <w:r>
        <w:rPr>
          <w:rFonts w:ascii="PT Astra Serif" w:hAnsi="PT Astra Serif"/>
          <w:sz w:val="24"/>
          <w:szCs w:val="24"/>
        </w:rPr>
        <w:t xml:space="preserve">ительства Российской Федерации»</w:t>
      </w:r>
      <w:r>
        <w:rPr>
          <w:rFonts w:ascii="PT Astra Serif" w:hAnsi="PT Astra Serif"/>
          <w:sz w:val="24"/>
          <w:szCs w:val="24"/>
        </w:rPr>
        <w:t xml:space="preserve"> в 2023</w:t>
      </w:r>
      <w:r>
        <w:rPr>
          <w:rFonts w:ascii="PT Astra Serif" w:hAnsi="PT Astra Serif"/>
          <w:sz w:val="24"/>
          <w:szCs w:val="24"/>
        </w:rPr>
        <w:t xml:space="preserve"> году</w:t>
      </w:r>
      <w:r>
        <w:rPr>
          <w:rFonts w:ascii="PT Astra Serif" w:hAnsi="PT Astra Serif"/>
          <w:sz w:val="24"/>
          <w:szCs w:val="24"/>
        </w:rPr>
        <w:t xml:space="preserve"> тарифы на коммунальные услуги, установленные для ресурсоснабжающих организаций Томской области, оставались не</w:t>
      </w:r>
      <w:r>
        <w:rPr>
          <w:rFonts w:ascii="PT Astra Serif" w:hAnsi="PT Astra Serif"/>
          <w:sz w:val="24"/>
          <w:szCs w:val="24"/>
        </w:rPr>
        <w:t xml:space="preserve"> </w:t>
      </w:r>
      <w:r>
        <w:rPr>
          <w:rFonts w:ascii="PT Astra Serif" w:hAnsi="PT Astra Serif"/>
          <w:sz w:val="24"/>
          <w:szCs w:val="24"/>
        </w:rPr>
        <w:t xml:space="preserve">изменными в течение года.</w:t>
      </w:r>
      <w:r>
        <w:rPr>
          <w:rFonts w:ascii="PT Astra Serif" w:hAnsi="PT Astra Serif"/>
          <w:strike/>
          <w:sz w:val="24"/>
          <w:szCs w:val="24"/>
        </w:rPr>
      </w:r>
      <w:r>
        <w:rPr>
          <w:rFonts w:ascii="PT Astra Serif" w:hAnsi="PT Astra Serif"/>
          <w:strike/>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Проведена экспертиза и установлено 495 тарифов на услуги 170 организаций, </w:t>
      </w:r>
      <w:r>
        <w:rPr>
          <w:rFonts w:ascii="PT Astra Serif" w:hAnsi="PT Astra Serif"/>
          <w:sz w:val="24"/>
          <w:szCs w:val="24"/>
        </w:rPr>
        <w:t xml:space="preserve">осуществляющих регулируемые виды деятельности на территории Томской области, в том числе 13 решений об установлении платы за технологическое присоединение. Утверждено 19 льготных тарифов для населения в сферах теплоснабжения, водоснабжения и водоотведения.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Проанализированы и сохранены без изменения размеры надбавок на жизненно необходимые и важнейшие лекарственные препараты, а также оптовых надбавок к фактическим отпускным ценам на</w:t>
      </w:r>
      <w:r>
        <w:rPr>
          <w:rFonts w:ascii="PT Astra Serif" w:hAnsi="PT Astra Serif"/>
          <w:sz w:val="24"/>
          <w:szCs w:val="24"/>
        </w:rPr>
        <w:t xml:space="preserve"> медицинские изделия, включенные в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на территории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Предельные размеры платы за проведение технического осмотра транспортных средств на 2024 год проиндексированы на 11,94%.</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С 01.01.2023 экономически обоснованные тарифы на услуги по перевозке пассажиров и багажа железнодорожным транспортом общего пользования в пригородном сообщении на территории Томской области по маршрутам «Тайга </w:t>
      </w:r>
      <w:r>
        <w:rPr>
          <w:rFonts w:ascii="PT Astra Serif" w:hAnsi="PT Astra Serif" w:eastAsia="Calibri"/>
          <w:sz w:val="24"/>
          <w:szCs w:val="24"/>
        </w:rPr>
        <w:t xml:space="preserve">–</w:t>
      </w:r>
      <w:r>
        <w:rPr>
          <w:rFonts w:ascii="PT Astra Serif" w:hAnsi="PT Astra Serif"/>
          <w:sz w:val="24"/>
          <w:szCs w:val="24"/>
        </w:rPr>
        <w:t xml:space="preserve"> Томск-2» и «Томск-2 </w:t>
      </w:r>
      <w:r>
        <w:rPr>
          <w:rFonts w:ascii="PT Astra Serif" w:hAnsi="PT Astra Serif" w:eastAsia="Calibri"/>
          <w:sz w:val="24"/>
          <w:szCs w:val="24"/>
        </w:rPr>
        <w:t xml:space="preserve">–</w:t>
      </w:r>
      <w:r>
        <w:rPr>
          <w:rFonts w:ascii="PT Astra Serif" w:hAnsi="PT Astra Serif"/>
          <w:sz w:val="24"/>
          <w:szCs w:val="24"/>
        </w:rPr>
        <w:t xml:space="preserve"> Асино» увеличены на 23,9% по сравнению с 2022 г</w:t>
      </w:r>
      <w:r>
        <w:rPr>
          <w:rFonts w:ascii="PT Astra Serif" w:hAnsi="PT Astra Serif"/>
          <w:sz w:val="24"/>
          <w:szCs w:val="24"/>
        </w:rPr>
        <w:t xml:space="preserve">одом, тарифы для населения – на 9%. На компенсацию разницы между утвержденными экономически обоснованными тарифами и тарифами для населения перевозчику АО «Кузбасс-Пригород» в 2023 году из областного бюджета выплачена субсидия в размере 36 175,207 тыс. руб</w:t>
      </w:r>
      <w:r>
        <w:rPr>
          <w:rFonts w:ascii="PT Astra Serif" w:hAnsi="PT Astra Serif"/>
          <w:sz w:val="24"/>
          <w:szCs w:val="24"/>
        </w:rPr>
        <w:t xml:space="preserve">лей</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утверждены инвестиционные программы в сфере электроэнергетики для ООО «Томские электрические сети» на 2024</w:t>
      </w:r>
      <w:r>
        <w:rPr>
          <w:rFonts w:ascii="PT Astra Serif" w:hAnsi="PT Astra Serif"/>
          <w:sz w:val="24"/>
          <w:szCs w:val="24"/>
        </w:rPr>
        <w:t xml:space="preserve"> </w:t>
      </w:r>
      <w:r>
        <w:rPr>
          <w:rFonts w:ascii="PT Astra Serif" w:hAnsi="PT Astra Serif" w:eastAsia="Calibri"/>
          <w:sz w:val="24"/>
          <w:szCs w:val="24"/>
        </w:rPr>
        <w:t xml:space="preserve">– </w:t>
      </w:r>
      <w:r>
        <w:rPr>
          <w:rFonts w:ascii="PT Astra Serif" w:hAnsi="PT Astra Serif"/>
          <w:sz w:val="24"/>
          <w:szCs w:val="24"/>
        </w:rPr>
        <w:t xml:space="preserve">2028 годы, АО «Томская энергосбытовая компания» на 2024</w:t>
      </w:r>
      <w:r>
        <w:rPr>
          <w:rFonts w:ascii="PT Astra Serif" w:hAnsi="PT Astra Serif"/>
          <w:sz w:val="24"/>
          <w:szCs w:val="24"/>
        </w:rPr>
        <w:t xml:space="preserve"> </w:t>
      </w:r>
      <w:r>
        <w:rPr>
          <w:rFonts w:ascii="PT Astra Serif" w:hAnsi="PT Astra Serif" w:eastAsia="Calibri"/>
          <w:sz w:val="24"/>
          <w:szCs w:val="24"/>
        </w:rPr>
        <w:t xml:space="preserve">– </w:t>
      </w:r>
      <w:r>
        <w:rPr>
          <w:rFonts w:ascii="PT Astra Serif" w:hAnsi="PT Astra Serif"/>
          <w:sz w:val="24"/>
          <w:szCs w:val="24"/>
        </w:rPr>
        <w:t xml:space="preserve">2026 годы; в сфере теплоснабжения для АО</w:t>
      </w:r>
      <w:r>
        <w:rPr>
          <w:rFonts w:ascii="PT Astra Serif" w:hAnsi="PT Astra Serif"/>
          <w:sz w:val="24"/>
          <w:szCs w:val="24"/>
        </w:rPr>
        <w:t xml:space="preserve"> </w:t>
      </w:r>
      <w:r>
        <w:rPr>
          <w:rFonts w:ascii="PT Astra Serif" w:hAnsi="PT Astra Serif"/>
          <w:sz w:val="24"/>
          <w:szCs w:val="24"/>
        </w:rPr>
        <w:t xml:space="preserve">«Томская Генерация» на 2024</w:t>
      </w:r>
      <w:r>
        <w:rPr>
          <w:rFonts w:ascii="PT Astra Serif" w:hAnsi="PT Astra Serif"/>
          <w:sz w:val="24"/>
          <w:szCs w:val="24"/>
        </w:rPr>
        <w:t xml:space="preserve"> </w:t>
      </w:r>
      <w:r>
        <w:rPr>
          <w:rFonts w:ascii="PT Astra Serif" w:hAnsi="PT Astra Serif" w:eastAsia="Calibri"/>
          <w:sz w:val="24"/>
          <w:szCs w:val="24"/>
        </w:rPr>
        <w:t xml:space="preserve">– </w:t>
      </w:r>
      <w:r>
        <w:rPr>
          <w:rFonts w:ascii="PT Astra Serif" w:hAnsi="PT Astra Serif"/>
          <w:sz w:val="24"/>
          <w:szCs w:val="24"/>
        </w:rPr>
        <w:t xml:space="preserve">2028 годы, АО «ТомскРТС» на 2024</w:t>
      </w:r>
      <w:r>
        <w:rPr>
          <w:rFonts w:ascii="PT Astra Serif" w:hAnsi="PT Astra Serif"/>
          <w:sz w:val="24"/>
          <w:szCs w:val="24"/>
        </w:rPr>
        <w:t xml:space="preserve"> </w:t>
      </w:r>
      <w:r>
        <w:rPr>
          <w:rFonts w:ascii="PT Astra Serif" w:hAnsi="PT Astra Serif" w:eastAsia="Calibri"/>
          <w:sz w:val="24"/>
          <w:szCs w:val="24"/>
        </w:rPr>
        <w:t xml:space="preserve">– </w:t>
      </w:r>
      <w:r>
        <w:rPr>
          <w:rFonts w:ascii="PT Astra Serif" w:hAnsi="PT Astra Serif"/>
          <w:sz w:val="24"/>
          <w:szCs w:val="24"/>
        </w:rPr>
        <w:t xml:space="preserve">2028 годы, АО</w:t>
      </w:r>
      <w:r>
        <w:rPr>
          <w:rFonts w:ascii="PT Astra Serif" w:hAnsi="PT Astra Serif"/>
          <w:sz w:val="24"/>
          <w:szCs w:val="24"/>
        </w:rPr>
        <w:t xml:space="preserve"> </w:t>
      </w:r>
      <w:r>
        <w:rPr>
          <w:rFonts w:ascii="PT Astra Serif" w:hAnsi="PT Astra Serif"/>
          <w:sz w:val="24"/>
          <w:szCs w:val="24"/>
        </w:rPr>
        <w:t xml:space="preserve">«Русатом инфраструктурные решения» Филиал в г. Северск на 2024</w:t>
      </w:r>
      <w:r>
        <w:rPr>
          <w:rFonts w:ascii="PT Astra Serif" w:hAnsi="PT Astra Serif"/>
          <w:sz w:val="24"/>
          <w:szCs w:val="24"/>
        </w:rPr>
        <w:t xml:space="preserve"> </w:t>
      </w:r>
      <w:r>
        <w:rPr>
          <w:rFonts w:ascii="PT Astra Serif" w:hAnsi="PT Astra Serif" w:eastAsia="Calibri"/>
          <w:sz w:val="24"/>
          <w:szCs w:val="24"/>
        </w:rPr>
        <w:t xml:space="preserve">– </w:t>
      </w:r>
      <w:r>
        <w:rPr>
          <w:rFonts w:ascii="PT Astra Serif" w:hAnsi="PT Astra Serif"/>
          <w:sz w:val="24"/>
          <w:szCs w:val="24"/>
        </w:rPr>
        <w:t xml:space="preserve">2026 годы; в сфере водоснабжения и водоотведения для ООО «Томскводоканал» на 2024</w:t>
      </w:r>
      <w:r>
        <w:rPr>
          <w:rFonts w:ascii="PT Astra Serif" w:hAnsi="PT Astra Serif"/>
          <w:sz w:val="24"/>
          <w:szCs w:val="24"/>
        </w:rPr>
        <w:t xml:space="preserve"> </w:t>
      </w:r>
      <w:r>
        <w:rPr>
          <w:rFonts w:ascii="PT Astra Serif" w:hAnsi="PT Astra Serif" w:eastAsia="Calibri"/>
          <w:sz w:val="24"/>
          <w:szCs w:val="24"/>
        </w:rPr>
        <w:t xml:space="preserve">–</w:t>
      </w:r>
      <w:r>
        <w:t xml:space="preserve"> </w:t>
      </w:r>
      <w:r>
        <w:rPr>
          <w:rFonts w:ascii="PT Astra Serif" w:hAnsi="PT Astra Serif"/>
          <w:sz w:val="24"/>
          <w:szCs w:val="24"/>
        </w:rPr>
        <w:t xml:space="preserve">2028 годы, АО «Северский водоканал» на 2024</w:t>
      </w:r>
      <w:r>
        <w:rPr>
          <w:rFonts w:ascii="PT Astra Serif" w:hAnsi="PT Astra Serif"/>
          <w:sz w:val="24"/>
          <w:szCs w:val="24"/>
        </w:rPr>
        <w:t xml:space="preserve"> </w:t>
      </w:r>
      <w:r>
        <w:rPr>
          <w:rFonts w:ascii="PT Astra Serif" w:hAnsi="PT Astra Serif" w:eastAsia="Calibri"/>
          <w:sz w:val="24"/>
          <w:szCs w:val="24"/>
        </w:rPr>
        <w:t xml:space="preserve">– </w:t>
      </w:r>
      <w:r>
        <w:rPr>
          <w:rFonts w:ascii="PT Astra Serif" w:hAnsi="PT Astra Serif"/>
          <w:sz w:val="24"/>
          <w:szCs w:val="24"/>
        </w:rPr>
        <w:t xml:space="preserve">2028 годы, ООО «Городские очистные сооружения» на 2024-2028 годы.</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Скорректированы инвестиционные программы:</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 территориальных сетевых организаций: ООО «Горсети», Филиал «Забайкальский» АО «Оборонэнерго», ООО «Электросети», ООО «Томские электрические сети», ОАО «РЖД»;</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 организаций, оказывающих услуги в сфере теплоснабжения: АО «Томская генерация», АО «ТомскРТС», АО «Русатом Инфраструктурные решения»;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 организаций, оказывающих услуги в сфере водоснабжения и водоотведения: ООО «Томскводоканал».</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На 2024 год утверждены единые ставки платы за технологическое присоединение к электрическим сетям для всех территориальных сетев</w:t>
      </w:r>
      <w:r>
        <w:rPr>
          <w:rFonts w:ascii="PT Astra Serif" w:hAnsi="PT Astra Serif"/>
          <w:sz w:val="24"/>
          <w:szCs w:val="24"/>
        </w:rPr>
        <w:t xml:space="preserve">ых организаций: ООО «Горсети», ПАО «ТРК», ООО «Энергонефть Томск», ООО «ИнвестГрадСтрой», ООО «Электросети» ЗАТО Северск, Филиал «Забайкальский» АО «Оборонэнерго», ОАО «РЖД», ООО «Томскнефтехим», ООО «Томские электрические сети», АО «Газпром добыча Томск».</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целях реализации механизма, позволяющего обеспечить доступную стоимость коммунальной услуги, сохраняя баланс интересов потребителя и теплоснабжающей организации, </w:t>
      </w:r>
      <w:r>
        <w:rPr>
          <w:rFonts w:ascii="PT Astra Serif" w:hAnsi="PT Astra Serif"/>
          <w:sz w:val="24"/>
          <w:szCs w:val="24"/>
        </w:rPr>
        <w:t xml:space="preserve">на компенсацию недополученных доходов, возникающих вследствие разницы между утвержденными экономически обоснованными тарифами и льготными тарифами теплоснабжающей организации АО «ТомскРТС», в 2023 году из областного бюджета выплачена субсидия в размере 120</w:t>
      </w:r>
      <w:r>
        <w:rPr>
          <w:rFonts w:ascii="PT Astra Serif" w:hAnsi="PT Astra Serif"/>
          <w:sz w:val="24"/>
          <w:szCs w:val="24"/>
        </w:rPr>
        <w:t xml:space="preserve">,9 млн</w:t>
      </w:r>
      <w:r>
        <w:rPr>
          <w:rFonts w:ascii="PT Astra Serif" w:hAnsi="PT Astra Serif"/>
          <w:sz w:val="24"/>
          <w:szCs w:val="24"/>
        </w:rPr>
        <w:t xml:space="preserve"> </w:t>
      </w:r>
      <w:r>
        <w:rPr>
          <w:rFonts w:ascii="PT Astra Serif" w:hAnsi="PT Astra Serif"/>
          <w:sz w:val="24"/>
          <w:szCs w:val="24"/>
        </w:rPr>
        <w:t xml:space="preserve"> рублей.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Для</w:t>
      </w:r>
      <w:r>
        <w:rPr>
          <w:rFonts w:ascii="PT Astra Serif" w:hAnsi="PT Astra Serif"/>
          <w:sz w:val="24"/>
          <w:szCs w:val="24"/>
        </w:rPr>
        <w:t xml:space="preserve"> развития механизмов общественного контроля за деятельностью субъектов естественных монополий с участием потребителей в 2</w:t>
      </w:r>
      <w:r>
        <w:rPr>
          <w:rFonts w:ascii="PT Astra Serif" w:hAnsi="PT Astra Serif"/>
          <w:sz w:val="24"/>
          <w:szCs w:val="24"/>
        </w:rPr>
        <w:t xml:space="preserve">023 году проведено заседание Межотраслевого совета потребителей по вопросам деятельности субъектов естественных монополий при Губернаторе Томской области, на котором рассмотрены проекты корректировки инвестиционных программ 8 территориальных сетевых органи</w:t>
      </w:r>
      <w:r>
        <w:rPr>
          <w:rFonts w:ascii="PT Astra Serif" w:hAnsi="PT Astra Serif"/>
          <w:sz w:val="24"/>
          <w:szCs w:val="24"/>
        </w:rPr>
        <w:t xml:space="preserve">заций и 1 </w:t>
      </w:r>
      <w:r>
        <w:rPr>
          <w:rFonts w:ascii="PT Astra Serif" w:hAnsi="PT Astra Serif"/>
          <w:sz w:val="24"/>
          <w:szCs w:val="24"/>
        </w:rPr>
        <w:t xml:space="preserve">проект корректировки инвестиционной программы гарантирующего поставщика, проекты инвестиц</w:t>
      </w:r>
      <w:r>
        <w:rPr>
          <w:rFonts w:ascii="PT Astra Serif" w:hAnsi="PT Astra Serif"/>
          <w:sz w:val="24"/>
          <w:szCs w:val="24"/>
        </w:rPr>
        <w:t xml:space="preserve">ионных программ 1 территориальной</w:t>
      </w:r>
      <w:r>
        <w:rPr>
          <w:rFonts w:ascii="PT Astra Serif" w:hAnsi="PT Astra Serif"/>
          <w:sz w:val="24"/>
          <w:szCs w:val="24"/>
        </w:rPr>
        <w:t xml:space="preserve"> сетев</w:t>
      </w:r>
      <w:r>
        <w:rPr>
          <w:rFonts w:ascii="PT Astra Serif" w:hAnsi="PT Astra Serif"/>
          <w:sz w:val="24"/>
          <w:szCs w:val="24"/>
        </w:rPr>
        <w:t xml:space="preserve">ой</w:t>
      </w:r>
      <w:r>
        <w:rPr>
          <w:rFonts w:ascii="PT Astra Serif" w:hAnsi="PT Astra Serif"/>
          <w:sz w:val="24"/>
          <w:szCs w:val="24"/>
        </w:rPr>
        <w:t xml:space="preserve"> организаци</w:t>
      </w:r>
      <w:r>
        <w:rPr>
          <w:rFonts w:ascii="PT Astra Serif" w:hAnsi="PT Astra Serif"/>
          <w:sz w:val="24"/>
          <w:szCs w:val="24"/>
        </w:rPr>
        <w:t xml:space="preserve">и</w:t>
      </w:r>
      <w:r>
        <w:rPr>
          <w:rFonts w:ascii="PT Astra Serif" w:hAnsi="PT Astra Serif"/>
          <w:sz w:val="24"/>
          <w:szCs w:val="24"/>
        </w:rPr>
        <w:t xml:space="preserve"> и 1 проект инвестиционной программы гарантирующего поставщика.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выявлено 10 правонарушений, </w:t>
      </w:r>
      <w:r>
        <w:rPr>
          <w:rFonts w:ascii="PT Astra Serif" w:hAnsi="PT Astra Serif"/>
          <w:sz w:val="24"/>
          <w:szCs w:val="24"/>
        </w:rPr>
        <w:t xml:space="preserve">предусмотренных статьями 14.6 </w:t>
      </w:r>
      <w:r>
        <w:rPr>
          <w:rFonts w:ascii="PT Astra Serif" w:hAnsi="PT Astra Serif"/>
          <w:sz w:val="24"/>
          <w:szCs w:val="24"/>
        </w:rPr>
        <w:t xml:space="preserve">(завышение и занижение тарифов), 17.7 (неисполнение требований осуществляющего административное производство) КоАП Российской Ф</w:t>
      </w:r>
      <w:r>
        <w:rPr>
          <w:rFonts w:ascii="PT Astra Serif" w:hAnsi="PT Astra Serif"/>
          <w:sz w:val="24"/>
          <w:szCs w:val="24"/>
        </w:rPr>
        <w:t xml:space="preserve">едерации, 9 юридических лиц и 1 </w:t>
      </w:r>
      <w:r>
        <w:rPr>
          <w:rFonts w:ascii="PT Astra Serif" w:hAnsi="PT Astra Serif"/>
          <w:sz w:val="24"/>
          <w:szCs w:val="24"/>
        </w:rPr>
        <w:t xml:space="preserve">должностное лицо привлечены к административной ответственности. Общая сумма наложенных административных штрафов за 2023 год составила 151,2 тыс. руб</w:t>
      </w:r>
      <w:r>
        <w:rPr>
          <w:rFonts w:ascii="PT Astra Serif" w:hAnsi="PT Astra Serif"/>
          <w:sz w:val="24"/>
          <w:szCs w:val="24"/>
        </w:rPr>
        <w:t xml:space="preserve">лей.</w:t>
      </w:r>
      <w:r>
        <w:rPr>
          <w:rFonts w:ascii="PT Astra Serif" w:hAnsi="PT Astra Serif"/>
          <w:sz w:val="24"/>
          <w:szCs w:val="24"/>
        </w:rPr>
        <w:t xml:space="preserve"> В 2023 году в доход областного бюджета взысканы административные штрафы на сумму 50,</w:t>
      </w:r>
      <w:r>
        <w:rPr>
          <w:rFonts w:ascii="PT Astra Serif" w:hAnsi="PT Astra Serif"/>
          <w:sz w:val="24"/>
          <w:szCs w:val="24"/>
        </w:rPr>
        <w:t xml:space="preserve">0 </w:t>
      </w:r>
      <w:r>
        <w:rPr>
          <w:rFonts w:ascii="PT Astra Serif" w:hAnsi="PT Astra Serif"/>
          <w:sz w:val="24"/>
          <w:szCs w:val="24"/>
        </w:rPr>
        <w:t xml:space="preserve">тыс.</w:t>
      </w:r>
      <w:r>
        <w:rPr>
          <w:rFonts w:ascii="PT Astra Serif" w:hAnsi="PT Astra Serif"/>
          <w:sz w:val="24"/>
          <w:szCs w:val="24"/>
        </w:rPr>
        <w:t xml:space="preserve"> </w:t>
      </w:r>
      <w:r>
        <w:rPr>
          <w:rFonts w:ascii="PT Astra Serif" w:hAnsi="PT Astra Serif"/>
          <w:sz w:val="24"/>
          <w:szCs w:val="24"/>
        </w:rPr>
        <w:t xml:space="preserve">руб</w:t>
      </w:r>
      <w:r>
        <w:rPr>
          <w:rFonts w:ascii="PT Astra Serif" w:hAnsi="PT Astra Serif"/>
          <w:sz w:val="24"/>
          <w:szCs w:val="24"/>
        </w:rPr>
        <w:t xml:space="preserve">лей</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с использованием информационной  системы «Региональный сегмент данных ЕИАС на территории Томской области» (РСД ЕИАС Томской области) было подано предложений об установлении тарифов организациями, осуществляющими деятельность:</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 216 в сфере теплоснабжения;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 244 в сфере водоснабжения и водоотведения;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 20 в сфере обработки твердых коммунальных отходов.</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4962" w:leader="none"/>
        </w:tabs>
        <w:rPr>
          <w:rFonts w:ascii="PT Astra Serif" w:hAnsi="PT Astra Serif"/>
          <w:sz w:val="24"/>
          <w:szCs w:val="24"/>
        </w:rPr>
      </w:pPr>
      <w:r>
        <w:rPr>
          <w:rFonts w:ascii="PT Astra Serif" w:hAnsi="PT Astra Serif"/>
          <w:sz w:val="24"/>
          <w:szCs w:val="24"/>
        </w:rPr>
        <w:t xml:space="preserve">Перспективной задачей по развитию РСД ЕИАС Томской области является перевод системы на импортозамещающие технологии.</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1. Соблюдение предельных индексов изменения размера платы граждан за коммунальные услуги по муниципальным образованиям Томской области в течение года.</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2. Соблюдение баланса экономических интересов потребителей и поставщиков на регулируемых рынках товаров и услуг, обеспечивающего доступность для потребителей товаров и услуг, реализуемых субъектами регулирования.</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3. Осуществление перехода на долгосрочные параметры регулирования ресурсоснабжающих организаций в сфере теплоснабжения, водоснабжения и водоотведения, регулирование на 5-летний период.</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4. Реализация в муниципальных образованиях Томской области отдельных государственных полн</w:t>
      </w:r>
      <w:r>
        <w:rPr>
          <w:rFonts w:ascii="PT Astra Serif" w:hAnsi="PT Astra Serif"/>
          <w:sz w:val="24"/>
          <w:szCs w:val="24"/>
          <w:lang w:eastAsia="ru-RU"/>
        </w:rPr>
        <w:t xml:space="preserve">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5. Возмещение недополученных дохо</w:t>
      </w:r>
      <w:r>
        <w:rPr>
          <w:rFonts w:ascii="PT Astra Serif" w:hAnsi="PT Astra Serif"/>
          <w:sz w:val="24"/>
          <w:szCs w:val="24"/>
          <w:lang w:eastAsia="ru-RU"/>
        </w:rPr>
        <w:t xml:space="preserve">дов организациям железнодорожного транспорта общего пользования пригородного сообщения, возникающих вследствие установления предельных уровней тарифов на услуги по перевозке пассажиров железнодорожным транспортом общего пользования в пригородном сообщении.</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lang w:eastAsia="ru-RU"/>
        </w:rPr>
        <w:t xml:space="preserve">6. Возмещение недополученных доходов ресурсоснабжающим организациям</w:t>
      </w:r>
      <w:r>
        <w:rPr>
          <w:rFonts w:ascii="PT Astra Serif" w:hAnsi="PT Astra Serif"/>
          <w:sz w:val="24"/>
          <w:szCs w:val="24"/>
        </w:rPr>
        <w:t xml:space="preserve"> сфер теплоснабжения, водоснабжения и водоотведения</w:t>
      </w:r>
      <w:r>
        <w:rPr>
          <w:rFonts w:ascii="PT Astra Serif" w:hAnsi="PT Astra Serif"/>
          <w:sz w:val="24"/>
          <w:szCs w:val="24"/>
          <w:lang w:eastAsia="ru-RU"/>
        </w:rPr>
        <w:t xml:space="preserve">, возникающих вследствие установления льготных тарифов для населения.</w:t>
      </w:r>
      <w:r>
        <w:rPr>
          <w:rFonts w:ascii="PT Astra Serif" w:hAnsi="PT Astra Serif"/>
          <w:sz w:val="24"/>
          <w:szCs w:val="24"/>
        </w:rPr>
      </w:r>
      <w:r>
        <w:rPr>
          <w:rFonts w:ascii="PT Astra Serif" w:hAnsi="PT Astra Serif"/>
          <w:sz w:val="24"/>
          <w:szCs w:val="24"/>
        </w:rPr>
      </w:r>
    </w:p>
    <w:p>
      <w:pPr>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br w:type="page" w:clear="all"/>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32"/>
        <w:rPr>
          <w:rFonts w:eastAsia="Times New Roman"/>
          <w:caps/>
        </w:rPr>
        <w:outlineLvl w:val="0"/>
      </w:pPr>
      <w:r/>
      <w:hyperlink r:id="rId47" w:tooltip="consultantplus://offline/ref=556F33B6F03A1F9FB0AD35A5ED64A320B53B1CEF8C01C9A7D81EBCE6AD897785C15F825301A8322F4ACFF7O4P3M" w:history="1">
        <w:bookmarkStart w:id="25" w:name="_Toc134630415"/>
        <w:r>
          <w:t xml:space="preserve">РАЗДЕЛ </w:t>
        </w:r>
      </w:hyperlink>
      <w:r>
        <w:rPr>
          <w:rFonts w:eastAsia="Times New Roman"/>
          <w:caps/>
        </w:rPr>
        <w:t xml:space="preserve">V Эффективное управление регионом и цифровая трансформация</w:t>
      </w:r>
      <w:bookmarkEnd w:id="25"/>
      <w:r>
        <w:rPr>
          <w:rFonts w:eastAsia="Times New Roman"/>
          <w:caps/>
        </w:rPr>
      </w:r>
      <w:r>
        <w:rPr>
          <w:rFonts w:eastAsia="Times New Roman"/>
          <w:caps/>
        </w:rPr>
      </w:r>
    </w:p>
    <w:p>
      <w:pPr>
        <w:spacing w:after="0" w:line="240" w:lineRule="auto"/>
        <w:tabs>
          <w:tab w:val="left" w:pos="4962" w:leader="none"/>
        </w:tabs>
        <w:rPr>
          <w:rFonts w:ascii="PT Astra Serif" w:hAnsi="PT Astra Serif" w:eastAsia="Times New Roman"/>
          <w:b/>
          <w:sz w:val="24"/>
          <w:szCs w:val="24"/>
        </w:rPr>
      </w:pPr>
      <w:r>
        <w:rPr>
          <w:rFonts w:ascii="PT Astra Serif" w:hAnsi="PT Astra Serif" w:eastAsia="Times New Roman"/>
          <w:b/>
          <w:sz w:val="24"/>
          <w:szCs w:val="24"/>
        </w:rPr>
      </w:r>
      <w:r>
        <w:rPr>
          <w:rFonts w:ascii="PT Astra Serif" w:hAnsi="PT Astra Serif" w:eastAsia="Times New Roman"/>
          <w:b/>
          <w:sz w:val="24"/>
          <w:szCs w:val="24"/>
        </w:rPr>
      </w:r>
      <w:r>
        <w:rPr>
          <w:rFonts w:ascii="PT Astra Serif" w:hAnsi="PT Astra Serif" w:eastAsia="Times New Roman"/>
          <w:b/>
          <w:sz w:val="24"/>
          <w:szCs w:val="24"/>
        </w:rPr>
      </w:r>
    </w:p>
    <w:p>
      <w:pPr>
        <w:pStyle w:val="1146"/>
        <w:outlineLvl w:val="1"/>
      </w:pPr>
      <w:r/>
      <w:bookmarkStart w:id="26" w:name="_Toc134630416"/>
      <w:r>
        <w:t xml:space="preserve">5.1. Создание системы управления на базе цифровых платформ, в том числе в государственном секторе</w:t>
      </w:r>
      <w:bookmarkEnd w:id="26"/>
      <w: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целях эффективной реализации на территории Томской области единой государственной политики по развитию информационного общества ведется системная работа по</w:t>
      </w:r>
      <w:r>
        <w:rPr>
          <w:rFonts w:ascii="PT Astra Serif" w:hAnsi="PT Astra Serif"/>
          <w:sz w:val="24"/>
          <w:szCs w:val="24"/>
        </w:rPr>
        <w:t xml:space="preserve"> цифровой трансформации государственного управления, формированию инфраструктуры «электронного правительства», «открытого правительства», повышению качества и доступности предоставления государственных и муниципальных услуг на территории Томской области, в</w:t>
      </w:r>
      <w:r>
        <w:rPr>
          <w:rFonts w:ascii="PT Astra Serif" w:hAnsi="PT Astra Serif"/>
          <w:sz w:val="24"/>
          <w:szCs w:val="24"/>
        </w:rPr>
        <w:t xml:space="preserve"> том числе реализация принципа </w:t>
      </w:r>
      <w:r>
        <w:rPr>
          <w:rFonts w:ascii="PT Astra Serif" w:hAnsi="PT Astra Serif"/>
          <w:sz w:val="24"/>
          <w:szCs w:val="24"/>
        </w:rPr>
        <w:t xml:space="preserve">одного окна.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spacing w:after="0" w:line="240" w:lineRule="auto"/>
        <w:shd w:val="clear" w:color="auto" w:fill="eaf1dd" w:themeFill="accent3" w:themeFillTint="33"/>
        <w:tabs>
          <w:tab w:val="left" w:pos="567" w:leader="none"/>
        </w:tabs>
        <w:rPr>
          <w:rFonts w:ascii="PT Astra Serif" w:hAnsi="PT Astra Serif" w:eastAsia="Times New Roman"/>
          <w:b/>
          <w:sz w:val="24"/>
          <w:szCs w:val="24"/>
        </w:rPr>
      </w:pPr>
      <w:r>
        <w:rPr>
          <w:rFonts w:ascii="PT Astra Serif" w:hAnsi="PT Astra Serif" w:eastAsia="Times New Roman"/>
          <w:b/>
          <w:sz w:val="24"/>
          <w:szCs w:val="24"/>
        </w:rPr>
        <w:t xml:space="preserve">Цифровая трансформация</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Целями</w:t>
      </w:r>
      <w:r>
        <w:rPr>
          <w:rFonts w:ascii="PT Astra Serif" w:hAnsi="PT Astra Serif"/>
          <w:sz w:val="24"/>
          <w:szCs w:val="24"/>
        </w:rPr>
        <w:t xml:space="preserve"> цифровой трансформации отраслей экономики, социальной сферы и государственного управления Томской области явля</w:t>
      </w:r>
      <w:r>
        <w:rPr>
          <w:rFonts w:ascii="PT Astra Serif" w:hAnsi="PT Astra Serif"/>
          <w:sz w:val="24"/>
          <w:szCs w:val="24"/>
        </w:rPr>
        <w:t xml:space="preserve">ю</w:t>
      </w:r>
      <w:r>
        <w:rPr>
          <w:rFonts w:ascii="PT Astra Serif" w:hAnsi="PT Astra Serif"/>
          <w:sz w:val="24"/>
          <w:szCs w:val="24"/>
        </w:rPr>
        <w:t xml:space="preserve">тся оказание государственных и муниципальных услуг населению и бизнесу, формирование качественной и безопасной среды для жизни и разв</w:t>
      </w:r>
      <w:r>
        <w:rPr>
          <w:rFonts w:ascii="PT Astra Serif" w:hAnsi="PT Astra Serif"/>
          <w:sz w:val="24"/>
          <w:szCs w:val="24"/>
        </w:rPr>
        <w:t xml:space="preserve">ития, обеспечение доступности </w:t>
      </w:r>
      <w:r>
        <w:rPr>
          <w:rFonts w:ascii="PT Astra Serif" w:hAnsi="PT Astra Serif"/>
          <w:sz w:val="24"/>
          <w:szCs w:val="24"/>
        </w:rPr>
        <w:t xml:space="preserve">образования, здравоохранения и социальной поддержки за счет повышения уровня цифровой зрелости.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w:t>
      </w:r>
      <w:r>
        <w:rPr>
          <w:rFonts w:ascii="PT Astra Serif" w:hAnsi="PT Astra Serif"/>
          <w:sz w:val="24"/>
          <w:szCs w:val="24"/>
        </w:rPr>
        <w:t xml:space="preserve">оказателями цифровой трансформации являются: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sz w:val="24"/>
          <w:szCs w:val="24"/>
        </w:rPr>
        <w:t xml:space="preserve">достижение </w:t>
      </w:r>
      <w:r>
        <w:rPr>
          <w:rFonts w:ascii="PT Astra Serif" w:hAnsi="PT Astra Serif"/>
          <w:sz w:val="24"/>
          <w:szCs w:val="24"/>
        </w:rPr>
        <w:t xml:space="preserve">цифровой зрело</w:t>
      </w:r>
      <w:r>
        <w:rPr>
          <w:rFonts w:ascii="PT Astra Serif" w:hAnsi="PT Astra Serif"/>
          <w:sz w:val="24"/>
          <w:szCs w:val="24"/>
        </w:rPr>
        <w:t xml:space="preserve">сти ключевых отраслей экономики и социальной сферы, в том числе здравоохранения и образования, а также государственного управления. В 2023 году показатель цифровой зрелости составил 77,8%. Значение показателя увеличилось на 11,1% по сравнению с 2022 годом;</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sz w:val="24"/>
          <w:szCs w:val="24"/>
        </w:rPr>
        <w:t xml:space="preserve">увеличение доли массовых соц</w:t>
      </w:r>
      <w:r>
        <w:rPr>
          <w:rFonts w:ascii="PT Astra Serif" w:hAnsi="PT Astra Serif"/>
          <w:sz w:val="24"/>
          <w:szCs w:val="24"/>
        </w:rPr>
        <w:t xml:space="preserve">иально значимых услуг, доступных в электронном виде. В 2023 году для жителей Томской области на портале «Госуслуги» обеспечена доступность 90 массовых социально значимых услуг, что составляет 100% от общего количества массовых социально значимых услуг реги</w:t>
      </w:r>
      <w:r>
        <w:rPr>
          <w:rFonts w:ascii="PT Astra Serif" w:hAnsi="PT Astra Serif"/>
          <w:sz w:val="24"/>
          <w:szCs w:val="24"/>
        </w:rPr>
        <w:t xml:space="preserve">она. За 2023 год поступило 259,</w:t>
      </w:r>
      <w:r>
        <w:rPr>
          <w:rFonts w:ascii="PT Astra Serif" w:hAnsi="PT Astra Serif"/>
          <w:sz w:val="24"/>
          <w:szCs w:val="24"/>
        </w:rPr>
        <w:t xml:space="preserve">4 </w:t>
      </w:r>
      <w:r>
        <w:rPr>
          <w:rFonts w:ascii="PT Astra Serif" w:hAnsi="PT Astra Serif"/>
          <w:sz w:val="24"/>
          <w:szCs w:val="24"/>
        </w:rPr>
        <w:t xml:space="preserve">тыс. обращений для получения таких услуг, в 2 раза больше уровня 2022 года.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продолжена работа по актуализации Стратегии в области цифровой трансформации отраслей экономики социальной сферы и государственного управления Томской области и Программы цифровой трансформации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trike/>
          <w:sz w:val="24"/>
          <w:szCs w:val="24"/>
        </w:rPr>
      </w:pPr>
      <w:r>
        <w:rPr>
          <w:rFonts w:ascii="PT Astra Serif" w:hAnsi="PT Astra Serif"/>
          <w:sz w:val="24"/>
          <w:szCs w:val="24"/>
        </w:rPr>
        <w:t xml:space="preserve">Действует</w:t>
      </w:r>
      <w:r>
        <w:rPr>
          <w:rFonts w:ascii="PT Astra Serif" w:hAnsi="PT Astra Serif"/>
          <w:sz w:val="24"/>
          <w:szCs w:val="24"/>
        </w:rPr>
        <w:t xml:space="preserve"> региональный центр обработки данных, обеспечивающий функционирование информационной инфраструктуры исполнительных органов Томской области. В 2023 году проведена работа по замене оборудования </w:t>
      </w:r>
      <w:r>
        <w:rPr>
          <w:rFonts w:ascii="PT Astra Serif" w:hAnsi="PT Astra Serif"/>
          <w:sz w:val="24"/>
          <w:szCs w:val="24"/>
        </w:rPr>
        <w:t xml:space="preserve">для защиты каналов связи</w:t>
      </w:r>
      <w:r>
        <w:rPr>
          <w:rFonts w:ascii="PT Astra Serif" w:hAnsi="PT Astra Serif"/>
          <w:sz w:val="24"/>
          <w:szCs w:val="24"/>
        </w:rPr>
        <w:t xml:space="preserve">.</w:t>
      </w:r>
      <w:r>
        <w:rPr>
          <w:rFonts w:ascii="PT Astra Serif" w:hAnsi="PT Astra Serif"/>
          <w:strike/>
          <w:sz w:val="24"/>
          <w:szCs w:val="24"/>
        </w:rPr>
      </w:r>
      <w:r>
        <w:rPr>
          <w:rFonts w:ascii="PT Astra Serif" w:hAnsi="PT Astra Serif"/>
          <w:strike/>
          <w:sz w:val="24"/>
          <w:szCs w:val="24"/>
        </w:rPr>
      </w:r>
    </w:p>
    <w:p>
      <w:pPr>
        <w:ind w:firstLine="709"/>
        <w:jc w:val="both"/>
        <w:spacing w:after="0" w:line="240" w:lineRule="auto"/>
        <w:rPr>
          <w:rFonts w:ascii="PT Astra Serif" w:hAnsi="PT Astra Serif"/>
          <w:strike/>
          <w:sz w:val="24"/>
          <w:szCs w:val="24"/>
        </w:rPr>
      </w:pPr>
      <w:r>
        <w:rPr>
          <w:rFonts w:ascii="PT Astra Serif" w:hAnsi="PT Astra Serif"/>
          <w:strike/>
          <w:sz w:val="24"/>
          <w:szCs w:val="24"/>
        </w:rPr>
      </w:r>
      <w:r>
        <w:rPr>
          <w:rFonts w:ascii="PT Astra Serif" w:hAnsi="PT Astra Serif"/>
          <w:strike/>
          <w:sz w:val="24"/>
          <w:szCs w:val="24"/>
        </w:rPr>
      </w:r>
      <w:r>
        <w:rPr>
          <w:rFonts w:ascii="PT Astra Serif" w:hAnsi="PT Astra Serif"/>
          <w:strike/>
          <w:sz w:val="24"/>
          <w:szCs w:val="24"/>
        </w:rPr>
      </w:r>
    </w:p>
    <w:p>
      <w:pPr>
        <w:spacing w:after="0" w:line="240" w:lineRule="auto"/>
        <w:shd w:val="clear" w:color="auto" w:fill="eaf1dd" w:themeFill="accent3" w:themeFillTint="33"/>
        <w:tabs>
          <w:tab w:val="left" w:pos="567" w:leader="none"/>
        </w:tabs>
        <w:rPr>
          <w:rFonts w:ascii="PT Astra Serif" w:hAnsi="PT Astra Serif" w:eastAsia="Times New Roman"/>
          <w:b/>
          <w:sz w:val="24"/>
          <w:szCs w:val="24"/>
        </w:rPr>
      </w:pPr>
      <w:r>
        <w:rPr>
          <w:rFonts w:ascii="PT Astra Serif" w:hAnsi="PT Astra Serif" w:eastAsia="Times New Roman"/>
          <w:b/>
          <w:sz w:val="24"/>
          <w:szCs w:val="24"/>
        </w:rPr>
        <w:t xml:space="preserve">Электронное правительство</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Востребованность портала «Госуслуги» в регионе продолжает расти: с 3 387 тыс. заявлений на оказание услуг в 2022 году до 3 427,66 тыс. заявлений в 2023 году.</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Исполнительные органы Томской области продолжают активное использование электронного межведомственного взаимодействия при предоставлении государ</w:t>
      </w:r>
      <w:r>
        <w:rPr>
          <w:rFonts w:ascii="PT Astra Serif" w:hAnsi="PT Astra Serif"/>
          <w:sz w:val="24"/>
          <w:szCs w:val="24"/>
        </w:rPr>
        <w:t xml:space="preserve">ственных и муниципальных услуг</w:t>
      </w:r>
      <w:r>
        <w:rPr>
          <w:rFonts w:ascii="PT Astra Serif" w:hAnsi="PT Astra Serif"/>
          <w:sz w:val="24"/>
          <w:szCs w:val="24"/>
        </w:rPr>
        <w:t xml:space="preserve">, что </w:t>
      </w:r>
      <w:r>
        <w:rPr>
          <w:rFonts w:ascii="PT Astra Serif" w:hAnsi="PT Astra Serif"/>
          <w:sz w:val="24"/>
          <w:szCs w:val="24"/>
        </w:rPr>
        <w:t xml:space="preserve">снижает нагрузку на заявителей в части предоставления справок и документов. Исполнительные органы региона в 2023 году запросили друг у друга в электронном виде 510 тыс. документов, что в среднем соответствует количеству справок, не истребованных у граждан.</w:t>
      </w:r>
      <w:r>
        <w:rPr>
          <w:rFonts w:ascii="PT Astra Serif" w:hAnsi="PT Astra Serif"/>
          <w:strike/>
          <w:sz w:val="24"/>
          <w:szCs w:val="24"/>
        </w:rPr>
        <w:t xml:space="preserve">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рамках развития системы электронного межведомственного взаимодействия </w:t>
      </w:r>
      <w:r>
        <w:rPr>
          <w:rFonts w:ascii="PT Astra Serif" w:hAnsi="PT Astra Serif"/>
          <w:sz w:val="24"/>
          <w:szCs w:val="24"/>
        </w:rPr>
        <w:t xml:space="preserve">в регионе </w:t>
      </w:r>
      <w:r>
        <w:rPr>
          <w:rFonts w:ascii="PT Astra Serif" w:hAnsi="PT Astra Serif"/>
          <w:sz w:val="24"/>
          <w:szCs w:val="24"/>
        </w:rPr>
        <w:t xml:space="preserve">созданы витрины данных — сведения о государственном недвижимом имуществе, «Мое образование», сведения о состоянии здоровья граждан, сведения о гражданах, находящихся на уч</w:t>
      </w:r>
      <w:r>
        <w:rPr>
          <w:rFonts w:ascii="PT Astra Serif" w:hAnsi="PT Astra Serif"/>
          <w:sz w:val="24"/>
          <w:szCs w:val="24"/>
        </w:rPr>
        <w:t xml:space="preserve">е</w:t>
      </w:r>
      <w:r>
        <w:rPr>
          <w:rFonts w:ascii="PT Astra Serif" w:hAnsi="PT Astra Serif"/>
          <w:sz w:val="24"/>
          <w:szCs w:val="24"/>
        </w:rPr>
        <w:t xml:space="preserve">те, сведения о записи к врачам по Томской области.</w:t>
      </w:r>
      <w:r>
        <w:rPr>
          <w:rFonts w:ascii="PT Astra Serif" w:hAnsi="PT Astra Serif"/>
          <w:sz w:val="24"/>
          <w:szCs w:val="24"/>
        </w:rPr>
        <w:t xml:space="preserve"> Витрины данных позволяют получать ответы на запросы в режиме реального времени.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дальнейшем перечень доступных витрин данных органов власти Томской области будет расширяться.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Для исключения очных визитов заявителей и сокращения времени предоставления услуг планируется подключение ведомственных информационных систем к уже работающим витринам данных.</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shd w:val="clear" w:color="auto" w:fill="eaf1dd" w:themeFill="accent3" w:themeFillTint="33"/>
        <w:rPr>
          <w:rFonts w:ascii="PT Astra Serif" w:hAnsi="PT Astra Serif"/>
          <w:sz w:val="24"/>
          <w:szCs w:val="24"/>
        </w:rPr>
      </w:pPr>
      <w:r>
        <w:rPr>
          <w:rFonts w:ascii="PT Astra Serif" w:hAnsi="PT Astra Serif" w:eastAsia="Times New Roman"/>
          <w:b/>
          <w:sz w:val="24"/>
          <w:szCs w:val="24"/>
        </w:rPr>
        <w:t xml:space="preserve">Открытость исполнительных органов</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целях информационно-аналитического и коммуникационного обеспечения деятел</w:t>
      </w:r>
      <w:r>
        <w:rPr>
          <w:rFonts w:ascii="PT Astra Serif" w:hAnsi="PT Astra Serif"/>
          <w:sz w:val="24"/>
          <w:szCs w:val="24"/>
        </w:rPr>
        <w:t xml:space="preserve">ьности высших должностных лиц и исполнительных органов Томской области продолжил функционировать Ситуационный центр Губернатора Томской области, в состав информационных ресурсов которого входит Территориальная информационная система Томской области (далее </w:t>
      </w:r>
      <w:r>
        <w:rPr>
          <w:rFonts w:ascii="PT Astra Serif" w:hAnsi="PT Astra Serif" w:eastAsia="Calibri"/>
          <w:sz w:val="24"/>
          <w:szCs w:val="24"/>
        </w:rPr>
        <w:t xml:space="preserve">–</w:t>
      </w:r>
      <w:r>
        <w:rPr>
          <w:rFonts w:ascii="PT Astra Serif" w:hAnsi="PT Astra Serif"/>
          <w:sz w:val="24"/>
          <w:szCs w:val="24"/>
        </w:rPr>
        <w:t xml:space="preserve"> ТИС), интег</w:t>
      </w:r>
      <w:r>
        <w:rPr>
          <w:rFonts w:ascii="PT Astra Serif" w:hAnsi="PT Astra Serif"/>
          <w:sz w:val="24"/>
          <w:szCs w:val="24"/>
        </w:rPr>
        <w:t xml:space="preserve">рированная с 5 федеральными и 9 </w:t>
      </w:r>
      <w:r>
        <w:rPr>
          <w:rFonts w:ascii="PT Astra Serif" w:hAnsi="PT Astra Serif"/>
          <w:sz w:val="24"/>
          <w:szCs w:val="24"/>
        </w:rPr>
        <w:t xml:space="preserve">региональными информационными системами исполнительных органов Томской области.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С применением ТИ</w:t>
      </w:r>
      <w:r>
        <w:rPr>
          <w:rFonts w:ascii="PT Astra Serif" w:hAnsi="PT Astra Serif"/>
          <w:sz w:val="24"/>
          <w:szCs w:val="24"/>
        </w:rPr>
        <w:t xml:space="preserve">С удалось автоматизировать рабочие процессы, которые позволили перейти от классического документооборота к автоматическому сбору данных и исключить излишнюю бюрократизацию процессов. На базе ТИС для принятия управленческих решений созданы в 2023 году 15 мо</w:t>
      </w:r>
      <w:r>
        <w:rPr>
          <w:rFonts w:ascii="PT Astra Serif" w:hAnsi="PT Astra Serif"/>
          <w:sz w:val="24"/>
          <w:szCs w:val="24"/>
        </w:rPr>
        <w:t xml:space="preserve">дулей по поручениям высших должностных лиц, руководителей исполнительных органов Томской области и в инициативном порядке (в 2022 году функционировал один модуль). Созданные модули позволили сократить сроки сбора и обработки информации с 14 дней до 1 часа.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На конец 2023 года в ТИС работало более 350 </w:t>
      </w:r>
      <w:r>
        <w:rPr>
          <w:rFonts w:ascii="PT Astra Serif" w:hAnsi="PT Astra Serif"/>
          <w:sz w:val="24"/>
          <w:szCs w:val="24"/>
        </w:rPr>
        <w:t xml:space="preserve">сотрудников, обработано более 5 </w:t>
      </w:r>
      <w:r>
        <w:rPr>
          <w:rFonts w:ascii="PT Astra Serif" w:hAnsi="PT Astra Serif"/>
          <w:sz w:val="24"/>
          <w:szCs w:val="24"/>
        </w:rPr>
        <w:t xml:space="preserve">тысяч показателей по 20 отраслям с возможностью выгрузки сводных отчетов в электронные таблицы и графической визуализации (в 2022 году было зарегистрировано всего 173 пользователя ТИС).</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целях преодоления цифрового неравенства на территории Томской области реализуется проект по развитию сети центров общественного доступа к правовой и социально значимой информации в </w:t>
      </w:r>
      <w:r>
        <w:rPr>
          <w:rFonts w:ascii="PT Astra Serif" w:hAnsi="PT Astra Serif"/>
          <w:sz w:val="24"/>
          <w:szCs w:val="24"/>
        </w:rPr>
        <w:t xml:space="preserve">сети Интернет</w:t>
      </w:r>
      <w:r>
        <w:rPr>
          <w:rFonts w:ascii="PT Astra Serif" w:hAnsi="PT Astra Serif"/>
          <w:sz w:val="24"/>
          <w:szCs w:val="24"/>
        </w:rPr>
        <w:t xml:space="preserve"> (далее</w:t>
      </w:r>
      <w:r>
        <w:rPr>
          <w:rFonts w:ascii="PT Astra Serif" w:hAnsi="PT Astra Serif"/>
          <w:sz w:val="24"/>
          <w:szCs w:val="24"/>
        </w:rPr>
        <w:t xml:space="preserve"> </w:t>
      </w:r>
      <w:r>
        <w:rPr>
          <w:rFonts w:ascii="PT Astra Serif" w:hAnsi="PT Astra Serif" w:eastAsia="Calibri"/>
          <w:sz w:val="24"/>
          <w:szCs w:val="24"/>
        </w:rPr>
        <w:t xml:space="preserve">–</w:t>
      </w:r>
      <w:r>
        <w:rPr>
          <w:rFonts w:ascii="PT Astra Serif" w:hAnsi="PT Astra Serif"/>
          <w:sz w:val="24"/>
          <w:szCs w:val="24"/>
        </w:rPr>
        <w:t xml:space="preserve"> ЦОД). К концу 2023 года в 113</w:t>
      </w:r>
      <w:r>
        <w:rPr>
          <w:rFonts w:ascii="PT Astra Serif" w:hAnsi="PT Astra Serif"/>
          <w:sz w:val="24"/>
          <w:szCs w:val="24"/>
        </w:rPr>
        <w:t xml:space="preserve"> </w:t>
      </w:r>
      <w:r>
        <w:rPr>
          <w:rFonts w:ascii="PT Astra Serif" w:hAnsi="PT Astra Serif"/>
          <w:sz w:val="24"/>
          <w:szCs w:val="24"/>
        </w:rPr>
        <w:t xml:space="preserve">населенных пунктах Томской области (в 2022 году </w:t>
      </w:r>
      <w:r>
        <w:rPr>
          <w:rFonts w:ascii="PT Astra Serif" w:hAnsi="PT Astra Serif" w:eastAsia="Calibri"/>
          <w:sz w:val="24"/>
          <w:szCs w:val="24"/>
        </w:rPr>
        <w:t xml:space="preserve">–</w:t>
      </w:r>
      <w:r>
        <w:rPr>
          <w:rFonts w:ascii="PT Astra Serif" w:hAnsi="PT Astra Serif"/>
          <w:sz w:val="24"/>
          <w:szCs w:val="24"/>
        </w:rPr>
        <w:t xml:space="preserve"> в 111) создано 125 ЦОД (в 2022 году </w:t>
      </w:r>
      <w:r>
        <w:rPr>
          <w:rFonts w:ascii="PT Astra Serif" w:hAnsi="PT Astra Serif" w:eastAsia="Calibri"/>
          <w:sz w:val="24"/>
          <w:szCs w:val="24"/>
        </w:rPr>
        <w:t xml:space="preserve">–</w:t>
      </w:r>
      <w:r>
        <w:rPr>
          <w:rFonts w:ascii="PT Astra Serif" w:hAnsi="PT Astra Serif"/>
          <w:sz w:val="24"/>
          <w:szCs w:val="24"/>
        </w:rPr>
        <w:t xml:space="preserve"> 123) на базе муниципальных учреждений и библиотек, учреждений высшего и среднего профессионального образования.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cs="PT Astra Serif"/>
          <w:sz w:val="24"/>
          <w:szCs w:val="24"/>
        </w:rPr>
      </w:pPr>
      <w:r>
        <w:rPr>
          <w:rFonts w:ascii="PT Astra Serif" w:hAnsi="PT Astra Serif" w:cs="PT Astra Serif"/>
          <w:sz w:val="24"/>
          <w:szCs w:val="24"/>
        </w:rPr>
        <w:t xml:space="preserve">Для повышения доступности и понятности информации, которая предоставляется органами местного самоуправления и образовательными организациями на официальных сайтах, в 2023 году Администрацией Томской обла</w:t>
      </w:r>
      <w:r>
        <w:rPr>
          <w:rFonts w:ascii="PT Astra Serif" w:hAnsi="PT Astra Serif" w:cs="PT Astra Serif"/>
          <w:sz w:val="24"/>
          <w:szCs w:val="24"/>
        </w:rPr>
        <w:t xml:space="preserve">сти заключено соглашение с Минцифры России об участии в проекте «Госвеб», который направлен на использование типовых шаблонов для создания официальных сайтов, что позволяет сократить расходы и предоставить возможность гражданам быстрее находить информацию.</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rPr>
          <w:rFonts w:ascii="PT Astra Serif" w:hAnsi="PT Astra Serif"/>
          <w:sz w:val="24"/>
          <w:szCs w:val="24"/>
        </w:rPr>
      </w:pPr>
      <w:r>
        <w:rPr>
          <w:rFonts w:ascii="PT Astra Serif" w:hAnsi="PT Astra Serif" w:cs="PT Astra Serif"/>
          <w:sz w:val="24"/>
          <w:szCs w:val="24"/>
        </w:rPr>
        <w:t xml:space="preserve">Платформа «Госвеб» является подсистемой федеральной государственной информационной системы «Единый портал государственных и муниципальных услуг (и функций)». </w:t>
      </w:r>
      <w:r>
        <w:rPr>
          <w:rFonts w:ascii="PT Astra Serif" w:hAnsi="PT Astra Serif" w:eastAsia="Arial" w:cs="PT Astra Serif"/>
          <w:sz w:val="24"/>
          <w:szCs w:val="24"/>
        </w:rPr>
        <w:t xml:space="preserve">Органы местного самоуправления муниципальных образований Томской области и общеобразовательные организации в 2024 году осуществляют </w:t>
      </w:r>
      <w:r>
        <w:rPr>
          <w:rFonts w:ascii="PT Astra Serif" w:hAnsi="PT Astra Serif"/>
          <w:sz w:val="24"/>
          <w:szCs w:val="24"/>
        </w:rPr>
        <w:t xml:space="preserve">переход на платформу «Госвеб».</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shd w:val="clear" w:color="auto" w:fill="eaf1dd" w:themeFill="accent3" w:themeFillTint="33"/>
        <w:rPr>
          <w:rFonts w:ascii="PT Astra Serif" w:hAnsi="PT Astra Serif"/>
          <w:b/>
          <w:sz w:val="24"/>
          <w:szCs w:val="24"/>
        </w:rPr>
      </w:pPr>
      <w:r>
        <w:rPr>
          <w:rFonts w:ascii="PT Astra Serif" w:hAnsi="PT Astra Serif"/>
          <w:b/>
          <w:sz w:val="24"/>
          <w:szCs w:val="24"/>
        </w:rPr>
        <w:t xml:space="preserve">Совершенствование процесса предоставления государственных и муниципальных услуг</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регионе в 2023 году продолжили стабильно функционировать 20 отделов многофункциональных центров по предоставлению государственных и муниципальных услуг (МФЦ) и 49 территориально обособленных структурных подразделений (в 2022 году </w:t>
      </w:r>
      <w:r>
        <w:rPr>
          <w:rFonts w:ascii="PT Astra Serif" w:hAnsi="PT Astra Serif" w:eastAsia="Calibri"/>
          <w:sz w:val="24"/>
          <w:szCs w:val="24"/>
        </w:rPr>
        <w:t xml:space="preserve">–</w:t>
      </w:r>
      <w:r>
        <w:rPr>
          <w:rFonts w:ascii="PT Astra Serif" w:hAnsi="PT Astra Serif"/>
          <w:sz w:val="24"/>
          <w:szCs w:val="24"/>
        </w:rPr>
        <w:t xml:space="preserve"> 44). Основные цели деятельности: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повышение качества и доступности государственных услуг;</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снижение издержек бизнеса на преодоление административных барьеров;</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повышение эффективности деятельности исполнительных органов и межведомственной координации;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повышение открытости и прозрачности для общества.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На базе отделов МФЦ обеспечена доступность 571 услуги (в 2022 году </w:t>
      </w:r>
      <w:r>
        <w:rPr>
          <w:rFonts w:ascii="PT Astra Serif" w:hAnsi="PT Astra Serif" w:eastAsia="Calibri"/>
          <w:sz w:val="24"/>
          <w:szCs w:val="24"/>
        </w:rPr>
        <w:t xml:space="preserve">–</w:t>
      </w:r>
      <w:r>
        <w:rPr>
          <w:rFonts w:ascii="PT Astra Serif" w:hAnsi="PT Astra Serif"/>
          <w:sz w:val="24"/>
          <w:szCs w:val="24"/>
        </w:rPr>
        <w:t xml:space="preserve"> 555) (100% по принципу </w:t>
      </w:r>
      <w:r>
        <w:rPr>
          <w:rFonts w:ascii="PT Astra Serif" w:hAnsi="PT Astra Serif"/>
          <w:sz w:val="24"/>
          <w:szCs w:val="24"/>
        </w:rPr>
        <w:t xml:space="preserve">единого окна).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12"/>
        <w:jc w:val="center"/>
        <w:spacing w:after="0" w:line="240" w:lineRule="auto"/>
        <w:rPr>
          <w:rFonts w:ascii="PT Astra Serif" w:hAnsi="PT Astra Serif" w:eastAsia="PT Astra Serif" w:cs="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PT Astra Serif" w:cs="PT Astra Serif"/>
          <w:b/>
          <w:sz w:val="24"/>
          <w:szCs w:val="24"/>
        </w:rPr>
        <w:t xml:space="preserve">С момента введения рейтинга Минэкономразвития России Томский МФЦ </w:t>
      </w:r>
      <w:r>
        <w:rPr>
          <w:rFonts w:ascii="PT Astra Serif" w:hAnsi="PT Astra Serif" w:eastAsia="PT Astra Serif" w:cs="PT Astra Serif"/>
          <w:b/>
          <w:sz w:val="24"/>
          <w:szCs w:val="24"/>
        </w:rPr>
      </w:r>
      <w:r>
        <w:rPr>
          <w:rFonts w:ascii="PT Astra Serif" w:hAnsi="PT Astra Serif" w:eastAsia="PT Astra Serif" w:cs="PT Astra Serif"/>
          <w:b/>
          <w:sz w:val="24"/>
          <w:szCs w:val="24"/>
        </w:rPr>
      </w:r>
    </w:p>
    <w:p>
      <w:pPr>
        <w:ind w:firstLine="12"/>
        <w:jc w:val="center"/>
        <w:spacing w:after="0" w:line="240" w:lineRule="auto"/>
        <w:rPr>
          <w:rFonts w:ascii="PT Astra Serif" w:hAnsi="PT Astra Serif"/>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PT Astra Serif" w:cs="PT Astra Serif"/>
          <w:b/>
          <w:sz w:val="24"/>
          <w:szCs w:val="24"/>
        </w:rPr>
        <w:t xml:space="preserve">всегда входит в группу МФЦ с высокой эффективностью организации деятельности (максимально возможная категория)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За 202</w:t>
      </w:r>
      <w:r>
        <w:rPr>
          <w:rFonts w:ascii="PT Astra Serif" w:hAnsi="PT Astra Serif"/>
          <w:sz w:val="24"/>
          <w:szCs w:val="24"/>
        </w:rPr>
        <w:t xml:space="preserve">3 год в МФЦ поступило 1,158 млн</w:t>
      </w:r>
      <w:r>
        <w:rPr>
          <w:rFonts w:ascii="PT Astra Serif" w:hAnsi="PT Astra Serif"/>
          <w:sz w:val="24"/>
          <w:szCs w:val="24"/>
        </w:rPr>
        <w:t xml:space="preserve"> обращений от жителей Томской о</w:t>
      </w:r>
      <w:r>
        <w:rPr>
          <w:rFonts w:ascii="PT Astra Serif" w:hAnsi="PT Astra Serif"/>
          <w:sz w:val="24"/>
          <w:szCs w:val="24"/>
        </w:rPr>
        <w:t xml:space="preserve">бласти (в 2022 году – 1,102 млн</w:t>
      </w:r>
      <w:r>
        <w:rPr>
          <w:rFonts w:ascii="PT Astra Serif" w:hAnsi="PT Astra Serif"/>
          <w:sz w:val="24"/>
          <w:szCs w:val="24"/>
        </w:rPr>
        <w:t xml:space="preserve"> обращений).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Удовлетворенность граждан от получения государственных услуг в многофункциональных центрах Томской области за 2023 год составила 99,94%.</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региональный центр телефонного обслуживания МФЦ в 2023 году поступило 410 838 звонков, при этом </w:t>
      </w:r>
      <w:r>
        <w:rPr>
          <w:rFonts w:ascii="PT Astra Serif" w:hAnsi="PT Astra Serif"/>
          <w:sz w:val="24"/>
          <w:szCs w:val="24"/>
        </w:rPr>
        <w:t xml:space="preserve">43% звонков принял голосовой помощник МФЦ на базе искусственного интеллекта без участия операторов (178 516 звонков).</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w:t>
      </w:r>
      <w:r>
        <w:rPr>
          <w:rFonts w:ascii="PT Astra Serif" w:hAnsi="PT Astra Serif"/>
          <w:sz w:val="24"/>
          <w:szCs w:val="24"/>
        </w:rPr>
        <w:t xml:space="preserve">23 году на базе ОГКУ «ТО МФЦ» открыт центр оптимизации государственных и муниципальных услуг. В результате сокращен срок оказания услуги по выдаче сертификата на газификацию жилых помещений и уменьшено количество истребуемых для оказания услуги документов.</w:t>
      </w:r>
      <w:r>
        <w:rPr>
          <w:rFonts w:ascii="PT Astra Serif" w:hAnsi="PT Astra Serif"/>
          <w:sz w:val="24"/>
          <w:szCs w:val="24"/>
        </w:rPr>
      </w:r>
      <w:r>
        <w:rPr>
          <w:rFonts w:ascii="PT Astra Serif" w:hAnsi="PT Astra Serif"/>
          <w:sz w:val="24"/>
          <w:szCs w:val="24"/>
        </w:rPr>
      </w:r>
    </w:p>
    <w:p>
      <w:pPr>
        <w:ind w:firstLine="709"/>
        <w:jc w:val="center"/>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tabs>
          <w:tab w:val="left" w:pos="900" w:leader="none"/>
        </w:tabs>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1. Повышение качества предоставления государственных и муниципальных услуг, развитие электронных услуг и сервисов в условиях создания новой технологической основы в экономике и социальной сфере.</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2. Оптимизация государственных и муниципальных услуг в целях повышения удовлетворенности качеством оказания услуг на территории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3. Развитие системы электронного межведомственного взаимодействия: разработка новых видов сведений и внедрение витрин данных.</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4. Реализация комплекса мер, направленных на обеспечение эффективного государственного управления с использованием информационных и телекоммуникационных технологий.</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46"/>
        <w:outlineLvl w:val="1"/>
      </w:pPr>
      <w:r/>
      <w:bookmarkStart w:id="27" w:name="_Toc134630417"/>
      <w:r>
        <w:t xml:space="preserve">5.2. Обеспечение эффективного управления региональными финансами и совершенствование межбюджетных отношений, в том числе повышение эффективности управления государственными закупками</w:t>
      </w:r>
      <w:bookmarkEnd w:id="27"/>
      <w:r/>
      <w:r/>
    </w:p>
    <w:p>
      <w:pPr>
        <w:spacing w:after="0" w:line="240" w:lineRule="auto"/>
        <w:tabs>
          <w:tab w:val="left" w:pos="567" w:leader="none"/>
        </w:tabs>
        <w:rPr>
          <w:rFonts w:ascii="PT Astra Serif" w:hAnsi="PT Astra Serif" w:eastAsia="Times New Roman"/>
          <w:b/>
          <w:sz w:val="24"/>
          <w:szCs w:val="24"/>
        </w:rPr>
      </w:pPr>
      <w:r>
        <w:rPr>
          <w:rFonts w:ascii="PT Astra Serif" w:hAnsi="PT Astra Serif" w:eastAsia="Times New Roman"/>
          <w:b/>
          <w:sz w:val="24"/>
          <w:szCs w:val="24"/>
        </w:rPr>
      </w:r>
      <w:r>
        <w:rPr>
          <w:rFonts w:ascii="PT Astra Serif" w:hAnsi="PT Astra Serif" w:eastAsia="Times New Roman"/>
          <w:b/>
          <w:sz w:val="24"/>
          <w:szCs w:val="24"/>
        </w:rPr>
      </w:r>
      <w:r>
        <w:rPr>
          <w:rFonts w:ascii="PT Astra Serif" w:hAnsi="PT Astra Serif" w:eastAsia="Times New Roman"/>
          <w:b/>
          <w:sz w:val="24"/>
          <w:szCs w:val="24"/>
        </w:rPr>
      </w:r>
    </w:p>
    <w:p>
      <w:pPr>
        <w:spacing w:after="0" w:line="240" w:lineRule="auto"/>
        <w:shd w:val="clear" w:color="auto" w:fill="eaf1dd" w:themeFill="accent3" w:themeFillTint="33"/>
        <w:tabs>
          <w:tab w:val="left" w:pos="567" w:leader="none"/>
        </w:tabs>
        <w:rPr>
          <w:rFonts w:ascii="PT Astra Serif" w:hAnsi="PT Astra Serif" w:eastAsia="Times New Roman"/>
          <w:b/>
          <w:sz w:val="24"/>
          <w:szCs w:val="24"/>
        </w:rPr>
      </w:pPr>
      <w:r>
        <w:rPr>
          <w:rFonts w:ascii="PT Astra Serif" w:hAnsi="PT Astra Serif" w:eastAsia="Times New Roman"/>
          <w:b/>
          <w:sz w:val="24"/>
          <w:szCs w:val="24"/>
        </w:rPr>
        <w:t xml:space="preserve">Бюджетная и налоговая политика</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t xml:space="preserve">В целом предварительные итоги исполнения консолидированного и областного бюджета за 2023 год положительные.</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t xml:space="preserve">Второй год подряд консолидированный бюджет Томской области исполнен с профицитом при плановом дефиците: за 2023 год объем п</w:t>
      </w:r>
      <w:r>
        <w:rPr>
          <w:rFonts w:ascii="PT Astra Serif" w:hAnsi="PT Astra Serif" w:eastAsia="Times New Roman"/>
          <w:sz w:val="24"/>
          <w:szCs w:val="24"/>
        </w:rPr>
        <w:t xml:space="preserve">рофицита составил около 600 млн</w:t>
      </w:r>
      <w:r>
        <w:rPr>
          <w:rFonts w:ascii="PT Astra Serif" w:hAnsi="PT Astra Serif" w:eastAsia="Times New Roman"/>
          <w:sz w:val="24"/>
          <w:szCs w:val="24"/>
        </w:rPr>
        <w:t xml:space="preserve"> рублей при плановом дефиците 2,8 </w:t>
      </w:r>
      <w:r>
        <w:rPr>
          <w:rFonts w:ascii="PT Astra Serif" w:hAnsi="PT Astra Serif" w:eastAsia="Times New Roman"/>
          <w:sz w:val="24"/>
          <w:szCs w:val="24"/>
        </w:rPr>
        <w:t xml:space="preserve">млрд </w:t>
      </w:r>
      <w:r>
        <w:rPr>
          <w:rFonts w:ascii="PT Astra Serif" w:hAnsi="PT Astra Serif" w:eastAsia="Times New Roman"/>
          <w:sz w:val="24"/>
          <w:szCs w:val="24"/>
        </w:rPr>
        <w:t xml:space="preserve">рублей.</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t xml:space="preserve">Общий объем доходов консолидированного бюджета (с учетом безвозмездных поступлений) за 2023 год составил 120,7 </w:t>
      </w:r>
      <w:r>
        <w:rPr>
          <w:rFonts w:ascii="PT Astra Serif" w:hAnsi="PT Astra Serif" w:eastAsia="Times New Roman"/>
          <w:sz w:val="24"/>
          <w:szCs w:val="24"/>
        </w:rPr>
        <w:t xml:space="preserve">млрд </w:t>
      </w:r>
      <w:r>
        <w:rPr>
          <w:rFonts w:ascii="PT Astra Serif" w:hAnsi="PT Astra Serif" w:eastAsia="Times New Roman"/>
          <w:sz w:val="24"/>
          <w:szCs w:val="24"/>
        </w:rPr>
        <w:t xml:space="preserve">рублей, из которых 92,1 </w:t>
      </w:r>
      <w:r>
        <w:rPr>
          <w:rFonts w:ascii="PT Astra Serif" w:hAnsi="PT Astra Serif" w:eastAsia="Times New Roman"/>
          <w:sz w:val="24"/>
          <w:szCs w:val="24"/>
        </w:rPr>
        <w:t xml:space="preserve">млрд </w:t>
      </w:r>
      <w:r>
        <w:rPr>
          <w:rFonts w:ascii="PT Astra Serif" w:hAnsi="PT Astra Serif" w:eastAsia="Times New Roman"/>
          <w:sz w:val="24"/>
          <w:szCs w:val="24"/>
        </w:rPr>
        <w:t xml:space="preserve">рублей (76%) – налоговые и неналоговые доходы.</w:t>
      </w:r>
      <w:r>
        <w:rPr>
          <w:rFonts w:ascii="PT Astra Serif" w:hAnsi="PT Astra Serif" w:eastAsia="Times New Roman"/>
          <w:sz w:val="24"/>
          <w:szCs w:val="24"/>
        </w:rPr>
        <w:t xml:space="preserve"> </w:t>
      </w:r>
      <w:r>
        <w:rPr>
          <w:rFonts w:ascii="PT Astra Serif" w:hAnsi="PT Astra Serif" w:eastAsia="Times New Roman"/>
          <w:sz w:val="24"/>
          <w:szCs w:val="24"/>
        </w:rPr>
      </w:r>
      <w:r>
        <w:rPr>
          <w:rFonts w:ascii="PT Astra Serif" w:hAnsi="PT Astra Serif" w:eastAsia="Times New Roman"/>
          <w:sz w:val="24"/>
          <w:szCs w:val="24"/>
        </w:rPr>
      </w:r>
    </w:p>
    <w:p>
      <w:pPr>
        <w:jc w:val="right"/>
        <w:spacing w:after="0" w:line="240" w:lineRule="auto"/>
        <w:rPr>
          <w:rFonts w:ascii="PT Astra Serif" w:hAnsi="PT Astra Serif"/>
          <w:bCs/>
          <w:sz w:val="24"/>
          <w:szCs w:val="24"/>
        </w:rPr>
      </w:pPr>
      <w:r>
        <w:rPr>
          <w:rFonts w:ascii="PT Astra Serif" w:hAnsi="PT Astra Serif"/>
          <w:bCs/>
          <w:sz w:val="24"/>
          <w:szCs w:val="24"/>
        </w:rPr>
      </w:r>
      <w:r>
        <w:rPr>
          <w:rFonts w:ascii="PT Astra Serif" w:hAnsi="PT Astra Serif"/>
          <w:bCs/>
          <w:sz w:val="24"/>
          <w:szCs w:val="24"/>
        </w:rPr>
      </w:r>
      <w:r>
        <w:rPr>
          <w:rFonts w:ascii="PT Astra Serif" w:hAnsi="PT Astra Serif"/>
          <w:bCs/>
          <w:sz w:val="24"/>
          <w:szCs w:val="24"/>
        </w:rPr>
      </w:r>
    </w:p>
    <w:p>
      <w:pPr>
        <w:jc w:val="right"/>
        <w:spacing w:after="0" w:line="240" w:lineRule="auto"/>
        <w:rPr>
          <w:rFonts w:ascii="PT Astra Serif" w:hAnsi="PT Astra Serif"/>
          <w:bCs/>
          <w:sz w:val="24"/>
          <w:szCs w:val="24"/>
        </w:rPr>
      </w:pPr>
      <w:r>
        <w:rPr>
          <w:rFonts w:ascii="PT Astra Serif" w:hAnsi="PT Astra Serif"/>
          <w:bCs/>
          <w:sz w:val="24"/>
          <w:szCs w:val="24"/>
        </w:rPr>
      </w:r>
      <w:r>
        <w:rPr>
          <w:rFonts w:ascii="PT Astra Serif" w:hAnsi="PT Astra Serif"/>
          <w:bCs/>
          <w:sz w:val="24"/>
          <w:szCs w:val="24"/>
        </w:rPr>
      </w:r>
      <w:r>
        <w:rPr>
          <w:rFonts w:ascii="PT Astra Serif" w:hAnsi="PT Astra Serif"/>
          <w:bCs/>
          <w:sz w:val="24"/>
          <w:szCs w:val="24"/>
        </w:rPr>
      </w:r>
    </w:p>
    <w:p>
      <w:pPr>
        <w:jc w:val="right"/>
        <w:spacing w:after="0" w:line="240" w:lineRule="auto"/>
        <w:rPr>
          <w:rFonts w:ascii="PT Astra Serif" w:hAnsi="PT Astra Serif"/>
          <w:bCs/>
          <w:sz w:val="24"/>
          <w:szCs w:val="24"/>
        </w:rPr>
      </w:pPr>
      <w:r>
        <w:rPr>
          <w:rFonts w:ascii="PT Astra Serif" w:hAnsi="PT Astra Serif"/>
          <w:bCs/>
          <w:sz w:val="24"/>
          <w:szCs w:val="24"/>
        </w:rPr>
      </w:r>
      <w:r>
        <w:rPr>
          <w:rFonts w:ascii="PT Astra Serif" w:hAnsi="PT Astra Serif"/>
          <w:bCs/>
          <w:sz w:val="24"/>
          <w:szCs w:val="24"/>
        </w:rPr>
      </w:r>
      <w:r>
        <w:rPr>
          <w:rFonts w:ascii="PT Astra Serif" w:hAnsi="PT Astra Serif"/>
          <w:bCs/>
          <w:sz w:val="24"/>
          <w:szCs w:val="24"/>
        </w:rPr>
      </w:r>
    </w:p>
    <w:p>
      <w:pPr>
        <w:jc w:val="right"/>
        <w:spacing w:after="0" w:line="240" w:lineRule="auto"/>
        <w:rPr>
          <w:rFonts w:ascii="PT Astra Serif" w:hAnsi="PT Astra Serif"/>
          <w:bCs/>
          <w:sz w:val="24"/>
          <w:szCs w:val="24"/>
        </w:rPr>
      </w:pPr>
      <w:r>
        <w:rPr>
          <w:rFonts w:ascii="PT Astra Serif" w:hAnsi="PT Astra Serif"/>
          <w:bCs/>
          <w:sz w:val="24"/>
          <w:szCs w:val="24"/>
        </w:rPr>
      </w:r>
      <w:r>
        <w:rPr>
          <w:rFonts w:ascii="PT Astra Serif" w:hAnsi="PT Astra Serif"/>
          <w:bCs/>
          <w:sz w:val="24"/>
          <w:szCs w:val="24"/>
        </w:rPr>
      </w:r>
      <w:r>
        <w:rPr>
          <w:rFonts w:ascii="PT Astra Serif" w:hAnsi="PT Astra Serif"/>
          <w:bCs/>
          <w:sz w:val="24"/>
          <w:szCs w:val="24"/>
        </w:rPr>
      </w:r>
    </w:p>
    <w:p>
      <w:pPr>
        <w:jc w:val="right"/>
        <w:spacing w:after="0" w:line="240" w:lineRule="auto"/>
        <w:rPr>
          <w:rFonts w:ascii="PT Astra Serif" w:hAnsi="PT Astra Serif"/>
          <w:bCs/>
          <w:sz w:val="24"/>
          <w:szCs w:val="24"/>
        </w:rPr>
      </w:pPr>
      <w:r>
        <w:rPr>
          <w:rFonts w:ascii="PT Astra Serif" w:hAnsi="PT Astra Serif"/>
          <w:bCs/>
          <w:sz w:val="24"/>
          <w:szCs w:val="24"/>
        </w:rPr>
      </w:r>
      <w:r>
        <w:rPr>
          <w:rFonts w:ascii="PT Astra Serif" w:hAnsi="PT Astra Serif"/>
          <w:bCs/>
          <w:sz w:val="24"/>
          <w:szCs w:val="24"/>
        </w:rPr>
      </w:r>
      <w:r>
        <w:rPr>
          <w:rFonts w:ascii="PT Astra Serif" w:hAnsi="PT Astra Serif"/>
          <w:bCs/>
          <w:sz w:val="24"/>
          <w:szCs w:val="24"/>
        </w:rPr>
      </w:r>
    </w:p>
    <w:p>
      <w:pPr>
        <w:jc w:val="right"/>
        <w:spacing w:after="0" w:line="240" w:lineRule="auto"/>
        <w:rPr>
          <w:rFonts w:ascii="PT Astra Serif" w:hAnsi="PT Astra Serif"/>
          <w:bCs/>
          <w:sz w:val="24"/>
          <w:szCs w:val="24"/>
        </w:rPr>
      </w:pPr>
      <w:r>
        <w:rPr>
          <w:rFonts w:ascii="PT Astra Serif" w:hAnsi="PT Astra Serif"/>
          <w:bCs/>
          <w:sz w:val="24"/>
          <w:szCs w:val="24"/>
        </w:rPr>
      </w:r>
      <w:r>
        <w:rPr>
          <w:rFonts w:ascii="PT Astra Serif" w:hAnsi="PT Astra Serif"/>
          <w:bCs/>
          <w:sz w:val="24"/>
          <w:szCs w:val="24"/>
        </w:rPr>
      </w:r>
      <w:r>
        <w:rPr>
          <w:rFonts w:ascii="PT Astra Serif" w:hAnsi="PT Astra Serif"/>
          <w:bCs/>
          <w:sz w:val="24"/>
          <w:szCs w:val="24"/>
        </w:rPr>
      </w:r>
    </w:p>
    <w:p>
      <w:pPr>
        <w:jc w:val="right"/>
        <w:spacing w:after="0" w:line="240" w:lineRule="auto"/>
        <w:rPr>
          <w:rFonts w:ascii="PT Astra Serif" w:hAnsi="PT Astra Serif"/>
          <w:bCs/>
          <w:sz w:val="24"/>
          <w:szCs w:val="24"/>
        </w:rPr>
      </w:pPr>
      <w:r>
        <w:rPr>
          <w:rFonts w:ascii="PT Astra Serif" w:hAnsi="PT Astra Serif"/>
          <w:bCs/>
          <w:sz w:val="24"/>
          <w:szCs w:val="24"/>
        </w:rPr>
      </w:r>
      <w:r>
        <w:rPr>
          <w:rFonts w:ascii="PT Astra Serif" w:hAnsi="PT Astra Serif"/>
          <w:bCs/>
          <w:sz w:val="24"/>
          <w:szCs w:val="24"/>
        </w:rPr>
      </w:r>
      <w:r>
        <w:rPr>
          <w:rFonts w:ascii="PT Astra Serif" w:hAnsi="PT Astra Serif"/>
          <w:bCs/>
          <w:sz w:val="24"/>
          <w:szCs w:val="24"/>
        </w:rPr>
      </w:r>
    </w:p>
    <w:p>
      <w:pPr>
        <w:jc w:val="right"/>
        <w:spacing w:after="0" w:line="240" w:lineRule="auto"/>
        <w:rPr>
          <w:rFonts w:ascii="PT Astra Serif" w:hAnsi="PT Astra Serif"/>
          <w:bCs/>
          <w:sz w:val="24"/>
          <w:szCs w:val="24"/>
        </w:rPr>
      </w:pPr>
      <w:r>
        <w:rPr>
          <w:rFonts w:ascii="PT Astra Serif" w:hAnsi="PT Astra Serif"/>
          <w:bCs/>
          <w:sz w:val="24"/>
          <w:szCs w:val="24"/>
        </w:rPr>
      </w:r>
      <w:r>
        <w:rPr>
          <w:rFonts w:ascii="PT Astra Serif" w:hAnsi="PT Astra Serif"/>
          <w:bCs/>
          <w:sz w:val="24"/>
          <w:szCs w:val="24"/>
        </w:rPr>
      </w:r>
      <w:r>
        <w:rPr>
          <w:rFonts w:ascii="PT Astra Serif" w:hAnsi="PT Astra Serif"/>
          <w:bCs/>
          <w:sz w:val="24"/>
          <w:szCs w:val="24"/>
        </w:rPr>
      </w:r>
    </w:p>
    <w:p>
      <w:pPr>
        <w:jc w:val="right"/>
        <w:spacing w:after="0" w:line="240" w:lineRule="auto"/>
        <w:rPr>
          <w:rFonts w:ascii="PT Astra Serif" w:hAnsi="PT Astra Serif"/>
          <w:bCs/>
          <w:sz w:val="24"/>
          <w:szCs w:val="24"/>
        </w:rPr>
      </w:pPr>
      <w:r>
        <w:rPr>
          <w:rFonts w:ascii="PT Astra Serif" w:hAnsi="PT Astra Serif"/>
          <w:bCs/>
          <w:sz w:val="24"/>
          <w:szCs w:val="24"/>
        </w:rPr>
        <w:t xml:space="preserve">Таблица 1</w:t>
      </w:r>
      <w:r>
        <w:rPr>
          <w:rFonts w:ascii="PT Astra Serif" w:hAnsi="PT Astra Serif"/>
          <w:bCs/>
          <w:sz w:val="24"/>
          <w:szCs w:val="24"/>
        </w:rPr>
        <w:t xml:space="preserve">0</w:t>
      </w:r>
      <w:r>
        <w:rPr>
          <w:rFonts w:ascii="PT Astra Serif" w:hAnsi="PT Astra Serif"/>
          <w:bCs/>
          <w:sz w:val="24"/>
          <w:szCs w:val="24"/>
        </w:rPr>
      </w:r>
      <w:r>
        <w:rPr>
          <w:rFonts w:ascii="PT Astra Serif" w:hAnsi="PT Astra Serif"/>
          <w:bCs/>
          <w:sz w:val="24"/>
          <w:szCs w:val="24"/>
        </w:rPr>
      </w:r>
    </w:p>
    <w:p>
      <w:pPr>
        <w:jc w:val="center"/>
        <w:spacing w:after="0" w:line="240" w:lineRule="auto"/>
        <w:rPr>
          <w:rFonts w:ascii="PT Astra Serif" w:hAnsi="PT Astra Serif"/>
          <w:bCs/>
          <w:sz w:val="24"/>
          <w:szCs w:val="24"/>
        </w:rPr>
      </w:pPr>
      <w:r>
        <w:rPr>
          <w:rFonts w:ascii="PT Astra Serif" w:hAnsi="PT Astra Serif"/>
          <w:bCs/>
          <w:sz w:val="24"/>
          <w:szCs w:val="24"/>
        </w:rPr>
        <w:t xml:space="preserve">Параметры консолидированного бюджета Томской области в 2022</w:t>
      </w:r>
      <w:r>
        <w:rPr>
          <w:rFonts w:ascii="PT Astra Serif" w:hAnsi="PT Astra Serif"/>
          <w:bCs/>
          <w:sz w:val="24"/>
          <w:szCs w:val="24"/>
        </w:rPr>
        <w:t xml:space="preserve"> </w:t>
      </w:r>
      <w:r>
        <w:rPr>
          <w:rFonts w:ascii="PT Astra Serif" w:hAnsi="PT Astra Serif" w:eastAsia="Calibri"/>
          <w:sz w:val="24"/>
          <w:szCs w:val="24"/>
        </w:rPr>
        <w:t xml:space="preserve">– </w:t>
      </w:r>
      <w:r>
        <w:rPr>
          <w:rFonts w:ascii="PT Astra Serif" w:hAnsi="PT Astra Serif"/>
          <w:bCs/>
          <w:sz w:val="24"/>
          <w:szCs w:val="24"/>
        </w:rPr>
        <w:t xml:space="preserve">2023 годах</w:t>
      </w:r>
      <w:r>
        <w:rPr>
          <w:rFonts w:ascii="PT Astra Serif" w:hAnsi="PT Astra Serif"/>
          <w:bCs/>
          <w:sz w:val="24"/>
          <w:szCs w:val="24"/>
        </w:rPr>
      </w:r>
      <w:r>
        <w:rPr>
          <w:rFonts w:ascii="PT Astra Serif" w:hAnsi="PT Astra Serif"/>
          <w:bCs/>
          <w:sz w:val="24"/>
          <w:szCs w:val="24"/>
        </w:rPr>
      </w:r>
    </w:p>
    <w:p>
      <w:pPr>
        <w:jc w:val="right"/>
        <w:spacing w:after="0" w:line="240" w:lineRule="auto"/>
        <w:rPr>
          <w:rFonts w:ascii="PT Astra Serif" w:hAnsi="PT Astra Serif"/>
          <w:bCs/>
          <w:sz w:val="24"/>
          <w:szCs w:val="24"/>
        </w:rPr>
      </w:pPr>
      <w:r>
        <w:rPr>
          <w:rFonts w:ascii="PT Astra Serif" w:hAnsi="PT Astra Serif"/>
          <w:bCs/>
          <w:sz w:val="24"/>
          <w:szCs w:val="24"/>
        </w:rPr>
      </w:r>
      <w:r>
        <w:rPr>
          <w:rFonts w:ascii="PT Astra Serif" w:hAnsi="PT Astra Serif"/>
          <w:bCs/>
          <w:sz w:val="24"/>
          <w:szCs w:val="24"/>
        </w:rPr>
      </w:r>
      <w:r>
        <w:rPr>
          <w:rFonts w:ascii="PT Astra Serif" w:hAnsi="PT Astra Serif"/>
          <w:bCs/>
          <w:sz w:val="24"/>
          <w:szCs w:val="24"/>
        </w:rPr>
      </w:r>
    </w:p>
    <w:p>
      <w:pPr>
        <w:jc w:val="right"/>
        <w:spacing w:after="0" w:line="240" w:lineRule="auto"/>
        <w:rPr>
          <w:rFonts w:ascii="PT Astra Serif" w:hAnsi="PT Astra Serif"/>
          <w:bCs/>
          <w:sz w:val="24"/>
          <w:szCs w:val="24"/>
        </w:rPr>
      </w:pPr>
      <w:r>
        <w:rPr>
          <w:rFonts w:ascii="PT Astra Serif" w:hAnsi="PT Astra Serif"/>
          <w:bCs/>
          <w:sz w:val="24"/>
          <w:szCs w:val="24"/>
        </w:rPr>
        <w:t xml:space="preserve">(в </w:t>
      </w:r>
      <w:r>
        <w:rPr>
          <w:rFonts w:ascii="PT Astra Serif" w:hAnsi="PT Astra Serif"/>
          <w:bCs/>
          <w:sz w:val="24"/>
          <w:szCs w:val="24"/>
        </w:rPr>
        <w:t xml:space="preserve">млрд</w:t>
      </w:r>
      <w:r>
        <w:rPr>
          <w:rFonts w:ascii="PT Astra Serif" w:hAnsi="PT Astra Serif"/>
          <w:bCs/>
          <w:sz w:val="24"/>
          <w:szCs w:val="24"/>
        </w:rPr>
        <w:t xml:space="preserve"> </w:t>
      </w:r>
      <w:r>
        <w:rPr>
          <w:rFonts w:ascii="PT Astra Serif" w:hAnsi="PT Astra Serif"/>
          <w:bCs/>
          <w:sz w:val="24"/>
          <w:szCs w:val="24"/>
        </w:rPr>
        <w:t xml:space="preserve">рублей)</w:t>
      </w:r>
      <w:r>
        <w:rPr>
          <w:rFonts w:ascii="PT Astra Serif" w:hAnsi="PT Astra Serif"/>
          <w:bCs/>
          <w:sz w:val="24"/>
          <w:szCs w:val="24"/>
        </w:rPr>
      </w:r>
      <w:r>
        <w:rPr>
          <w:rFonts w:ascii="PT Astra Serif" w:hAnsi="PT Astra Serif"/>
          <w:bCs/>
          <w:sz w:val="24"/>
          <w:szCs w:val="24"/>
        </w:rPr>
      </w:r>
    </w:p>
    <w:tbl>
      <w:tblPr>
        <w:tblStyle w:val="1142"/>
        <w:tblW w:w="4944" w:type="pct"/>
        <w:tblInd w:w="-176" w:type="dxa"/>
        <w:tblLook w:val="04A0" w:firstRow="1" w:lastRow="0" w:firstColumn="1" w:lastColumn="0" w:noHBand="0" w:noVBand="1"/>
      </w:tblPr>
      <w:tblGrid>
        <w:gridCol w:w="1946"/>
        <w:gridCol w:w="1743"/>
        <w:gridCol w:w="1416"/>
        <w:gridCol w:w="1444"/>
        <w:gridCol w:w="1711"/>
        <w:gridCol w:w="1204"/>
      </w:tblGrid>
      <w:tr>
        <w:tblPrEx/>
        <w:trPr/>
        <w:tc>
          <w:tcPr>
            <w:tcBorders>
              <w:top w:val="single" w:color="auto" w:sz="4" w:space="0"/>
              <w:left w:val="single" w:color="auto" w:sz="4" w:space="0"/>
              <w:bottom w:val="single" w:color="auto" w:sz="4" w:space="0"/>
              <w:right w:val="single" w:color="auto" w:sz="4" w:space="0"/>
            </w:tcBorders>
            <w:tcW w:w="1028" w:type="pct"/>
            <w:vAlign w:val="center"/>
            <w:vMerge w:val="restart"/>
            <w:textDirection w:val="lrTb"/>
            <w:noWrap w:val="false"/>
          </w:tcPr>
          <w:p>
            <w:pPr>
              <w:jc w:val="center"/>
              <w:rPr>
                <w:rFonts w:ascii="PT Astra Serif" w:hAnsi="PT Astra Serif"/>
                <w:bCs/>
                <w:sz w:val="24"/>
                <w:szCs w:val="24"/>
              </w:rPr>
            </w:pPr>
            <w:r>
              <w:rPr>
                <w:rFonts w:ascii="PT Astra Serif" w:hAnsi="PT Astra Serif"/>
                <w:bCs/>
                <w:sz w:val="24"/>
                <w:szCs w:val="24"/>
              </w:rPr>
              <w:t xml:space="preserve">Наименование показателя</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921" w:type="pct"/>
            <w:vAlign w:val="center"/>
            <w:vMerge w:val="restart"/>
            <w:textDirection w:val="lrTb"/>
            <w:noWrap w:val="false"/>
          </w:tcPr>
          <w:p>
            <w:pPr>
              <w:jc w:val="center"/>
              <w:rPr>
                <w:rFonts w:ascii="PT Astra Serif" w:hAnsi="PT Astra Serif"/>
                <w:bCs/>
                <w:sz w:val="24"/>
                <w:szCs w:val="24"/>
              </w:rPr>
            </w:pPr>
            <w:r>
              <w:rPr>
                <w:rFonts w:ascii="PT Astra Serif" w:hAnsi="PT Astra Serif"/>
                <w:bCs/>
                <w:sz w:val="24"/>
                <w:szCs w:val="24"/>
              </w:rPr>
              <w:t xml:space="preserve">Исполнено за 2022 год</w:t>
            </w:r>
            <w:r>
              <w:rPr>
                <w:rFonts w:ascii="PT Astra Serif" w:hAnsi="PT Astra Serif"/>
                <w:bCs/>
                <w:sz w:val="24"/>
                <w:szCs w:val="24"/>
              </w:rPr>
            </w:r>
            <w:r>
              <w:rPr>
                <w:rFonts w:ascii="PT Astra Serif" w:hAnsi="PT Astra Serif"/>
                <w:bCs/>
                <w:sz w:val="24"/>
                <w:szCs w:val="24"/>
              </w:rPr>
            </w:r>
          </w:p>
        </w:tc>
        <w:tc>
          <w:tcPr>
            <w:gridSpan w:val="3"/>
            <w:tcBorders>
              <w:top w:val="single" w:color="auto" w:sz="4" w:space="0"/>
              <w:left w:val="single" w:color="auto" w:sz="4" w:space="0"/>
              <w:bottom w:val="single" w:color="auto" w:sz="4" w:space="0"/>
              <w:right w:val="single" w:color="auto" w:sz="4" w:space="0"/>
            </w:tcBorders>
            <w:tcW w:w="2415"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t xml:space="preserve">2023 год</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636" w:type="pct"/>
            <w:vAlign w:val="center"/>
            <w:vMerge w:val="restart"/>
            <w:textDirection w:val="lrTb"/>
            <w:noWrap w:val="false"/>
          </w:tcPr>
          <w:p>
            <w:pPr>
              <w:jc w:val="center"/>
              <w:rPr>
                <w:rFonts w:ascii="PT Astra Serif" w:hAnsi="PT Astra Serif"/>
                <w:bCs/>
                <w:sz w:val="24"/>
                <w:szCs w:val="24"/>
              </w:rPr>
            </w:pPr>
            <w:r>
              <w:rPr>
                <w:rFonts w:ascii="PT Astra Serif" w:hAnsi="PT Astra Serif"/>
                <w:bCs/>
                <w:sz w:val="24"/>
                <w:szCs w:val="24"/>
              </w:rPr>
              <w:t xml:space="preserve">Темп роста к 2022 году, %</w:t>
            </w:r>
            <w:r>
              <w:rPr>
                <w:rFonts w:ascii="PT Astra Serif" w:hAnsi="PT Astra Serif"/>
                <w:bCs/>
                <w:sz w:val="24"/>
                <w:szCs w:val="24"/>
              </w:rPr>
            </w:r>
            <w:r>
              <w:rPr>
                <w:rFonts w:ascii="PT Astra Serif" w:hAnsi="PT Astra Serif"/>
                <w:bCs/>
                <w:sz w:val="24"/>
                <w:szCs w:val="24"/>
              </w:rPr>
            </w:r>
          </w:p>
        </w:tc>
      </w:tr>
      <w:tr>
        <w:tblPrEx/>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PT Astra Serif" w:hAnsi="PT Astra Serif"/>
                <w:bCs/>
                <w:sz w:val="24"/>
                <w:szCs w:val="24"/>
              </w:rPr>
            </w:pPr>
            <w:r>
              <w:rPr>
                <w:rFonts w:ascii="PT Astra Serif" w:hAnsi="PT Astra Serif"/>
                <w:bCs/>
                <w:sz w:val="24"/>
                <w:szCs w:val="24"/>
              </w:rPr>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PT Astra Serif" w:hAnsi="PT Astra Serif"/>
                <w:bCs/>
                <w:sz w:val="24"/>
                <w:szCs w:val="24"/>
              </w:rPr>
            </w:pPr>
            <w:r>
              <w:rPr>
                <w:rFonts w:ascii="PT Astra Serif" w:hAnsi="PT Astra Serif"/>
                <w:bCs/>
                <w:sz w:val="24"/>
                <w:szCs w:val="24"/>
              </w:rPr>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t xml:space="preserve">План на 2023 год </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t xml:space="preserve">Исполнено за 2023 год</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t xml:space="preserve">% исполнения к плану</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PT Astra Serif" w:hAnsi="PT Astra Serif"/>
                <w:bCs/>
                <w:sz w:val="24"/>
                <w:szCs w:val="24"/>
              </w:rPr>
            </w:pPr>
            <w:r>
              <w:rPr>
                <w:rFonts w:ascii="PT Astra Serif" w:hAnsi="PT Astra Serif"/>
                <w:bCs/>
                <w:sz w:val="24"/>
                <w:szCs w:val="24"/>
              </w:rPr>
            </w:r>
            <w:r>
              <w:rPr>
                <w:rFonts w:ascii="PT Astra Serif" w:hAnsi="PT Astra Serif"/>
                <w:bCs/>
                <w:sz w:val="24"/>
                <w:szCs w:val="24"/>
              </w:rPr>
            </w:r>
            <w:r>
              <w:rPr>
                <w:rFonts w:ascii="PT Astra Serif" w:hAnsi="PT Astra Serif"/>
                <w:bCs/>
                <w:sz w:val="24"/>
                <w:szCs w:val="24"/>
              </w:rPr>
            </w:r>
          </w:p>
        </w:tc>
      </w:tr>
      <w:tr>
        <w:tblPrEx/>
        <w:trPr/>
        <w:tc>
          <w:tcPr>
            <w:tcBorders>
              <w:top w:val="single" w:color="auto" w:sz="4" w:space="0"/>
              <w:left w:val="single" w:color="auto" w:sz="4" w:space="0"/>
              <w:bottom w:val="single" w:color="auto" w:sz="4" w:space="0"/>
              <w:right w:val="single" w:color="auto" w:sz="4" w:space="0"/>
            </w:tcBorders>
            <w:tcW w:w="1028" w:type="pct"/>
            <w:textDirection w:val="lrTb"/>
            <w:noWrap w:val="false"/>
          </w:tcPr>
          <w:p>
            <w:pPr>
              <w:ind w:right="-108"/>
              <w:rPr>
                <w:rFonts w:ascii="PT Astra Serif" w:hAnsi="PT Astra Serif"/>
                <w:bCs/>
                <w:sz w:val="24"/>
                <w:szCs w:val="24"/>
              </w:rPr>
            </w:pPr>
            <w:r>
              <w:rPr>
                <w:rFonts w:ascii="PT Astra Serif" w:hAnsi="PT Astra Serif"/>
                <w:bCs/>
                <w:sz w:val="24"/>
                <w:szCs w:val="24"/>
              </w:rPr>
              <w:t xml:space="preserve">Доходы </w:t>
            </w:r>
            <w:r>
              <w:rPr>
                <w:rFonts w:ascii="PT Astra Serif" w:hAnsi="PT Astra Serif" w:eastAsia="Calibri"/>
                <w:sz w:val="24"/>
                <w:szCs w:val="24"/>
              </w:rPr>
              <w:t xml:space="preserve">–</w:t>
            </w:r>
            <w:r>
              <w:rPr>
                <w:rFonts w:ascii="PT Astra Serif" w:hAnsi="PT Astra Serif"/>
                <w:bCs/>
                <w:sz w:val="24"/>
                <w:szCs w:val="24"/>
              </w:rPr>
              <w:t xml:space="preserve"> всего,</w:t>
            </w:r>
            <w:r>
              <w:rPr>
                <w:rFonts w:ascii="PT Astra Serif" w:hAnsi="PT Astra Serif"/>
                <w:bCs/>
                <w:sz w:val="24"/>
                <w:szCs w:val="24"/>
              </w:rPr>
            </w:r>
            <w:r>
              <w:rPr>
                <w:rFonts w:ascii="PT Astra Serif" w:hAnsi="PT Astra Serif"/>
                <w:bCs/>
                <w:sz w:val="24"/>
                <w:szCs w:val="24"/>
              </w:rPr>
            </w:r>
          </w:p>
          <w:p>
            <w:pPr>
              <w:rPr>
                <w:rFonts w:ascii="PT Astra Serif" w:hAnsi="PT Astra Serif"/>
                <w:bCs/>
                <w:sz w:val="24"/>
                <w:szCs w:val="24"/>
              </w:rPr>
            </w:pPr>
            <w:r>
              <w:rPr>
                <w:rFonts w:ascii="PT Astra Serif" w:hAnsi="PT Astra Serif"/>
                <w:bCs/>
                <w:sz w:val="24"/>
                <w:szCs w:val="24"/>
              </w:rPr>
              <w:t xml:space="preserve">в том числе</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921"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t xml:space="preserve">110,0</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t xml:space="preserve">124,7</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t xml:space="preserve">120,7</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t xml:space="preserve">96,8</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t xml:space="preserve">109,8</w:t>
            </w:r>
            <w:r>
              <w:rPr>
                <w:rFonts w:ascii="PT Astra Serif" w:hAnsi="PT Astra Serif"/>
                <w:bCs/>
                <w:sz w:val="24"/>
                <w:szCs w:val="24"/>
              </w:rPr>
            </w:r>
            <w:r>
              <w:rPr>
                <w:rFonts w:ascii="PT Astra Serif" w:hAnsi="PT Astra Serif"/>
                <w:bCs/>
                <w:sz w:val="24"/>
                <w:szCs w:val="24"/>
              </w:rPr>
            </w:r>
          </w:p>
        </w:tc>
      </w:tr>
      <w:tr>
        <w:tblPrEx/>
        <w:trPr/>
        <w:tc>
          <w:tcPr>
            <w:tcBorders>
              <w:top w:val="single" w:color="auto" w:sz="4" w:space="0"/>
              <w:left w:val="single" w:color="auto" w:sz="4" w:space="0"/>
              <w:bottom w:val="single" w:color="auto" w:sz="4" w:space="0"/>
              <w:right w:val="single" w:color="auto" w:sz="4" w:space="0"/>
            </w:tcBorders>
            <w:tcW w:w="1028" w:type="pct"/>
            <w:textDirection w:val="lrTb"/>
            <w:noWrap w:val="false"/>
          </w:tcPr>
          <w:p>
            <w:pPr>
              <w:rPr>
                <w:rFonts w:ascii="PT Astra Serif" w:hAnsi="PT Astra Serif"/>
                <w:bCs/>
                <w:sz w:val="24"/>
                <w:szCs w:val="24"/>
              </w:rPr>
            </w:pPr>
            <w:r>
              <w:rPr>
                <w:rFonts w:ascii="PT Astra Serif" w:hAnsi="PT Astra Serif"/>
                <w:bCs/>
                <w:sz w:val="24"/>
                <w:szCs w:val="24"/>
              </w:rPr>
              <w:t xml:space="preserve">налоговые и неналоговые</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921"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t xml:space="preserve">80,1</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t xml:space="preserve">94,3</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t xml:space="preserve">92,1</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t xml:space="preserve">97,6</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t xml:space="preserve">115,1</w:t>
            </w:r>
            <w:r>
              <w:rPr>
                <w:rFonts w:ascii="PT Astra Serif" w:hAnsi="PT Astra Serif"/>
                <w:bCs/>
                <w:sz w:val="24"/>
                <w:szCs w:val="24"/>
              </w:rPr>
            </w:r>
            <w:r>
              <w:rPr>
                <w:rFonts w:ascii="PT Astra Serif" w:hAnsi="PT Astra Serif"/>
                <w:bCs/>
                <w:sz w:val="24"/>
                <w:szCs w:val="24"/>
              </w:rPr>
            </w:r>
          </w:p>
        </w:tc>
      </w:tr>
      <w:tr>
        <w:tblPrEx/>
        <w:trPr/>
        <w:tc>
          <w:tcPr>
            <w:tcBorders>
              <w:top w:val="single" w:color="auto" w:sz="4" w:space="0"/>
              <w:left w:val="single" w:color="auto" w:sz="4" w:space="0"/>
              <w:bottom w:val="single" w:color="auto" w:sz="4" w:space="0"/>
              <w:right w:val="single" w:color="auto" w:sz="4" w:space="0"/>
            </w:tcBorders>
            <w:tcW w:w="1028" w:type="pct"/>
            <w:textDirection w:val="lrTb"/>
            <w:noWrap w:val="false"/>
          </w:tcPr>
          <w:p>
            <w:pPr>
              <w:rPr>
                <w:rFonts w:ascii="PT Astra Serif" w:hAnsi="PT Astra Serif"/>
                <w:bCs/>
                <w:sz w:val="24"/>
                <w:szCs w:val="24"/>
              </w:rPr>
            </w:pPr>
            <w:r>
              <w:rPr>
                <w:rFonts w:ascii="PT Astra Serif" w:hAnsi="PT Astra Serif"/>
                <w:bCs/>
                <w:sz w:val="24"/>
                <w:szCs w:val="24"/>
              </w:rPr>
              <w:t xml:space="preserve">Расходы </w:t>
            </w:r>
            <w:r>
              <w:rPr>
                <w:rFonts w:ascii="PT Astra Serif" w:hAnsi="PT Astra Serif" w:eastAsia="Calibri"/>
                <w:sz w:val="24"/>
                <w:szCs w:val="24"/>
              </w:rPr>
              <w:t xml:space="preserve">–</w:t>
            </w:r>
            <w:r>
              <w:rPr>
                <w:rFonts w:ascii="PT Astra Serif" w:hAnsi="PT Astra Serif"/>
                <w:bCs/>
                <w:sz w:val="24"/>
                <w:szCs w:val="24"/>
              </w:rPr>
              <w:t xml:space="preserve"> всего</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921"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t xml:space="preserve">107,6</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t xml:space="preserve">127,5</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t xml:space="preserve">120,1</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t xml:space="preserve">94,2</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t xml:space="preserve">111,6</w:t>
            </w:r>
            <w:r>
              <w:rPr>
                <w:rFonts w:ascii="PT Astra Serif" w:hAnsi="PT Astra Serif"/>
                <w:bCs/>
                <w:sz w:val="24"/>
                <w:szCs w:val="24"/>
              </w:rPr>
            </w:r>
            <w:r>
              <w:rPr>
                <w:rFonts w:ascii="PT Astra Serif" w:hAnsi="PT Astra Serif"/>
                <w:bCs/>
                <w:sz w:val="24"/>
                <w:szCs w:val="24"/>
              </w:rPr>
            </w:r>
          </w:p>
        </w:tc>
      </w:tr>
      <w:tr>
        <w:tblPrEx/>
        <w:trPr/>
        <w:tc>
          <w:tcPr>
            <w:tcBorders>
              <w:top w:val="single" w:color="auto" w:sz="4" w:space="0"/>
              <w:left w:val="single" w:color="auto" w:sz="4" w:space="0"/>
              <w:bottom w:val="single" w:color="auto" w:sz="4" w:space="0"/>
              <w:right w:val="single" w:color="auto" w:sz="4" w:space="0"/>
            </w:tcBorders>
            <w:tcW w:w="1028" w:type="pct"/>
            <w:textDirection w:val="lrTb"/>
            <w:noWrap w:val="false"/>
          </w:tcPr>
          <w:p>
            <w:pPr>
              <w:rPr>
                <w:rFonts w:ascii="PT Astra Serif" w:hAnsi="PT Astra Serif"/>
                <w:bCs/>
                <w:sz w:val="24"/>
                <w:szCs w:val="24"/>
              </w:rPr>
            </w:pPr>
            <w:r>
              <w:rPr>
                <w:rFonts w:ascii="PT Astra Serif" w:hAnsi="PT Astra Serif"/>
                <w:bCs/>
                <w:sz w:val="24"/>
                <w:szCs w:val="24"/>
              </w:rPr>
              <w:t xml:space="preserve">Дефицит (-)</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921"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t xml:space="preserve">2,4</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t xml:space="preserve">-2,8</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t xml:space="preserve">0,6</w:t>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r>
            <w:r>
              <w:rPr>
                <w:rFonts w:ascii="PT Astra Serif" w:hAnsi="PT Astra Serif"/>
                <w:bCs/>
                <w:sz w:val="24"/>
                <w:szCs w:val="24"/>
              </w:rPr>
            </w:r>
            <w:r>
              <w:rPr>
                <w:rFonts w:ascii="PT Astra Serif" w:hAnsi="PT Astra Serif"/>
                <w:bCs/>
                <w:sz w:val="24"/>
                <w:szCs w:val="24"/>
              </w:rP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rPr>
                <w:rFonts w:ascii="PT Astra Serif" w:hAnsi="PT Astra Serif"/>
                <w:bCs/>
                <w:sz w:val="24"/>
                <w:szCs w:val="24"/>
              </w:rPr>
            </w:pPr>
            <w:r>
              <w:rPr>
                <w:rFonts w:ascii="PT Astra Serif" w:hAnsi="PT Astra Serif"/>
                <w:bCs/>
                <w:sz w:val="24"/>
                <w:szCs w:val="24"/>
              </w:rPr>
            </w:r>
            <w:r>
              <w:rPr>
                <w:rFonts w:ascii="PT Astra Serif" w:hAnsi="PT Astra Serif"/>
                <w:bCs/>
                <w:sz w:val="24"/>
                <w:szCs w:val="24"/>
              </w:rPr>
            </w:r>
            <w:r>
              <w:rPr>
                <w:rFonts w:ascii="PT Astra Serif" w:hAnsi="PT Astra Serif"/>
                <w:bCs/>
                <w:sz w:val="24"/>
                <w:szCs w:val="24"/>
              </w:rPr>
            </w:r>
          </w:p>
        </w:tc>
      </w:tr>
    </w:tbl>
    <w:p>
      <w:pPr>
        <w:jc w:val="center"/>
        <w:spacing w:after="0" w:line="240" w:lineRule="auto"/>
        <w:rPr>
          <w:rFonts w:ascii="PT Astra Serif" w:hAnsi="PT Astra Serif"/>
          <w:bCs/>
          <w:sz w:val="24"/>
          <w:szCs w:val="24"/>
        </w:rPr>
      </w:pPr>
      <w:r>
        <w:rPr>
          <w:rFonts w:ascii="PT Astra Serif" w:hAnsi="PT Astra Serif"/>
          <w:bCs/>
          <w:sz w:val="24"/>
          <w:szCs w:val="24"/>
        </w:rPr>
      </w:r>
      <w:r>
        <w:rPr>
          <w:rFonts w:ascii="PT Astra Serif" w:hAnsi="PT Astra Serif"/>
          <w:bCs/>
          <w:sz w:val="24"/>
          <w:szCs w:val="24"/>
        </w:rPr>
      </w:r>
      <w:r>
        <w:rPr>
          <w:rFonts w:ascii="PT Astra Serif" w:hAnsi="PT Astra Serif"/>
          <w:bCs/>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t xml:space="preserve">Темп роста общего объема доходов Томской области в 2023 году по сравнению с 2022 годом составил 109,8%, что выше среднего значения по СФО (103%) и ниже среднего значения по РФ (110%).</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Calibri"/>
          <w:bCs/>
          <w:sz w:val="24"/>
          <w:szCs w:val="24"/>
        </w:rPr>
      </w:pPr>
      <w:r>
        <w:rPr>
          <w:rFonts w:ascii="PT Astra Serif" w:hAnsi="PT Astra Serif" w:eastAsia="Times New Roman"/>
          <w:sz w:val="24"/>
          <w:szCs w:val="24"/>
        </w:rPr>
        <w:t xml:space="preserve">По сравнению с 2022 годом налоговые и неналоговые доходы увеличились на 12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 темп роста составил </w:t>
      </w:r>
      <w:r>
        <w:rPr>
          <w:rFonts w:ascii="PT Astra Serif" w:hAnsi="PT Astra Serif"/>
          <w:bCs/>
          <w:sz w:val="24"/>
          <w:szCs w:val="24"/>
        </w:rPr>
        <w:t xml:space="preserve">115,1%</w:t>
      </w:r>
      <w:r>
        <w:rPr>
          <w:rFonts w:ascii="PT Astra Serif" w:hAnsi="PT Astra Serif" w:eastAsia="Calibri"/>
          <w:bCs/>
          <w:i/>
          <w:sz w:val="24"/>
          <w:szCs w:val="24"/>
        </w:rPr>
        <w:t xml:space="preserve"> (на уровне среднероссийского темпа роста 115,3%</w:t>
      </w:r>
      <w:r>
        <w:rPr>
          <w:rFonts w:ascii="PT Astra Serif" w:hAnsi="PT Astra Serif" w:eastAsia="Calibri"/>
          <w:bCs/>
          <w:i/>
          <w:sz w:val="24"/>
          <w:szCs w:val="24"/>
        </w:rPr>
        <w:t xml:space="preserve">,</w:t>
      </w:r>
      <w:r>
        <w:rPr>
          <w:rFonts w:ascii="PT Astra Serif" w:hAnsi="PT Astra Serif" w:eastAsia="Calibri"/>
          <w:bCs/>
          <w:i/>
          <w:sz w:val="24"/>
          <w:szCs w:val="24"/>
        </w:rPr>
        <w:t xml:space="preserve"> за исключением 4 новых регионов</w:t>
      </w:r>
      <w:r>
        <w:rPr>
          <w:rFonts w:ascii="PT Astra Serif" w:hAnsi="PT Astra Serif" w:eastAsia="Calibri"/>
          <w:bCs/>
          <w:i/>
          <w:sz w:val="24"/>
          <w:szCs w:val="24"/>
        </w:rPr>
        <w:t xml:space="preserve">,</w:t>
      </w:r>
      <w:r>
        <w:rPr>
          <w:rFonts w:ascii="PT Astra Serif" w:hAnsi="PT Astra Serif" w:eastAsia="Calibri"/>
          <w:bCs/>
          <w:i/>
          <w:sz w:val="24"/>
          <w:szCs w:val="24"/>
        </w:rPr>
        <w:t xml:space="preserve"> и выше среднего значения по СФО – 109,4%)</w:t>
      </w:r>
      <w:r>
        <w:rPr>
          <w:rFonts w:ascii="PT Astra Serif" w:hAnsi="PT Astra Serif" w:eastAsia="Calibri"/>
          <w:bCs/>
          <w:sz w:val="24"/>
          <w:szCs w:val="24"/>
        </w:rPr>
        <w:t xml:space="preserve">.</w:t>
      </w:r>
      <w:r>
        <w:rPr>
          <w:rFonts w:ascii="PT Astra Serif" w:hAnsi="PT Astra Serif" w:eastAsia="Calibri"/>
          <w:bCs/>
          <w:sz w:val="24"/>
          <w:szCs w:val="24"/>
        </w:rPr>
      </w:r>
      <w:r>
        <w:rPr>
          <w:rFonts w:ascii="PT Astra Serif" w:hAnsi="PT Astra Serif" w:eastAsia="Calibri"/>
          <w:bCs/>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jc w:val="center"/>
        <w:spacing w:after="0" w:line="240" w:lineRule="auto"/>
        <w:tabs>
          <w:tab w:val="left" w:pos="567" w:leader="none"/>
        </w:tabs>
        <w:rPr>
          <w:rFonts w:ascii="PT Astra Serif" w:hAnsi="PT Astra Serif" w:eastAsia="Times New Roman"/>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Times New Roman"/>
          <w:b/>
          <w:sz w:val="24"/>
          <w:szCs w:val="24"/>
        </w:rPr>
        <w:t xml:space="preserve">По темпу роста налоговых и неналоговых доходов регион в 2023 году к уровню 2022 года находится на 41</w:t>
      </w:r>
      <w:r>
        <w:rPr>
          <w:rFonts w:ascii="PT Astra Serif" w:hAnsi="PT Astra Serif" w:eastAsia="Times New Roman"/>
          <w:b/>
          <w:sz w:val="24"/>
          <w:szCs w:val="24"/>
        </w:rPr>
        <w:t xml:space="preserve">-м</w:t>
      </w:r>
      <w:r>
        <w:rPr>
          <w:rFonts w:ascii="PT Astra Serif" w:hAnsi="PT Astra Serif" w:eastAsia="Times New Roman"/>
          <w:b/>
          <w:sz w:val="24"/>
          <w:szCs w:val="24"/>
        </w:rPr>
        <w:t xml:space="preserve"> месте по РФ и на 4</w:t>
      </w:r>
      <w:r>
        <w:rPr>
          <w:rFonts w:ascii="PT Astra Serif" w:hAnsi="PT Astra Serif" w:eastAsia="Times New Roman"/>
          <w:b/>
          <w:sz w:val="24"/>
          <w:szCs w:val="24"/>
        </w:rPr>
        <w:t xml:space="preserve">-м</w:t>
      </w:r>
      <w:r>
        <w:rPr>
          <w:rFonts w:ascii="PT Astra Serif" w:hAnsi="PT Astra Serif" w:eastAsia="Times New Roman"/>
          <w:b/>
          <w:sz w:val="24"/>
          <w:szCs w:val="24"/>
        </w:rPr>
        <w:t xml:space="preserve"> месте по СФО</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t xml:space="preserve">Бюджетообразующими видами экономической деятельности являются: «Обраб</w:t>
      </w:r>
      <w:r>
        <w:rPr>
          <w:rFonts w:ascii="PT Astra Serif" w:hAnsi="PT Astra Serif" w:eastAsia="Times New Roman"/>
          <w:sz w:val="24"/>
          <w:szCs w:val="24"/>
        </w:rPr>
        <w:t xml:space="preserve">атывающие производства» – 22,3%</w:t>
      </w:r>
      <w:r>
        <w:rPr>
          <w:rFonts w:ascii="PT Astra Serif" w:hAnsi="PT Astra Serif" w:eastAsia="Times New Roman"/>
          <w:sz w:val="24"/>
          <w:szCs w:val="24"/>
        </w:rPr>
        <w:t xml:space="preserve">, «Добыча полезных ископаемых» – 13,5%, «Образование и здравоохранение» – 12,4%,«Транспортировка и хранение» – 7,9%.</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t xml:space="preserve">В отчетном периоде в структуре налоговых и неналоговых платежей консолидированного бюджета региона преобладают преимущественно НДФЛ (38,0%) и налог на прибыль организаций (24,6%).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-562610</wp:posOffset>
                </wp:positionH>
                <wp:positionV relativeFrom="paragraph">
                  <wp:posOffset>17145</wp:posOffset>
                </wp:positionV>
                <wp:extent cx="3149600" cy="2009775"/>
                <wp:effectExtent l="0" t="0" r="0" b="9525"/>
                <wp:wrapNone/>
                <wp:docPr id="48"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pic:cNvPicPr>
                        <pic:nvPr/>
                      </pic:nvPicPr>
                      <pic:blipFill>
                        <a:blip r:embed="rId48"/>
                        <a:stretch/>
                      </pic:blipFill>
                      <pic:spPr bwMode="auto">
                        <a:xfrm>
                          <a:off x="0" y="0"/>
                          <a:ext cx="3149600" cy="200977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761664;o:allowoverlap:true;o:allowincell:true;mso-position-horizontal-relative:text;margin-left:-44.30pt;mso-position-horizontal:absolute;mso-position-vertical-relative:text;margin-top:1.35pt;mso-position-vertical:absolute;width:248.00pt;height:158.25pt;mso-wrap-distance-left:9.00pt;mso-wrap-distance-top:0.00pt;mso-wrap-distance-right:9.00pt;mso-wrap-distance-bottom:0.00pt;" stroked="false">
                <v:path textboxrect="0,0,0,0"/>
                <v:imagedata r:id="rId48" o:title=""/>
              </v:shape>
            </w:pict>
          </mc:Fallback>
        </mc:AlternateContent>
      </w:r>
      <w:r>
        <w:rPr>
          <w:rFonts w:ascii="PT Astra Serif" w:hAnsi="PT Astra Serif" w:eastAsia="Times New Roman"/>
          <w:sz w:val="24"/>
          <w:szCs w:val="24"/>
        </w:rPr>
      </w:r>
      <w:r>
        <w:rPr>
          <w:rFonts w:ascii="PT Astra Serif" w:hAnsi="PT Astra Serif" w:eastAsia="Times New Roman"/>
          <w:sz w:val="24"/>
          <w:szCs w:val="24"/>
        </w:rPr>
      </w:r>
    </w:p>
    <w:tbl>
      <w:tblPr>
        <w:tblStyle w:val="114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728"/>
      </w:tblGrid>
      <w:tr>
        <w:tblPrEx/>
        <w:trPr>
          <w:jc w:val="center"/>
          <w:trHeight w:val="3090"/>
        </w:trPr>
        <w:tc>
          <w:tcPr>
            <w:tcW w:w="5249" w:type="dxa"/>
            <w:textDirection w:val="lrTb"/>
            <w:noWrap w:val="false"/>
          </w:tcPr>
          <w:tbl>
            <w:tblPr>
              <w:tblW w:w="3990" w:type="dxa"/>
              <w:tblInd w:w="2517" w:type="dxa"/>
              <w:tblLook w:val="04A0" w:firstRow="1" w:lastRow="0" w:firstColumn="1" w:lastColumn="0" w:noHBand="0" w:noVBand="1"/>
            </w:tblPr>
            <w:tblGrid>
              <w:gridCol w:w="477"/>
              <w:gridCol w:w="3513"/>
            </w:tblGrid>
            <w:tr>
              <w:tblPrEx/>
              <w:trPr>
                <w:trHeight w:val="373"/>
              </w:trPr>
              <w:tc>
                <w:tcPr>
                  <w:shd w:val="clear" w:color="auto" w:fill="337288"/>
                  <w:tcW w:w="477" w:type="dxa"/>
                  <w:vAlign w:val="bottom"/>
                  <w:textDirection w:val="lrTb"/>
                  <w:noWrap/>
                </w:tcPr>
                <w:p>
                  <w:pP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shd w:val="clear" w:color="auto" w:fill="d9d9d9"/>
                  <w:tcBorders>
                    <w:top w:val="single" w:color="FFFFFF" w:sz="4" w:space="0"/>
                    <w:left w:val="single" w:color="FFFFFF" w:sz="4" w:space="0"/>
                    <w:bottom w:val="single" w:color="FFFFFF" w:sz="4" w:space="0"/>
                    <w:right w:val="single" w:color="FFFFFF" w:sz="4" w:space="0"/>
                  </w:tcBorders>
                  <w:tcW w:w="3513" w:type="dxa"/>
                  <w:vAlign w:val="bottom"/>
                  <w:textDirection w:val="lrTb"/>
                  <w:noWrap w:val="false"/>
                </w:tcPr>
                <w:p>
                  <w:pPr>
                    <w:spacing w:after="0" w:line="240" w:lineRule="auto"/>
                    <w:rPr>
                      <w:rFonts w:ascii="PT Astra Serif" w:hAnsi="PT Astra Serif" w:eastAsia="Times New Roman"/>
                      <w:bCs/>
                      <w:sz w:val="24"/>
                      <w:szCs w:val="24"/>
                      <w:lang w:eastAsia="ru-RU"/>
                    </w:rPr>
                  </w:pPr>
                  <w:r>
                    <w:rPr>
                      <w:rFonts w:ascii="PT Astra Serif" w:hAnsi="PT Astra Serif" w:eastAsia="Times New Roman"/>
                      <w:bCs/>
                      <w:sz w:val="24"/>
                      <w:szCs w:val="24"/>
                      <w:lang w:eastAsia="ru-RU"/>
                    </w:rPr>
                    <w:t xml:space="preserve">Налог на прибыль организаций</w:t>
                  </w:r>
                  <w:r>
                    <w:rPr>
                      <w:rFonts w:ascii="PT Astra Serif" w:hAnsi="PT Astra Serif" w:eastAsia="Times New Roman"/>
                      <w:bCs/>
                      <w:sz w:val="24"/>
                      <w:szCs w:val="24"/>
                      <w:lang w:eastAsia="ru-RU"/>
                    </w:rPr>
                  </w:r>
                  <w:r>
                    <w:rPr>
                      <w:rFonts w:ascii="PT Astra Serif" w:hAnsi="PT Astra Serif" w:eastAsia="Times New Roman"/>
                      <w:bCs/>
                      <w:sz w:val="24"/>
                      <w:szCs w:val="24"/>
                      <w:lang w:eastAsia="ru-RU"/>
                    </w:rPr>
                  </w:r>
                </w:p>
              </w:tc>
            </w:tr>
            <w:tr>
              <w:tblPrEx/>
              <w:trPr>
                <w:trHeight w:val="280"/>
              </w:trPr>
              <w:tc>
                <w:tcPr>
                  <w:shd w:val="clear" w:color="auto" w:fill="97c5be"/>
                  <w:tcW w:w="477" w:type="dxa"/>
                  <w:vAlign w:val="bottom"/>
                  <w:textDirection w:val="lrTb"/>
                  <w:noWrap/>
                </w:tcPr>
                <w:p>
                  <w:pP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shd w:val="clear" w:color="auto" w:fill="f2f2f2"/>
                  <w:tcBorders>
                    <w:top w:val="none" w:color="000000" w:sz="4" w:space="0"/>
                    <w:left w:val="single" w:color="FFFFFF" w:sz="4" w:space="0"/>
                    <w:bottom w:val="single" w:color="FFFFFF" w:sz="4" w:space="0"/>
                    <w:right w:val="single" w:color="FFFFFF" w:sz="4" w:space="0"/>
                  </w:tcBorders>
                  <w:tcW w:w="3513" w:type="dxa"/>
                  <w:vAlign w:val="bottom"/>
                  <w:textDirection w:val="lrTb"/>
                  <w:noWrap w:val="false"/>
                </w:tcPr>
                <w:p>
                  <w:pPr>
                    <w:spacing w:after="0" w:line="240" w:lineRule="auto"/>
                    <w:rPr>
                      <w:rFonts w:ascii="PT Astra Serif" w:hAnsi="PT Astra Serif" w:eastAsia="Times New Roman"/>
                      <w:bCs/>
                      <w:sz w:val="24"/>
                      <w:szCs w:val="24"/>
                      <w:lang w:eastAsia="ru-RU"/>
                    </w:rPr>
                  </w:pPr>
                  <w:r>
                    <w:rPr>
                      <w:rFonts w:ascii="PT Astra Serif" w:hAnsi="PT Astra Serif" w:eastAsia="Times New Roman"/>
                      <w:bCs/>
                      <w:sz w:val="24"/>
                      <w:szCs w:val="24"/>
                      <w:lang w:eastAsia="ru-RU"/>
                    </w:rPr>
                    <w:t xml:space="preserve">Налог на доходы физических лиц</w:t>
                  </w:r>
                  <w:r>
                    <w:rPr>
                      <w:rFonts w:ascii="PT Astra Serif" w:hAnsi="PT Astra Serif" w:eastAsia="Times New Roman"/>
                      <w:bCs/>
                      <w:sz w:val="24"/>
                      <w:szCs w:val="24"/>
                      <w:lang w:eastAsia="ru-RU"/>
                    </w:rPr>
                  </w:r>
                  <w:r>
                    <w:rPr>
                      <w:rFonts w:ascii="PT Astra Serif" w:hAnsi="PT Astra Serif" w:eastAsia="Times New Roman"/>
                      <w:bCs/>
                      <w:sz w:val="24"/>
                      <w:szCs w:val="24"/>
                      <w:lang w:eastAsia="ru-RU"/>
                    </w:rPr>
                  </w:r>
                </w:p>
              </w:tc>
            </w:tr>
            <w:tr>
              <w:tblPrEx/>
              <w:trPr>
                <w:trHeight w:val="269"/>
              </w:trPr>
              <w:tc>
                <w:tcPr>
                  <w:shd w:val="clear" w:color="auto" w:fill="5d4c7c"/>
                  <w:tcW w:w="477" w:type="dxa"/>
                  <w:vAlign w:val="bottom"/>
                  <w:textDirection w:val="lrTb"/>
                  <w:noWrap/>
                </w:tcPr>
                <w:p>
                  <w:pP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shd w:val="clear" w:color="auto" w:fill="d9d9d9"/>
                  <w:tcBorders>
                    <w:top w:val="none" w:color="000000" w:sz="4" w:space="0"/>
                    <w:left w:val="single" w:color="FFFFFF" w:sz="4" w:space="0"/>
                    <w:bottom w:val="single" w:color="FFFFFF" w:sz="4" w:space="0"/>
                    <w:right w:val="single" w:color="FFFFFF" w:sz="4" w:space="0"/>
                  </w:tcBorders>
                  <w:tcW w:w="3513" w:type="dxa"/>
                  <w:vAlign w:val="bottom"/>
                  <w:textDirection w:val="lrTb"/>
                  <w:noWrap w:val="false"/>
                </w:tcPr>
                <w:p>
                  <w:pPr>
                    <w:spacing w:after="0" w:line="240" w:lineRule="auto"/>
                    <w:rPr>
                      <w:rFonts w:ascii="PT Astra Serif" w:hAnsi="PT Astra Serif" w:eastAsia="Times New Roman"/>
                      <w:bCs/>
                      <w:sz w:val="24"/>
                      <w:szCs w:val="24"/>
                      <w:lang w:eastAsia="ru-RU"/>
                    </w:rPr>
                  </w:pPr>
                  <w:r>
                    <w:rPr>
                      <w:rFonts w:ascii="PT Astra Serif" w:hAnsi="PT Astra Serif" w:eastAsia="Times New Roman"/>
                      <w:bCs/>
                      <w:sz w:val="24"/>
                      <w:szCs w:val="24"/>
                      <w:lang w:eastAsia="ru-RU"/>
                    </w:rPr>
                    <w:t xml:space="preserve">Акцизы</w:t>
                  </w:r>
                  <w:r>
                    <w:rPr>
                      <w:rFonts w:ascii="PT Astra Serif" w:hAnsi="PT Astra Serif" w:eastAsia="Times New Roman"/>
                      <w:bCs/>
                      <w:sz w:val="24"/>
                      <w:szCs w:val="24"/>
                      <w:lang w:eastAsia="ru-RU"/>
                    </w:rPr>
                  </w:r>
                  <w:r>
                    <w:rPr>
                      <w:rFonts w:ascii="PT Astra Serif" w:hAnsi="PT Astra Serif" w:eastAsia="Times New Roman"/>
                      <w:bCs/>
                      <w:sz w:val="24"/>
                      <w:szCs w:val="24"/>
                      <w:lang w:eastAsia="ru-RU"/>
                    </w:rPr>
                  </w:r>
                </w:p>
              </w:tc>
            </w:tr>
            <w:tr>
              <w:tblPrEx/>
              <w:trPr>
                <w:trHeight w:val="288"/>
              </w:trPr>
              <w:tc>
                <w:tcPr>
                  <w:shd w:val="clear" w:color="auto" w:fill="808080"/>
                  <w:tcW w:w="477" w:type="dxa"/>
                  <w:vAlign w:val="bottom"/>
                  <w:textDirection w:val="lrTb"/>
                  <w:noWrap/>
                </w:tcPr>
                <w:p>
                  <w:pP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shd w:val="clear" w:color="auto" w:fill="f2f2f2"/>
                  <w:tcBorders>
                    <w:top w:val="none" w:color="000000" w:sz="4" w:space="0"/>
                    <w:left w:val="single" w:color="FFFFFF" w:sz="4" w:space="0"/>
                    <w:bottom w:val="single" w:color="FFFFFF" w:sz="4" w:space="0"/>
                    <w:right w:val="single" w:color="FFFFFF" w:sz="4" w:space="0"/>
                  </w:tcBorders>
                  <w:tcW w:w="3513" w:type="dxa"/>
                  <w:vAlign w:val="bottom"/>
                  <w:textDirection w:val="lrTb"/>
                  <w:noWrap w:val="false"/>
                </w:tcPr>
                <w:p>
                  <w:pPr>
                    <w:spacing w:after="0" w:line="240" w:lineRule="auto"/>
                    <w:rPr>
                      <w:rFonts w:ascii="PT Astra Serif" w:hAnsi="PT Astra Serif" w:eastAsia="Times New Roman"/>
                      <w:bCs/>
                      <w:sz w:val="24"/>
                      <w:szCs w:val="24"/>
                      <w:lang w:eastAsia="ru-RU"/>
                    </w:rPr>
                  </w:pPr>
                  <w:r>
                    <w:rPr>
                      <w:rFonts w:ascii="PT Astra Serif" w:hAnsi="PT Astra Serif" w:eastAsia="Times New Roman"/>
                      <w:bCs/>
                      <w:sz w:val="24"/>
                      <w:szCs w:val="24"/>
                      <w:lang w:eastAsia="ru-RU"/>
                    </w:rPr>
                    <w:t xml:space="preserve">Налог на имущество организаций</w:t>
                  </w:r>
                  <w:r>
                    <w:rPr>
                      <w:rFonts w:ascii="PT Astra Serif" w:hAnsi="PT Astra Serif" w:eastAsia="Times New Roman"/>
                      <w:bCs/>
                      <w:sz w:val="24"/>
                      <w:szCs w:val="24"/>
                      <w:lang w:eastAsia="ru-RU"/>
                    </w:rPr>
                  </w:r>
                  <w:r>
                    <w:rPr>
                      <w:rFonts w:ascii="PT Astra Serif" w:hAnsi="PT Astra Serif" w:eastAsia="Times New Roman"/>
                      <w:bCs/>
                      <w:sz w:val="24"/>
                      <w:szCs w:val="24"/>
                      <w:lang w:eastAsia="ru-RU"/>
                    </w:rPr>
                  </w:r>
                </w:p>
              </w:tc>
            </w:tr>
            <w:tr>
              <w:tblPrEx/>
              <w:trPr>
                <w:trHeight w:val="264"/>
              </w:trPr>
              <w:tc>
                <w:tcPr>
                  <w:shd w:val="clear" w:color="auto" w:fill="a5a5a5"/>
                  <w:tcW w:w="477" w:type="dxa"/>
                  <w:vAlign w:val="bottom"/>
                  <w:textDirection w:val="lrTb"/>
                  <w:noWrap/>
                </w:tcPr>
                <w:p>
                  <w:pP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shd w:val="clear" w:color="auto" w:fill="d9d9d9"/>
                  <w:tcBorders>
                    <w:top w:val="none" w:color="000000" w:sz="4" w:space="0"/>
                    <w:left w:val="single" w:color="FFFFFF" w:sz="4" w:space="0"/>
                    <w:bottom w:val="single" w:color="FFFFFF" w:sz="4" w:space="0"/>
                    <w:right w:val="single" w:color="FFFFFF" w:sz="4" w:space="0"/>
                  </w:tcBorders>
                  <w:tcW w:w="3513" w:type="dxa"/>
                  <w:vAlign w:val="bottom"/>
                  <w:textDirection w:val="lrTb"/>
                  <w:noWrap w:val="false"/>
                </w:tcPr>
                <w:p>
                  <w:pPr>
                    <w:spacing w:after="0" w:line="240" w:lineRule="auto"/>
                    <w:rPr>
                      <w:rFonts w:ascii="PT Astra Serif" w:hAnsi="PT Astra Serif" w:eastAsia="Times New Roman"/>
                      <w:bCs/>
                      <w:sz w:val="24"/>
                      <w:szCs w:val="24"/>
                      <w:lang w:eastAsia="ru-RU"/>
                    </w:rPr>
                  </w:pPr>
                  <w:r>
                    <w:rPr>
                      <w:rFonts w:ascii="PT Astra Serif" w:hAnsi="PT Astra Serif" w:eastAsia="Times New Roman"/>
                      <w:bCs/>
                      <w:sz w:val="24"/>
                      <w:szCs w:val="24"/>
                      <w:lang w:eastAsia="ru-RU"/>
                    </w:rPr>
                    <w:t xml:space="preserve">Прочие налоговые доходы</w:t>
                  </w:r>
                  <w:r>
                    <w:rPr>
                      <w:rFonts w:ascii="PT Astra Serif" w:hAnsi="PT Astra Serif" w:eastAsia="Times New Roman"/>
                      <w:bCs/>
                      <w:sz w:val="24"/>
                      <w:szCs w:val="24"/>
                      <w:lang w:eastAsia="ru-RU"/>
                    </w:rPr>
                  </w:r>
                  <w:r>
                    <w:rPr>
                      <w:rFonts w:ascii="PT Astra Serif" w:hAnsi="PT Astra Serif" w:eastAsia="Times New Roman"/>
                      <w:bCs/>
                      <w:sz w:val="24"/>
                      <w:szCs w:val="24"/>
                      <w:lang w:eastAsia="ru-RU"/>
                    </w:rPr>
                  </w:r>
                </w:p>
              </w:tc>
            </w:tr>
            <w:tr>
              <w:tblPrEx/>
              <w:trPr>
                <w:trHeight w:val="281"/>
              </w:trPr>
              <w:tc>
                <w:tcPr>
                  <w:shd w:val="clear" w:color="auto" w:fill="d9d9d9"/>
                  <w:tcW w:w="477" w:type="dxa"/>
                  <w:vAlign w:val="bottom"/>
                  <w:textDirection w:val="lrTb"/>
                  <w:noWrap/>
                </w:tcPr>
                <w:p>
                  <w:pP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c>
                <w:tcPr>
                  <w:shd w:val="clear" w:color="auto" w:fill="f2f2f2"/>
                  <w:tcBorders>
                    <w:top w:val="none" w:color="000000" w:sz="4" w:space="0"/>
                    <w:left w:val="single" w:color="FFFFFF" w:sz="4" w:space="0"/>
                    <w:bottom w:val="single" w:color="FFFFFF" w:sz="4" w:space="0"/>
                    <w:right w:val="single" w:color="FFFFFF" w:sz="4" w:space="0"/>
                  </w:tcBorders>
                  <w:tcW w:w="3513" w:type="dxa"/>
                  <w:vAlign w:val="bottom"/>
                  <w:textDirection w:val="lrTb"/>
                  <w:noWrap w:val="false"/>
                </w:tcPr>
                <w:p>
                  <w:pPr>
                    <w:spacing w:after="0" w:line="240" w:lineRule="auto"/>
                    <w:rPr>
                      <w:rFonts w:ascii="PT Astra Serif" w:hAnsi="PT Astra Serif" w:eastAsia="Times New Roman"/>
                      <w:bCs/>
                      <w:sz w:val="24"/>
                      <w:szCs w:val="24"/>
                      <w:lang w:eastAsia="ru-RU"/>
                    </w:rPr>
                  </w:pPr>
                  <w:r>
                    <w:rPr>
                      <w:rFonts w:ascii="PT Astra Serif" w:hAnsi="PT Astra Serif" w:eastAsia="Times New Roman"/>
                      <w:bCs/>
                      <w:sz w:val="24"/>
                      <w:szCs w:val="24"/>
                      <w:lang w:eastAsia="ru-RU"/>
                    </w:rPr>
                    <w:t xml:space="preserve">Неналоговые доходы</w:t>
                  </w:r>
                  <w:r>
                    <w:rPr>
                      <w:rFonts w:ascii="PT Astra Serif" w:hAnsi="PT Astra Serif" w:eastAsia="Times New Roman"/>
                      <w:bCs/>
                      <w:sz w:val="24"/>
                      <w:szCs w:val="24"/>
                      <w:lang w:eastAsia="ru-RU"/>
                    </w:rPr>
                  </w:r>
                  <w:r>
                    <w:rPr>
                      <w:rFonts w:ascii="PT Astra Serif" w:hAnsi="PT Astra Serif" w:eastAsia="Times New Roman"/>
                      <w:bCs/>
                      <w:sz w:val="24"/>
                      <w:szCs w:val="24"/>
                      <w:lang w:eastAsia="ru-RU"/>
                    </w:rPr>
                  </w:r>
                </w:p>
              </w:tc>
            </w:tr>
          </w:tbl>
          <w:p>
            <w:pPr>
              <w:jc w:val="both"/>
              <w:rPr>
                <w:rFonts w:ascii="PT Astra Serif" w:hAnsi="PT Astra Serif" w:eastAsia="Times New Roman"/>
                <w:sz w:val="24"/>
                <w:szCs w:val="24"/>
                <w:lang w:eastAsia="ru-RU"/>
              </w:rPr>
              <w:outlineLvl w:val="1"/>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tc>
      </w:tr>
    </w:tbl>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jc w:val="center"/>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t xml:space="preserve">Рисунок 1</w:t>
      </w:r>
      <w:r>
        <w:rPr>
          <w:rFonts w:ascii="PT Astra Serif" w:hAnsi="PT Astra Serif" w:eastAsia="Times New Roman"/>
          <w:sz w:val="24"/>
          <w:szCs w:val="24"/>
        </w:rPr>
        <w:t xml:space="preserve">2</w:t>
      </w:r>
      <w:r>
        <w:rPr>
          <w:rFonts w:ascii="PT Astra Serif" w:hAnsi="PT Astra Serif" w:eastAsia="Times New Roman"/>
          <w:sz w:val="24"/>
          <w:szCs w:val="24"/>
        </w:rPr>
        <w:t xml:space="preserve"> – Структура налоговых и неналоговых доходов</w:t>
      </w:r>
      <w:r>
        <w:rPr>
          <w:rFonts w:ascii="PT Astra Serif" w:hAnsi="PT Astra Serif" w:eastAsia="Times New Roman"/>
          <w:sz w:val="24"/>
          <w:szCs w:val="24"/>
        </w:rPr>
        <w:br/>
        <w:t xml:space="preserve">консолидированного бюджета Томской области</w:t>
      </w:r>
      <w:r>
        <w:rPr>
          <w:rFonts w:ascii="PT Astra Serif" w:hAnsi="PT Astra Serif" w:eastAsia="Times New Roman"/>
          <w:sz w:val="24"/>
          <w:szCs w:val="24"/>
        </w:rPr>
      </w:r>
      <w:r>
        <w:rPr>
          <w:rFonts w:ascii="PT Astra Serif" w:hAnsi="PT Astra Serif" w:eastAsia="Times New Roman"/>
          <w:sz w:val="24"/>
          <w:szCs w:val="24"/>
        </w:rPr>
      </w:r>
    </w:p>
    <w:p>
      <w:pPr>
        <w:jc w:val="center"/>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t xml:space="preserve">Значительный рост налоговых платежей наблюдается в следующих отраслях:  «Деятельность финансовая» (на 196,0%), «Образование и здравоохранение» (на 68,2%), «Транспортировка и хранение» (на 28,7%), </w:t>
      </w:r>
      <w:r>
        <w:rPr>
          <w:rFonts w:ascii="PT Astra Serif" w:hAnsi="PT Astra Serif" w:eastAsia="Times New Roman"/>
          <w:sz w:val="24"/>
          <w:szCs w:val="24"/>
        </w:rPr>
        <w:t xml:space="preserve">«</w:t>
      </w:r>
      <w:r>
        <w:rPr>
          <w:rFonts w:ascii="PT Astra Serif" w:hAnsi="PT Astra Serif" w:eastAsia="Times New Roman"/>
          <w:sz w:val="24"/>
          <w:szCs w:val="24"/>
        </w:rPr>
        <w:t xml:space="preserve">Обрабатывающие производства» (на 26,7%), прирост по которым в целом составил порядка 10 </w:t>
      </w:r>
      <w:r>
        <w:rPr>
          <w:rFonts w:ascii="PT Astra Serif" w:hAnsi="PT Astra Serif" w:eastAsia="Times New Roman"/>
          <w:sz w:val="24"/>
          <w:szCs w:val="24"/>
        </w:rPr>
        <w:t xml:space="preserve">млрд </w:t>
      </w:r>
      <w:r>
        <w:rPr>
          <w:rFonts w:ascii="PT Astra Serif" w:hAnsi="PT Astra Serif" w:eastAsia="Times New Roman"/>
          <w:sz w:val="24"/>
          <w:szCs w:val="24"/>
        </w:rPr>
        <w:t xml:space="preserve">рублей.</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bCs/>
          <w:sz w:val="24"/>
          <w:szCs w:val="24"/>
        </w:rPr>
        <w:t xml:space="preserve">Общий объем расходов консолидированного бюджета за 2023 год составил 120,1 </w:t>
      </w:r>
      <w:r>
        <w:rPr>
          <w:rFonts w:ascii="PT Astra Serif" w:hAnsi="PT Astra Serif" w:eastAsia="Calibri"/>
          <w:bCs/>
          <w:sz w:val="24"/>
          <w:szCs w:val="24"/>
        </w:rPr>
        <w:t xml:space="preserve">млрд </w:t>
      </w:r>
      <w:r>
        <w:rPr>
          <w:rFonts w:ascii="PT Astra Serif" w:hAnsi="PT Astra Serif" w:eastAsia="Calibri"/>
          <w:bCs/>
          <w:sz w:val="24"/>
          <w:szCs w:val="24"/>
        </w:rPr>
        <w:t xml:space="preserve">рублей с темпом роста к уровню 2022 года 111,6%</w:t>
      </w:r>
      <w:r>
        <w:rPr>
          <w:rFonts w:ascii="PT Astra Serif" w:hAnsi="PT Astra Serif" w:eastAsia="Calibri"/>
          <w:bCs/>
          <w:i/>
          <w:sz w:val="24"/>
          <w:szCs w:val="24"/>
        </w:rPr>
        <w:t xml:space="preserve">, </w:t>
      </w:r>
      <w:r>
        <w:rPr>
          <w:rFonts w:ascii="PT Astra Serif" w:hAnsi="PT Astra Serif" w:eastAsia="Calibri"/>
          <w:bCs/>
          <w:sz w:val="24"/>
          <w:szCs w:val="24"/>
        </w:rPr>
        <w:t xml:space="preserve">что выше</w:t>
      </w:r>
      <w:r>
        <w:rPr>
          <w:rFonts w:ascii="PT Astra Serif" w:hAnsi="PT Astra Serif" w:eastAsia="Calibri"/>
          <w:bCs/>
          <w:i/>
          <w:sz w:val="24"/>
          <w:szCs w:val="24"/>
        </w:rPr>
        <w:t xml:space="preserve"> </w:t>
      </w:r>
      <w:r>
        <w:rPr>
          <w:rFonts w:ascii="PT Astra Serif" w:hAnsi="PT Astra Serif" w:eastAsia="Calibri"/>
          <w:bCs/>
          <w:sz w:val="24"/>
          <w:szCs w:val="24"/>
        </w:rPr>
        <w:t xml:space="preserve">среднероссийского значения (</w:t>
      </w:r>
      <w:r>
        <w:rPr>
          <w:rFonts w:ascii="PT Astra Serif" w:hAnsi="PT Astra Serif" w:eastAsia="Calibri"/>
          <w:bCs/>
          <w:i/>
          <w:sz w:val="24"/>
          <w:szCs w:val="24"/>
        </w:rPr>
        <w:t xml:space="preserve">110,4%</w:t>
      </w:r>
      <w:r>
        <w:rPr>
          <w:rFonts w:ascii="PT Astra Serif" w:hAnsi="PT Astra Serif" w:eastAsia="Calibri"/>
          <w:bCs/>
          <w:i/>
          <w:sz w:val="24"/>
          <w:szCs w:val="24"/>
        </w:rPr>
        <w:t xml:space="preserve">,</w:t>
      </w:r>
      <w:r>
        <w:rPr>
          <w:rFonts w:ascii="PT Astra Serif" w:hAnsi="PT Astra Serif" w:eastAsia="Calibri"/>
          <w:bCs/>
          <w:i/>
          <w:sz w:val="24"/>
          <w:szCs w:val="24"/>
        </w:rPr>
        <w:t xml:space="preserve"> за исключением 4 новых регионов</w:t>
      </w:r>
      <w:r>
        <w:rPr>
          <w:rFonts w:ascii="PT Astra Serif" w:hAnsi="PT Astra Serif" w:eastAsia="Calibri"/>
          <w:bCs/>
          <w:sz w:val="24"/>
          <w:szCs w:val="24"/>
        </w:rPr>
        <w:t xml:space="preserve">). </w:t>
      </w:r>
      <w:r>
        <w:rPr>
          <w:rFonts w:ascii="PT Astra Serif" w:hAnsi="PT Astra Serif" w:eastAsia="Calibri"/>
          <w:sz w:val="24"/>
          <w:szCs w:val="24"/>
        </w:rPr>
        <w:t xml:space="preserve">По данному показателю регион находится на 20</w:t>
      </w:r>
      <w:r>
        <w:rPr>
          <w:rFonts w:ascii="PT Astra Serif" w:hAnsi="PT Astra Serif" w:eastAsia="Calibri"/>
          <w:sz w:val="24"/>
          <w:szCs w:val="24"/>
        </w:rPr>
        <w:t xml:space="preserve">-м</w:t>
      </w:r>
      <w:r>
        <w:rPr>
          <w:rFonts w:ascii="PT Astra Serif" w:hAnsi="PT Astra Serif" w:eastAsia="Calibri"/>
          <w:sz w:val="24"/>
          <w:szCs w:val="24"/>
        </w:rPr>
        <w:t xml:space="preserve"> месте среди субъектов РФ и 1-м месте среди субъектов СФО.</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margin">
                  <wp:align>center</wp:align>
                </wp:positionH>
                <wp:positionV relativeFrom="paragraph">
                  <wp:posOffset>3175</wp:posOffset>
                </wp:positionV>
                <wp:extent cx="4113530" cy="2809240"/>
                <wp:effectExtent l="0" t="0" r="1270" b="0"/>
                <wp:wrapNone/>
                <wp:docPr id="49"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pic:cNvPicPr>
                        <pic:nvPr/>
                      </pic:nvPicPr>
                      <pic:blipFill>
                        <a:blip r:embed="rId49"/>
                        <a:srcRect l="0" t="12527" r="0" b="0"/>
                        <a:stretch/>
                      </pic:blipFill>
                      <pic:spPr bwMode="auto">
                        <a:xfrm>
                          <a:off x="0" y="0"/>
                          <a:ext cx="4113530" cy="280924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762688;o:allowoverlap:true;o:allowincell:true;mso-position-horizontal-relative:margin;mso-position-horizontal:center;mso-position-vertical-relative:text;margin-top:0.25pt;mso-position-vertical:absolute;width:323.90pt;height:221.20pt;mso-wrap-distance-left:9.00pt;mso-wrap-distance-top:0.00pt;mso-wrap-distance-right:9.00pt;mso-wrap-distance-bottom:0.00pt;" stroked="false">
                <v:path textboxrect="0,0,0,0"/>
                <v:imagedata r:id="rId49" o:title=""/>
              </v:shape>
            </w:pict>
          </mc:Fallback>
        </mc:AlternateConten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center"/>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jc w:val="center"/>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jc w:val="center"/>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t xml:space="preserve">Рисунок 1</w:t>
      </w:r>
      <w:r>
        <w:rPr>
          <w:rFonts w:ascii="PT Astra Serif" w:hAnsi="PT Astra Serif" w:eastAsia="Times New Roman"/>
          <w:sz w:val="24"/>
          <w:szCs w:val="24"/>
        </w:rPr>
        <w:t xml:space="preserve">3</w:t>
      </w:r>
      <w:r>
        <w:rPr>
          <w:rFonts w:ascii="PT Astra Serif" w:hAnsi="PT Astra Serif" w:eastAsia="Times New Roman"/>
          <w:sz w:val="24"/>
          <w:szCs w:val="24"/>
        </w:rPr>
        <w:t xml:space="preserve"> – Структура </w:t>
      </w:r>
      <w:r>
        <w:rPr>
          <w:rFonts w:ascii="PT Astra Serif" w:hAnsi="PT Astra Serif" w:eastAsia="Times New Roman"/>
          <w:sz w:val="24"/>
          <w:szCs w:val="24"/>
        </w:rPr>
        <w:t xml:space="preserve">налоговых и неналоговых доходов </w:t>
      </w:r>
      <w:r>
        <w:rPr>
          <w:rFonts w:ascii="PT Astra Serif" w:hAnsi="PT Astra Serif" w:eastAsia="Times New Roman"/>
          <w:sz w:val="24"/>
          <w:szCs w:val="24"/>
        </w:rPr>
        <w:t xml:space="preserve">консолидированного бюджета Томской области</w:t>
      </w:r>
      <w:r>
        <w:rPr>
          <w:rFonts w:ascii="PT Astra Serif" w:hAnsi="PT Astra Serif" w:eastAsia="Times New Roman"/>
          <w:sz w:val="24"/>
          <w:szCs w:val="24"/>
        </w:rPr>
      </w:r>
      <w:r>
        <w:rPr>
          <w:rFonts w:ascii="PT Astra Serif" w:hAnsi="PT Astra Serif" w:eastAsia="Times New Roman"/>
          <w:sz w:val="24"/>
          <w:szCs w:val="24"/>
        </w:rPr>
      </w:r>
    </w:p>
    <w:p>
      <w:pPr>
        <w:jc w:val="center"/>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t xml:space="preserve">Впервые в 2023 году параметры областного бюджета по доходам и расходам превысили 100 </w:t>
      </w:r>
      <w:r>
        <w:rPr>
          <w:rFonts w:ascii="PT Astra Serif" w:hAnsi="PT Astra Serif" w:eastAsia="Times New Roman"/>
          <w:sz w:val="24"/>
          <w:szCs w:val="24"/>
        </w:rPr>
        <w:t xml:space="preserve">млрд </w:t>
      </w:r>
      <w:r>
        <w:rPr>
          <w:rFonts w:ascii="PT Astra Serif" w:hAnsi="PT Astra Serif" w:eastAsia="Times New Roman"/>
          <w:sz w:val="24"/>
          <w:szCs w:val="24"/>
        </w:rPr>
        <w:t xml:space="preserve">рублей.</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t xml:space="preserve">Общий объем доходов областного бюджета составил 104,4 </w:t>
      </w:r>
      <w:r>
        <w:rPr>
          <w:rFonts w:ascii="PT Astra Serif" w:hAnsi="PT Astra Serif" w:eastAsia="Times New Roman"/>
          <w:sz w:val="24"/>
          <w:szCs w:val="24"/>
        </w:rPr>
        <w:t xml:space="preserve">млрд </w:t>
      </w:r>
      <w:r>
        <w:rPr>
          <w:rFonts w:ascii="PT Astra Serif" w:hAnsi="PT Astra Serif" w:eastAsia="Times New Roman"/>
          <w:sz w:val="24"/>
          <w:szCs w:val="24"/>
        </w:rPr>
        <w:t xml:space="preserve">рублей. Налоговые и неналоговые доходы исполнены в сумме 75,2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 с темпом роста 115,1% к уровню 2022 года (65,4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 Рост обеспечен увеличением налоговых доходов на 15,9% или на 10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 которые составили 72,6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t xml:space="preserve">Хорошую динамику</w:t>
      </w:r>
      <w:r>
        <w:rPr>
          <w:rFonts w:ascii="PT Astra Serif" w:hAnsi="PT Astra Serif" w:eastAsia="Times New Roman"/>
          <w:sz w:val="24"/>
          <w:szCs w:val="24"/>
        </w:rPr>
        <w:t xml:space="preserve"> в первую очередь продемонстрировали поступления по НДФЛ (+19,6%) и  налогу на прибыль организаций (+23,8%), доля которых в собственных доходах областного бюджета составляет порядка 62,8%.</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t xml:space="preserve">Расходы областного бюджета за 2023 год исполнены в сумме 103,9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 с темпом роста к уровню 2022 года 111,</w:t>
      </w:r>
      <w:r>
        <w:rPr>
          <w:rFonts w:ascii="PT Astra Serif" w:hAnsi="PT Astra Serif" w:eastAsia="Times New Roman"/>
          <w:sz w:val="24"/>
          <w:szCs w:val="24"/>
        </w:rPr>
        <w:t xml:space="preserve">4</w:t>
      </w:r>
      <w:r>
        <w:rPr>
          <w:rFonts w:ascii="PT Astra Serif" w:hAnsi="PT Astra Serif" w:eastAsia="Times New Roman"/>
          <w:sz w:val="24"/>
          <w:szCs w:val="24"/>
        </w:rPr>
        <w:t xml:space="preserve">% (2022 год – </w:t>
      </w:r>
      <w:r>
        <w:rPr>
          <w:rFonts w:eastAsia="Times New Roman"/>
          <w:sz w:val="24"/>
          <w:szCs w:val="24"/>
        </w:rPr>
        <w:t xml:space="preserve">93,3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 Данный рост в основном обусловлен значительным увеличением расходов на повышение оплаты труда работников бюджетной сферы. На данные цели из областного бюджета в 2023 году было направлено порядка 6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t xml:space="preserve">Областной бюджет исполнен с профицитом в сумме 0,5 </w:t>
      </w:r>
      <w:r>
        <w:rPr>
          <w:rFonts w:ascii="PT Astra Serif" w:hAnsi="PT Astra Serif" w:eastAsia="Times New Roman"/>
          <w:sz w:val="24"/>
          <w:szCs w:val="24"/>
        </w:rPr>
        <w:t xml:space="preserve">млрд </w:t>
      </w:r>
      <w:r>
        <w:rPr>
          <w:rFonts w:ascii="PT Astra Serif" w:hAnsi="PT Astra Serif" w:eastAsia="Times New Roman"/>
          <w:sz w:val="24"/>
          <w:szCs w:val="24"/>
        </w:rPr>
        <w:t xml:space="preserve">рублей.</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t xml:space="preserve">Объем государственного долга на 1 января 2024 года составил 48,1 </w:t>
      </w:r>
      <w:r>
        <w:rPr>
          <w:rFonts w:ascii="PT Astra Serif" w:hAnsi="PT Astra Serif" w:eastAsia="Times New Roman"/>
          <w:sz w:val="24"/>
          <w:szCs w:val="24"/>
        </w:rPr>
        <w:t xml:space="preserve">млрд </w:t>
      </w:r>
      <w:r>
        <w:rPr>
          <w:rFonts w:ascii="PT Astra Serif" w:hAnsi="PT Astra Serif" w:eastAsia="Times New Roman"/>
          <w:sz w:val="24"/>
          <w:szCs w:val="24"/>
        </w:rPr>
        <w:t xml:space="preserve">рублей, что на 1,1 </w:t>
      </w:r>
      <w:r>
        <w:rPr>
          <w:rFonts w:ascii="PT Astra Serif" w:hAnsi="PT Astra Serif" w:eastAsia="Times New Roman"/>
          <w:sz w:val="24"/>
          <w:szCs w:val="24"/>
        </w:rPr>
        <w:t xml:space="preserve">млрд </w:t>
      </w:r>
      <w:r>
        <w:rPr>
          <w:rFonts w:ascii="PT Astra Serif" w:hAnsi="PT Astra Serif" w:eastAsia="Times New Roman"/>
          <w:sz w:val="24"/>
          <w:szCs w:val="24"/>
        </w:rPr>
        <w:t xml:space="preserve">рублей меньше чем по итогам 2022 года.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t xml:space="preserve">Уровень долговой нагрузки снизился с 75% на 01.01.2023 до 64% на 01.01.2024.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t xml:space="preserve">Муниципальные образования в целом исполнили свои бюджеты по налоговым и неналоговым доходам на 14,9% больше </w:t>
      </w:r>
      <w:r>
        <w:rPr>
          <w:rFonts w:ascii="PT Astra Serif" w:hAnsi="PT Astra Serif" w:eastAsia="Times New Roman"/>
          <w:sz w:val="24"/>
          <w:szCs w:val="24"/>
        </w:rPr>
        <w:t xml:space="preserve">по сравнению с</w:t>
      </w:r>
      <w:r>
        <w:rPr>
          <w:rFonts w:ascii="PT Astra Serif" w:hAnsi="PT Astra Serif" w:eastAsia="Times New Roman"/>
          <w:sz w:val="24"/>
          <w:szCs w:val="24"/>
        </w:rPr>
        <w:t xml:space="preserve"> уровн</w:t>
      </w:r>
      <w:r>
        <w:rPr>
          <w:rFonts w:ascii="PT Astra Serif" w:hAnsi="PT Astra Serif" w:eastAsia="Times New Roman"/>
          <w:sz w:val="24"/>
          <w:szCs w:val="24"/>
        </w:rPr>
        <w:t xml:space="preserve">ем</w:t>
      </w:r>
      <w:r>
        <w:rPr>
          <w:rFonts w:ascii="PT Astra Serif" w:hAnsi="PT Astra Serif" w:eastAsia="Times New Roman"/>
          <w:sz w:val="24"/>
          <w:szCs w:val="24"/>
        </w:rPr>
        <w:t xml:space="preserve"> 2022 года. Лидерами по темпам роста налоговых доходов (в сопоставимых условиях) по итогам 2023 года явл</w:t>
      </w:r>
      <w:r>
        <w:rPr>
          <w:rFonts w:ascii="PT Astra Serif" w:hAnsi="PT Astra Serif" w:eastAsia="Times New Roman"/>
          <w:sz w:val="24"/>
          <w:szCs w:val="24"/>
        </w:rPr>
        <w:t xml:space="preserve">яются муниципальные образования</w:t>
      </w:r>
      <w:r>
        <w:rPr>
          <w:rFonts w:ascii="PT Astra Serif" w:hAnsi="PT Astra Serif" w:eastAsia="Times New Roman"/>
          <w:sz w:val="24"/>
          <w:szCs w:val="24"/>
        </w:rPr>
        <w:t xml:space="preserve"> «город Кедровый» (114,7%), «Парабельский район» (114,2%), «город Томск» (113,9%), «Чаинский район» (112%).</w:t>
      </w:r>
      <w:r>
        <w:rPr>
          <w:rFonts w:ascii="PT Astra Serif" w:hAnsi="PT Astra Serif" w:eastAsia="Times New Roman"/>
          <w:sz w:val="24"/>
          <w:szCs w:val="24"/>
        </w:rPr>
      </w:r>
      <w:r>
        <w:rPr>
          <w:rFonts w:ascii="PT Astra Serif" w:hAnsi="PT Astra Serif" w:eastAsia="Times New Roman"/>
          <w:sz w:val="24"/>
          <w:szCs w:val="24"/>
        </w:rPr>
      </w:r>
    </w:p>
    <w:p>
      <w:pPr>
        <w:ind w:firstLine="12"/>
        <w:jc w:val="center"/>
        <w:spacing w:after="0" w:line="240" w:lineRule="auto"/>
        <w:rPr>
          <w:rFonts w:ascii="PT Astra Serif" w:hAnsi="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PT Astra Serif" w:cs="PT Astra Serif"/>
          <w:b/>
          <w:sz w:val="24"/>
          <w:szCs w:val="24"/>
        </w:rPr>
        <w:t xml:space="preserve">По доле перечислений налоговых доходов в федеральный бюджет  Томская область находится на 6</w:t>
      </w:r>
      <w:r>
        <w:rPr>
          <w:rFonts w:ascii="PT Astra Serif" w:hAnsi="PT Astra Serif" w:eastAsia="PT Astra Serif" w:cs="PT Astra Serif"/>
          <w:b/>
          <w:sz w:val="24"/>
          <w:szCs w:val="24"/>
        </w:rPr>
        <w:t xml:space="preserve">-м</w:t>
      </w:r>
      <w:r>
        <w:rPr>
          <w:rFonts w:ascii="PT Astra Serif" w:hAnsi="PT Astra Serif" w:eastAsia="PT Astra Serif" w:cs="PT Astra Serif"/>
          <w:b/>
          <w:sz w:val="24"/>
          <w:szCs w:val="24"/>
        </w:rPr>
        <w:t xml:space="preserve"> месте среди всех субъектов Российской Федерации</w:t>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t xml:space="preserve">С территории Томской области в 2023 году перечислено в федеральный бюджет 264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 налоговых доходов – это свыше 75% всех собранных на территории Томской области налоговых доходов (2022 г</w:t>
      </w:r>
      <w:r>
        <w:rPr>
          <w:rFonts w:ascii="PT Astra Serif" w:hAnsi="PT Astra Serif" w:eastAsia="Times New Roman"/>
          <w:sz w:val="24"/>
          <w:szCs w:val="24"/>
        </w:rPr>
        <w:t xml:space="preserve">од</w:t>
      </w:r>
      <w:r>
        <w:rPr>
          <w:rFonts w:ascii="PT Astra Serif" w:hAnsi="PT Astra Serif" w:eastAsia="Times New Roman"/>
          <w:sz w:val="24"/>
          <w:szCs w:val="24"/>
        </w:rPr>
        <w:t xml:space="preserve"> – 245,6 </w:t>
      </w:r>
      <w:r>
        <w:rPr>
          <w:rFonts w:ascii="PT Astra Serif" w:hAnsi="PT Astra Serif" w:eastAsia="Times New Roman"/>
          <w:sz w:val="24"/>
          <w:szCs w:val="24"/>
        </w:rPr>
        <w:t xml:space="preserve">млрд</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 76,4%). </w:t>
      </w:r>
      <w:r>
        <w:rPr>
          <w:rFonts w:ascii="PT Astra Serif" w:hAnsi="PT Astra Serif" w:eastAsia="Times New Roman"/>
          <w:sz w:val="24"/>
          <w:szCs w:val="24"/>
        </w:rPr>
      </w:r>
      <w:r>
        <w:rPr>
          <w:rFonts w:ascii="PT Astra Serif" w:hAnsi="PT Astra Serif" w:eastAsia="Times New Roman"/>
          <w:sz w:val="24"/>
          <w:szCs w:val="24"/>
        </w:rPr>
      </w:r>
    </w:p>
    <w:p>
      <w:pPr>
        <w:ind w:firstLine="709"/>
        <w:jc w:val="center"/>
        <w:spacing w:after="0" w:line="240" w:lineRule="auto"/>
        <w:rPr>
          <w:rFonts w:ascii="PT Astra Serif" w:hAnsi="PT Astra Serif"/>
          <w:sz w:val="24"/>
          <w:szCs w:val="24"/>
        </w:rPr>
      </w:pP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64135</wp:posOffset>
                </wp:positionH>
                <wp:positionV relativeFrom="paragraph">
                  <wp:posOffset>2599690</wp:posOffset>
                </wp:positionV>
                <wp:extent cx="5932170" cy="1272540"/>
                <wp:effectExtent l="0" t="0" r="0" b="22860"/>
                <wp:wrapNone/>
                <wp:docPr id="50" name="Группа 34"/>
                <wp:cNvGraphicFramePr/>
                <a:graphic xmlns:a="http://schemas.openxmlformats.org/drawingml/2006/main">
                  <a:graphicData uri="http://schemas.microsoft.com/office/word/2010/wordprocessingGroup">
                    <wpg:wgp>
                      <wpg:cNvGrpSpPr/>
                      <wpg:grpSpPr bwMode="auto">
                        <a:xfrm>
                          <a:off x="0" y="0"/>
                          <a:ext cx="5932170" cy="1272540"/>
                          <a:chOff x="0" y="0"/>
                          <a:chExt cx="6156327" cy="1213774"/>
                        </a:xfrm>
                      </wpg:grpSpPr>
                      <wps:wsp>
                        <wps:cNvPr id="0" name=""/>
                        <wps:cNvSpPr txBox="1"/>
                        <wps:spPr bwMode="auto">
                          <a:xfrm>
                            <a:off x="2119742" y="267109"/>
                            <a:ext cx="1922780" cy="904240"/>
                          </a:xfrm>
                          <a:prstGeom prst="rect">
                            <a:avLst/>
                          </a:prstGeom>
                        </wps:spPr>
                        <wps:txbx>
                          <w:txbxContent>
                            <w:p>
                              <w:pPr>
                                <w:pStyle w:val="1149"/>
                                <w:ind w:left="14"/>
                                <w:spacing w:before="20"/>
                                <w:rPr>
                                  <w:rFonts w:ascii="PT Astra Serif" w:hAnsi="PT Astra Serif"/>
                                  <w:color w:val="000000" w:themeColor="text1"/>
                                  <w:sz w:val="22"/>
                                </w:rPr>
                              </w:pPr>
                              <w:r>
                                <w:rPr>
                                  <w:rFonts w:ascii="PT Astra Serif" w:hAnsi="PT Astra Serif" w:cs="Arial"/>
                                  <w:b/>
                                  <w:bCs/>
                                  <w:color w:val="000000" w:themeColor="text1"/>
                                  <w:spacing w:val="11"/>
                                  <w:sz w:val="28"/>
                                  <w:szCs w:val="32"/>
                                </w:rPr>
                                <w:t xml:space="preserve">76,4%</w:t>
                              </w:r>
                              <w:r>
                                <w:rPr>
                                  <w:rFonts w:ascii="PT Astra Serif" w:hAnsi="PT Astra Serif"/>
                                  <w:color w:val="000000" w:themeColor="text1"/>
                                  <w:sz w:val="22"/>
                                </w:rPr>
                              </w:r>
                              <w:r>
                                <w:rPr>
                                  <w:rFonts w:ascii="PT Astra Serif" w:hAnsi="PT Astra Serif"/>
                                  <w:color w:val="000000" w:themeColor="text1"/>
                                  <w:sz w:val="22"/>
                                </w:rPr>
                              </w:r>
                            </w:p>
                            <w:p>
                              <w:pPr>
                                <w:pStyle w:val="1149"/>
                                <w:ind w:left="14"/>
                                <w:spacing w:before="1"/>
                                <w:rPr>
                                  <w:rFonts w:ascii="PT Astra Serif" w:hAnsi="PT Astra Serif"/>
                                </w:rPr>
                              </w:pPr>
                              <w:r>
                                <w:rPr>
                                  <w:rFonts w:ascii="PT Astra Serif" w:hAnsi="PT Astra Serif" w:cs="Arial"/>
                                  <w:spacing w:val="15"/>
                                  <w:sz w:val="20"/>
                                  <w:szCs w:val="20"/>
                                </w:rPr>
                                <w:t xml:space="preserve">Федеральный</w:t>
                              </w:r>
                              <w:r>
                                <w:rPr>
                                  <w:rFonts w:ascii="PT Astra Serif" w:hAnsi="PT Astra Serif" w:cs="Arial"/>
                                  <w:spacing w:val="-3"/>
                                  <w:sz w:val="20"/>
                                  <w:szCs w:val="20"/>
                                </w:rPr>
                                <w:t xml:space="preserve"> </w:t>
                              </w:r>
                              <w:r>
                                <w:rPr>
                                  <w:rFonts w:ascii="PT Astra Serif" w:hAnsi="PT Astra Serif" w:cs="Arial"/>
                                  <w:spacing w:val="9"/>
                                  <w:sz w:val="20"/>
                                  <w:szCs w:val="20"/>
                                </w:rPr>
                                <w:t xml:space="preserve">бюджет</w:t>
                              </w:r>
                              <w:r>
                                <w:rPr>
                                  <w:rFonts w:ascii="PT Astra Serif" w:hAnsi="PT Astra Serif"/>
                                </w:rPr>
                              </w:r>
                              <w:r>
                                <w:rPr>
                                  <w:rFonts w:ascii="PT Astra Serif" w:hAnsi="PT Astra Serif"/>
                                </w:rPr>
                              </w:r>
                            </w:p>
                            <w:p>
                              <w:pPr>
                                <w:pStyle w:val="1149"/>
                                <w:ind w:left="14"/>
                                <w:spacing w:before="185"/>
                                <w:rPr>
                                  <w:rFonts w:ascii="PT Astra Serif" w:hAnsi="PT Astra Serif"/>
                                  <w:color w:val="009999"/>
                                  <w:sz w:val="22"/>
                                </w:rPr>
                              </w:pPr>
                              <w:r>
                                <w:rPr>
                                  <w:rFonts w:ascii="PT Astra Serif" w:hAnsi="PT Astra Serif" w:cs="Arial"/>
                                  <w:b/>
                                  <w:bCs/>
                                  <w:color w:val="009999"/>
                                  <w:spacing w:val="12"/>
                                  <w:sz w:val="28"/>
                                  <w:szCs w:val="32"/>
                                </w:rPr>
                                <w:t xml:space="preserve">23,6%</w:t>
                              </w:r>
                              <w:r>
                                <w:rPr>
                                  <w:rFonts w:ascii="PT Astra Serif" w:hAnsi="PT Astra Serif"/>
                                  <w:color w:val="009999"/>
                                  <w:sz w:val="22"/>
                                </w:rPr>
                              </w:r>
                              <w:r>
                                <w:rPr>
                                  <w:rFonts w:ascii="PT Astra Serif" w:hAnsi="PT Astra Serif"/>
                                  <w:color w:val="009999"/>
                                  <w:sz w:val="22"/>
                                </w:rPr>
                              </w:r>
                            </w:p>
                            <w:p>
                              <w:pPr>
                                <w:pStyle w:val="1149"/>
                                <w:ind w:left="14"/>
                                <w:spacing w:before="2"/>
                                <w:rPr>
                                  <w:rFonts w:ascii="PT Astra Serif" w:hAnsi="PT Astra Serif"/>
                                </w:rPr>
                              </w:pPr>
                              <w:r>
                                <w:rPr>
                                  <w:rFonts w:ascii="PT Astra Serif" w:hAnsi="PT Astra Serif" w:cs="Arial"/>
                                  <w:spacing w:val="12"/>
                                  <w:sz w:val="20"/>
                                  <w:szCs w:val="20"/>
                                </w:rPr>
                                <w:t xml:space="preserve">Консолидированный</w:t>
                              </w:r>
                              <w:r>
                                <w:rPr>
                                  <w:rFonts w:ascii="PT Astra Serif" w:hAnsi="PT Astra Serif" w:cs="Arial"/>
                                  <w:spacing w:val="3"/>
                                  <w:sz w:val="20"/>
                                  <w:szCs w:val="20"/>
                                </w:rPr>
                                <w:t xml:space="preserve"> </w:t>
                              </w:r>
                              <w:r>
                                <w:rPr>
                                  <w:rFonts w:ascii="PT Astra Serif" w:hAnsi="PT Astra Serif" w:cs="Arial"/>
                                  <w:spacing w:val="9"/>
                                  <w:sz w:val="20"/>
                                  <w:szCs w:val="20"/>
                                </w:rPr>
                                <w:t xml:space="preserve">бюджет</w:t>
                              </w:r>
                              <w:r>
                                <w:rPr>
                                  <w:rFonts w:ascii="PT Astra Serif" w:hAnsi="PT Astra Serif"/>
                                </w:rPr>
                              </w:r>
                              <w:r>
                                <w:rPr>
                                  <w:rFonts w:ascii="PT Astra Serif" w:hAnsi="PT Astra Serif"/>
                                </w:rPr>
                              </w:r>
                            </w:p>
                            <w:p>
                              <w:r/>
                              <w:r/>
                            </w:p>
                          </w:txbxContent>
                        </wps:txbx>
                        <wps:bodyPr vert="horz" wrap="square" lIns="0" tIns="12700" rIns="0" bIns="0" rtlCol="0">
                          <a:noAutofit/>
                        </wps:bodyPr>
                      </wps:wsp>
                      <wps:wsp>
                        <wps:cNvPr id="1" name=""/>
                        <wps:cNvSpPr/>
                        <wps:spPr bwMode="auto">
                          <a:xfrm>
                            <a:off x="2030680" y="41564"/>
                            <a:ext cx="0" cy="1172210"/>
                          </a:xfrm>
                          <a:custGeom>
                            <a:avLst/>
                            <a:gdLst/>
                            <a:ahLst/>
                            <a:cxnLst/>
                            <a:rect l="l" t="t" r="r" b="b"/>
                            <a:pathLst>
                              <a:path h="1172210" fill="norm" stroke="1" extrusionOk="0">
                                <a:moveTo>
                                  <a:pt x="0" y="0"/>
                                </a:moveTo>
                                <a:lnTo>
                                  <a:pt x="0" y="1172108"/>
                                </a:lnTo>
                              </a:path>
                            </a:pathLst>
                          </a:custGeom>
                          <a:ln w="9271">
                            <a:solidFill>
                              <a:srgbClr val="000000"/>
                            </a:solidFill>
                          </a:ln>
                        </wps:spPr>
                        <wps:bodyPr rot="0">
                          <a:prstTxWarp prst="textNoShape">
                            <a:avLst/>
                          </a:prstTxWarp>
                          <a:noAutofit/>
                        </wps:bodyPr>
                      </wps:wsp>
                      <wps:wsp>
                        <wps:cNvPr id="2" name=""/>
                        <wps:cNvSpPr txBox="1"/>
                        <wps:spPr bwMode="auto">
                          <a:xfrm>
                            <a:off x="4233547" y="267109"/>
                            <a:ext cx="1922780" cy="904240"/>
                          </a:xfrm>
                          <a:prstGeom prst="rect">
                            <a:avLst/>
                          </a:prstGeom>
                        </wps:spPr>
                        <wps:txbx>
                          <w:txbxContent>
                            <w:p>
                              <w:pPr>
                                <w:pStyle w:val="1149"/>
                                <w:ind w:left="14"/>
                                <w:spacing w:before="20"/>
                                <w:rPr>
                                  <w:rFonts w:ascii="PT Astra Serif" w:hAnsi="PT Astra Serif"/>
                                  <w:color w:val="000000" w:themeColor="text1"/>
                                  <w:sz w:val="22"/>
                                </w:rPr>
                              </w:pPr>
                              <w:r>
                                <w:rPr>
                                  <w:rFonts w:ascii="PT Astra Serif" w:hAnsi="PT Astra Serif" w:cs="Arial"/>
                                  <w:b/>
                                  <w:bCs/>
                                  <w:color w:val="000000" w:themeColor="text1"/>
                                  <w:spacing w:val="-2"/>
                                  <w:sz w:val="28"/>
                                  <w:szCs w:val="32"/>
                                </w:rPr>
                                <w:t xml:space="preserve">75,2%</w:t>
                              </w:r>
                              <w:r>
                                <w:rPr>
                                  <w:rFonts w:ascii="PT Astra Serif" w:hAnsi="PT Astra Serif"/>
                                  <w:color w:val="000000" w:themeColor="text1"/>
                                  <w:sz w:val="22"/>
                                </w:rPr>
                              </w:r>
                              <w:r>
                                <w:rPr>
                                  <w:rFonts w:ascii="PT Astra Serif" w:hAnsi="PT Astra Serif"/>
                                  <w:color w:val="000000" w:themeColor="text1"/>
                                  <w:sz w:val="22"/>
                                </w:rPr>
                              </w:r>
                            </w:p>
                            <w:p>
                              <w:pPr>
                                <w:pStyle w:val="1149"/>
                                <w:ind w:left="14"/>
                                <w:spacing w:before="1"/>
                                <w:rPr>
                                  <w:rFonts w:ascii="PT Astra Serif" w:hAnsi="PT Astra Serif"/>
                                </w:rPr>
                              </w:pPr>
                              <w:r>
                                <w:rPr>
                                  <w:rFonts w:ascii="PT Astra Serif" w:hAnsi="PT Astra Serif" w:cs="Arial"/>
                                  <w:spacing w:val="15"/>
                                  <w:sz w:val="20"/>
                                  <w:szCs w:val="20"/>
                                </w:rPr>
                                <w:t xml:space="preserve">Федеральный</w:t>
                              </w:r>
                              <w:r>
                                <w:rPr>
                                  <w:rFonts w:ascii="PT Astra Serif" w:hAnsi="PT Astra Serif" w:cs="Arial"/>
                                  <w:spacing w:val="-3"/>
                                  <w:sz w:val="20"/>
                                  <w:szCs w:val="20"/>
                                </w:rPr>
                                <w:t xml:space="preserve"> </w:t>
                              </w:r>
                              <w:r>
                                <w:rPr>
                                  <w:rFonts w:ascii="PT Astra Serif" w:hAnsi="PT Astra Serif" w:cs="Arial"/>
                                  <w:spacing w:val="9"/>
                                  <w:sz w:val="20"/>
                                  <w:szCs w:val="20"/>
                                </w:rPr>
                                <w:t xml:space="preserve">бюджет</w:t>
                              </w:r>
                              <w:r>
                                <w:rPr>
                                  <w:rFonts w:ascii="PT Astra Serif" w:hAnsi="PT Astra Serif"/>
                                </w:rPr>
                              </w:r>
                              <w:r>
                                <w:rPr>
                                  <w:rFonts w:ascii="PT Astra Serif" w:hAnsi="PT Astra Serif"/>
                                </w:rPr>
                              </w:r>
                            </w:p>
                            <w:p>
                              <w:pPr>
                                <w:pStyle w:val="1149"/>
                                <w:ind w:left="14"/>
                                <w:spacing w:before="185"/>
                                <w:rPr>
                                  <w:rFonts w:ascii="PT Astra Serif" w:hAnsi="PT Astra Serif"/>
                                  <w:color w:val="009999"/>
                                  <w:sz w:val="22"/>
                                </w:rPr>
                              </w:pPr>
                              <w:r>
                                <w:rPr>
                                  <w:rFonts w:ascii="PT Astra Serif" w:hAnsi="PT Astra Serif" w:cs="Arial"/>
                                  <w:b/>
                                  <w:bCs/>
                                  <w:color w:val="009999"/>
                                  <w:spacing w:val="12"/>
                                  <w:sz w:val="28"/>
                                  <w:szCs w:val="32"/>
                                </w:rPr>
                                <w:t xml:space="preserve">24,8%</w:t>
                              </w:r>
                              <w:r>
                                <w:rPr>
                                  <w:rFonts w:ascii="PT Astra Serif" w:hAnsi="PT Astra Serif"/>
                                  <w:color w:val="009999"/>
                                  <w:sz w:val="22"/>
                                </w:rPr>
                              </w:r>
                              <w:r>
                                <w:rPr>
                                  <w:rFonts w:ascii="PT Astra Serif" w:hAnsi="PT Astra Serif"/>
                                  <w:color w:val="009999"/>
                                  <w:sz w:val="22"/>
                                </w:rPr>
                              </w:r>
                            </w:p>
                            <w:p>
                              <w:pPr>
                                <w:pStyle w:val="1149"/>
                                <w:ind w:left="14"/>
                                <w:spacing w:before="2"/>
                                <w:rPr>
                                  <w:rFonts w:ascii="PT Astra Serif" w:hAnsi="PT Astra Serif"/>
                                </w:rPr>
                              </w:pPr>
                              <w:r>
                                <w:rPr>
                                  <w:rFonts w:ascii="PT Astra Serif" w:hAnsi="PT Astra Serif" w:cs="Arial"/>
                                  <w:spacing w:val="12"/>
                                  <w:sz w:val="20"/>
                                  <w:szCs w:val="20"/>
                                </w:rPr>
                                <w:t xml:space="preserve">Консолидированный</w:t>
                              </w:r>
                              <w:r>
                                <w:rPr>
                                  <w:rFonts w:ascii="PT Astra Serif" w:hAnsi="PT Astra Serif" w:cs="Arial"/>
                                  <w:spacing w:val="3"/>
                                  <w:sz w:val="20"/>
                                  <w:szCs w:val="20"/>
                                </w:rPr>
                                <w:t xml:space="preserve"> </w:t>
                              </w:r>
                              <w:r>
                                <w:rPr>
                                  <w:rFonts w:ascii="PT Astra Serif" w:hAnsi="PT Astra Serif" w:cs="Arial"/>
                                  <w:spacing w:val="9"/>
                                  <w:sz w:val="20"/>
                                  <w:szCs w:val="20"/>
                                </w:rPr>
                                <w:t xml:space="preserve">бюджет</w:t>
                              </w:r>
                              <w:r>
                                <w:rPr>
                                  <w:rFonts w:ascii="PT Astra Serif" w:hAnsi="PT Astra Serif"/>
                                </w:rPr>
                              </w:r>
                              <w:r>
                                <w:rPr>
                                  <w:rFonts w:ascii="PT Astra Serif" w:hAnsi="PT Astra Serif"/>
                                </w:rPr>
                              </w:r>
                            </w:p>
                          </w:txbxContent>
                        </wps:txbx>
                        <wps:bodyPr vert="horz" wrap="square" lIns="0" tIns="12700" rIns="0" bIns="0" rtlCol="0">
                          <a:noAutofit/>
                        </wps:bodyPr>
                      </wps:wsp>
                      <wps:wsp>
                        <wps:cNvPr id="3" name=""/>
                        <wps:cNvSpPr/>
                        <wps:spPr bwMode="auto">
                          <a:xfrm>
                            <a:off x="4102924" y="0"/>
                            <a:ext cx="0" cy="1172210"/>
                          </a:xfrm>
                          <a:custGeom>
                            <a:avLst/>
                            <a:gdLst/>
                            <a:ahLst/>
                            <a:cxnLst/>
                            <a:rect l="l" t="t" r="r" b="b"/>
                            <a:pathLst>
                              <a:path h="1172210" fill="norm" stroke="1" extrusionOk="0">
                                <a:moveTo>
                                  <a:pt x="0" y="0"/>
                                </a:moveTo>
                                <a:lnTo>
                                  <a:pt x="0" y="1172108"/>
                                </a:lnTo>
                              </a:path>
                            </a:pathLst>
                          </a:custGeom>
                          <a:ln w="9271">
                            <a:solidFill>
                              <a:srgbClr val="000000"/>
                            </a:solidFill>
                          </a:ln>
                        </wps:spPr>
                        <wps:bodyPr rot="0">
                          <a:prstTxWarp prst="textNoShape">
                            <a:avLst/>
                          </a:prstTxWarp>
                          <a:noAutofit/>
                        </wps:bodyPr>
                      </wps:wsp>
                      <wps:wsp>
                        <wps:cNvPr id="4" name=""/>
                        <wps:cNvSpPr txBox="1"/>
                        <wps:spPr bwMode="auto">
                          <a:xfrm>
                            <a:off x="100940" y="267109"/>
                            <a:ext cx="1922780" cy="904240"/>
                          </a:xfrm>
                          <a:prstGeom prst="rect">
                            <a:avLst/>
                          </a:prstGeom>
                        </wps:spPr>
                        <wps:txbx>
                          <w:txbxContent>
                            <w:p>
                              <w:pPr>
                                <w:pStyle w:val="1149"/>
                                <w:ind w:left="14"/>
                                <w:spacing w:before="20"/>
                                <w:rPr>
                                  <w:rFonts w:ascii="PT Astra Serif" w:hAnsi="PT Astra Serif"/>
                                  <w:color w:val="000000" w:themeColor="text1"/>
                                  <w:sz w:val="22"/>
                                </w:rPr>
                              </w:pPr>
                              <w:r>
                                <w:rPr>
                                  <w:rFonts w:ascii="PT Astra Serif" w:hAnsi="PT Astra Serif" w:cs="Arial"/>
                                  <w:b/>
                                  <w:bCs/>
                                  <w:color w:val="000000" w:themeColor="text1"/>
                                  <w:spacing w:val="-2"/>
                                  <w:sz w:val="28"/>
                                  <w:szCs w:val="32"/>
                                </w:rPr>
                                <w:t xml:space="preserve">74,5%</w:t>
                              </w:r>
                              <w:r>
                                <w:rPr>
                                  <w:rFonts w:ascii="PT Astra Serif" w:hAnsi="PT Astra Serif"/>
                                  <w:color w:val="000000" w:themeColor="text1"/>
                                  <w:sz w:val="22"/>
                                </w:rPr>
                              </w:r>
                              <w:r>
                                <w:rPr>
                                  <w:rFonts w:ascii="PT Astra Serif" w:hAnsi="PT Astra Serif"/>
                                  <w:color w:val="000000" w:themeColor="text1"/>
                                  <w:sz w:val="22"/>
                                </w:rPr>
                              </w:r>
                            </w:p>
                            <w:p>
                              <w:pPr>
                                <w:pStyle w:val="1149"/>
                                <w:ind w:left="14"/>
                                <w:spacing w:before="1"/>
                                <w:rPr>
                                  <w:rFonts w:ascii="PT Astra Serif" w:hAnsi="PT Astra Serif"/>
                                </w:rPr>
                              </w:pPr>
                              <w:r>
                                <w:rPr>
                                  <w:rFonts w:ascii="PT Astra Serif" w:hAnsi="PT Astra Serif" w:cs="Arial"/>
                                  <w:spacing w:val="15"/>
                                  <w:sz w:val="20"/>
                                  <w:szCs w:val="20"/>
                                </w:rPr>
                                <w:t xml:space="preserve">Федеральный</w:t>
                              </w:r>
                              <w:r>
                                <w:rPr>
                                  <w:rFonts w:ascii="PT Astra Serif" w:hAnsi="PT Astra Serif" w:cs="Arial"/>
                                  <w:spacing w:val="-3"/>
                                  <w:sz w:val="20"/>
                                  <w:szCs w:val="20"/>
                                </w:rPr>
                                <w:t xml:space="preserve"> </w:t>
                              </w:r>
                              <w:r>
                                <w:rPr>
                                  <w:rFonts w:ascii="PT Astra Serif" w:hAnsi="PT Astra Serif" w:cs="Arial"/>
                                  <w:spacing w:val="9"/>
                                  <w:sz w:val="20"/>
                                  <w:szCs w:val="20"/>
                                </w:rPr>
                                <w:t xml:space="preserve">бюджет</w:t>
                              </w:r>
                              <w:r>
                                <w:rPr>
                                  <w:rFonts w:ascii="PT Astra Serif" w:hAnsi="PT Astra Serif"/>
                                </w:rPr>
                              </w:r>
                              <w:r>
                                <w:rPr>
                                  <w:rFonts w:ascii="PT Astra Serif" w:hAnsi="PT Astra Serif"/>
                                </w:rPr>
                              </w:r>
                            </w:p>
                            <w:p>
                              <w:pPr>
                                <w:pStyle w:val="1149"/>
                                <w:ind w:left="14"/>
                                <w:spacing w:before="185"/>
                                <w:rPr>
                                  <w:rFonts w:ascii="PT Astra Serif" w:hAnsi="PT Astra Serif"/>
                                  <w:color w:val="009999"/>
                                  <w:sz w:val="22"/>
                                </w:rPr>
                              </w:pPr>
                              <w:r>
                                <w:rPr>
                                  <w:rFonts w:ascii="PT Astra Serif" w:hAnsi="PT Astra Serif" w:cs="Arial"/>
                                  <w:b/>
                                  <w:bCs/>
                                  <w:color w:val="009999"/>
                                  <w:spacing w:val="12"/>
                                  <w:sz w:val="28"/>
                                  <w:szCs w:val="32"/>
                                </w:rPr>
                                <w:t xml:space="preserve">25,5%</w:t>
                              </w:r>
                              <w:r>
                                <w:rPr>
                                  <w:rFonts w:ascii="PT Astra Serif" w:hAnsi="PT Astra Serif"/>
                                  <w:color w:val="009999"/>
                                  <w:sz w:val="22"/>
                                </w:rPr>
                              </w:r>
                              <w:r>
                                <w:rPr>
                                  <w:rFonts w:ascii="PT Astra Serif" w:hAnsi="PT Astra Serif"/>
                                  <w:color w:val="009999"/>
                                  <w:sz w:val="22"/>
                                </w:rPr>
                              </w:r>
                            </w:p>
                            <w:p>
                              <w:pPr>
                                <w:pStyle w:val="1149"/>
                                <w:ind w:left="14"/>
                                <w:spacing w:before="2"/>
                                <w:rPr>
                                  <w:rFonts w:ascii="PT Astra Serif" w:hAnsi="PT Astra Serif"/>
                                </w:rPr>
                              </w:pPr>
                              <w:r>
                                <w:rPr>
                                  <w:rFonts w:ascii="PT Astra Serif" w:hAnsi="PT Astra Serif" w:cs="Arial"/>
                                  <w:spacing w:val="12"/>
                                  <w:sz w:val="20"/>
                                  <w:szCs w:val="20"/>
                                </w:rPr>
                                <w:t xml:space="preserve">Консолидированный</w:t>
                              </w:r>
                              <w:r>
                                <w:rPr>
                                  <w:rFonts w:ascii="PT Astra Serif" w:hAnsi="PT Astra Serif" w:cs="Arial"/>
                                  <w:spacing w:val="3"/>
                                  <w:sz w:val="20"/>
                                  <w:szCs w:val="20"/>
                                </w:rPr>
                                <w:t xml:space="preserve"> </w:t>
                              </w:r>
                              <w:r>
                                <w:rPr>
                                  <w:rFonts w:ascii="PT Astra Serif" w:hAnsi="PT Astra Serif" w:cs="Arial"/>
                                  <w:spacing w:val="9"/>
                                  <w:sz w:val="20"/>
                                  <w:szCs w:val="20"/>
                                </w:rPr>
                                <w:t xml:space="preserve">бюджет</w:t>
                              </w:r>
                              <w:r>
                                <w:rPr>
                                  <w:rFonts w:ascii="PT Astra Serif" w:hAnsi="PT Astra Serif"/>
                                </w:rPr>
                              </w:r>
                              <w:r>
                                <w:rPr>
                                  <w:rFonts w:ascii="PT Astra Serif" w:hAnsi="PT Astra Serif"/>
                                </w:rPr>
                              </w:r>
                            </w:p>
                          </w:txbxContent>
                        </wps:txbx>
                        <wps:bodyPr vert="horz" wrap="square" lIns="0" tIns="12700" rIns="0" bIns="0" rtlCol="0">
                          <a:noAutofit/>
                        </wps:bodyPr>
                      </wps:wsp>
                      <wps:wsp>
                        <wps:cNvPr id="5" name=""/>
                        <wps:cNvSpPr txBox="1"/>
                        <wps:spPr bwMode="auto">
                          <a:xfrm>
                            <a:off x="2119745" y="41564"/>
                            <a:ext cx="854710" cy="145415"/>
                          </a:xfrm>
                          <a:prstGeom prst="rect">
                            <a:avLst/>
                          </a:prstGeom>
                          <a:solidFill>
                            <a:schemeClr val="bg1">
                              <a:lumMod val="85000"/>
                            </a:schemeClr>
                          </a:solidFill>
                        </wps:spPr>
                        <wps:txbx>
                          <w:txbxContent>
                            <w:p>
                              <w:pPr>
                                <w:pStyle w:val="1149"/>
                                <w:ind w:left="418"/>
                                <w:spacing w:before="11"/>
                                <w:rPr>
                                  <w:rFonts w:ascii="PT Astra Serif" w:hAnsi="PT Astra Serif" w:cs="Arial"/>
                                  <w:b/>
                                  <w:bCs/>
                                  <w:spacing w:val="30"/>
                                  <w:sz w:val="18"/>
                                  <w:szCs w:val="18"/>
                                </w:rPr>
                              </w:pPr>
                              <w:r>
                                <w:rPr>
                                  <w:rFonts w:ascii="PT Astra Serif" w:hAnsi="PT Astra Serif" w:cs="Arial"/>
                                  <w:b/>
                                  <w:bCs/>
                                  <w:spacing w:val="30"/>
                                  <w:sz w:val="18"/>
                                  <w:szCs w:val="18"/>
                                </w:rPr>
                                <w:t xml:space="preserve">Доля</w:t>
                              </w:r>
                              <w:r>
                                <w:rPr>
                                  <w:rFonts w:ascii="PT Astra Serif" w:hAnsi="PT Astra Serif" w:cs="Arial"/>
                                  <w:b/>
                                  <w:bCs/>
                                  <w:spacing w:val="30"/>
                                  <w:sz w:val="18"/>
                                  <w:szCs w:val="18"/>
                                </w:rPr>
                              </w:r>
                              <w:r>
                                <w:rPr>
                                  <w:rFonts w:ascii="PT Astra Serif" w:hAnsi="PT Astra Serif" w:cs="Arial"/>
                                  <w:b/>
                                  <w:bCs/>
                                  <w:spacing w:val="30"/>
                                  <w:sz w:val="18"/>
                                  <w:szCs w:val="18"/>
                                </w:rPr>
                              </w:r>
                            </w:p>
                          </w:txbxContent>
                        </wps:txbx>
                        <wps:bodyPr vert="horz" wrap="square" lIns="0" tIns="6985" rIns="0" bIns="0" rtlCol="0">
                          <a:noAutofit/>
                        </wps:bodyPr>
                      </wps:wsp>
                      <wps:wsp>
                        <wps:cNvPr id="6" name=""/>
                        <wps:cNvSpPr/>
                        <wps:spPr bwMode="auto">
                          <a:xfrm>
                            <a:off x="0" y="35626"/>
                            <a:ext cx="0" cy="1172210"/>
                          </a:xfrm>
                          <a:custGeom>
                            <a:avLst/>
                            <a:gdLst/>
                            <a:ahLst/>
                            <a:cxnLst/>
                            <a:rect l="l" t="t" r="r" b="b"/>
                            <a:pathLst>
                              <a:path h="1172210" fill="norm" stroke="1" extrusionOk="0">
                                <a:moveTo>
                                  <a:pt x="0" y="0"/>
                                </a:moveTo>
                                <a:lnTo>
                                  <a:pt x="0" y="1172108"/>
                                </a:lnTo>
                              </a:path>
                            </a:pathLst>
                          </a:custGeom>
                          <a:ln w="9271">
                            <a:solidFill>
                              <a:srgbClr val="000000"/>
                            </a:solidFill>
                          </a:ln>
                        </wps:spPr>
                        <wps:bodyPr rot="0">
                          <a:prstTxWarp prst="textNoShape">
                            <a:avLst/>
                          </a:prstTxWarp>
                          <a:noAutofit/>
                        </wps:bodyPr>
                      </wps:wsp>
                      <wps:wsp>
                        <wps:cNvPr id="7" name=""/>
                        <wps:cNvSpPr txBox="1"/>
                        <wps:spPr bwMode="auto">
                          <a:xfrm>
                            <a:off x="4245428" y="41564"/>
                            <a:ext cx="854710" cy="145415"/>
                          </a:xfrm>
                          <a:prstGeom prst="rect">
                            <a:avLst/>
                          </a:prstGeom>
                          <a:solidFill>
                            <a:sysClr val="window" lastClr="FFFFFF">
                              <a:lumMod val="85000"/>
                            </a:sysClr>
                          </a:solidFill>
                        </wps:spPr>
                        <wps:txbx>
                          <w:txbxContent>
                            <w:p>
                              <w:pPr>
                                <w:pStyle w:val="1149"/>
                                <w:ind w:left="418"/>
                                <w:spacing w:before="11"/>
                                <w:rPr>
                                  <w:rFonts w:ascii="PT Astra Serif" w:hAnsi="PT Astra Serif" w:cs="Arial"/>
                                  <w:b/>
                                  <w:bCs/>
                                  <w:spacing w:val="30"/>
                                  <w:sz w:val="18"/>
                                  <w:szCs w:val="18"/>
                                </w:rPr>
                              </w:pPr>
                              <w:r>
                                <w:rPr>
                                  <w:rFonts w:ascii="PT Astra Serif" w:hAnsi="PT Astra Serif" w:cs="Arial"/>
                                  <w:b/>
                                  <w:bCs/>
                                  <w:spacing w:val="30"/>
                                  <w:sz w:val="18"/>
                                  <w:szCs w:val="18"/>
                                </w:rPr>
                                <w:t xml:space="preserve">Доля</w:t>
                              </w:r>
                              <w:r>
                                <w:rPr>
                                  <w:rFonts w:ascii="PT Astra Serif" w:hAnsi="PT Astra Serif" w:cs="Arial"/>
                                  <w:b/>
                                  <w:bCs/>
                                  <w:spacing w:val="30"/>
                                  <w:sz w:val="18"/>
                                  <w:szCs w:val="18"/>
                                </w:rPr>
                              </w:r>
                              <w:r>
                                <w:rPr>
                                  <w:rFonts w:ascii="PT Astra Serif" w:hAnsi="PT Astra Serif" w:cs="Arial"/>
                                  <w:b/>
                                  <w:bCs/>
                                  <w:spacing w:val="30"/>
                                  <w:sz w:val="18"/>
                                  <w:szCs w:val="18"/>
                                </w:rPr>
                              </w:r>
                            </w:p>
                          </w:txbxContent>
                        </wps:txbx>
                        <wps:bodyPr vert="horz" wrap="square" lIns="0" tIns="6985" rIns="0" bIns="0" rtlCol="0">
                          <a:noAutofit/>
                        </wps:bodyPr>
                      </wps:wsp>
                      <wps:wsp>
                        <wps:cNvPr id="8" name=""/>
                        <wps:cNvSpPr txBox="1"/>
                        <wps:spPr bwMode="auto">
                          <a:xfrm>
                            <a:off x="112815" y="47501"/>
                            <a:ext cx="854710" cy="145415"/>
                          </a:xfrm>
                          <a:prstGeom prst="rect">
                            <a:avLst/>
                          </a:prstGeom>
                          <a:solidFill>
                            <a:sysClr val="window" lastClr="FFFFFF">
                              <a:lumMod val="85000"/>
                            </a:sysClr>
                          </a:solidFill>
                        </wps:spPr>
                        <wps:txbx>
                          <w:txbxContent>
                            <w:p>
                              <w:pPr>
                                <w:pStyle w:val="1149"/>
                                <w:ind w:left="418"/>
                                <w:spacing w:before="11"/>
                                <w:rPr>
                                  <w:rFonts w:ascii="PT Astra Serif" w:hAnsi="PT Astra Serif" w:cs="Arial"/>
                                  <w:b/>
                                  <w:bCs/>
                                  <w:spacing w:val="30"/>
                                  <w:sz w:val="18"/>
                                  <w:szCs w:val="18"/>
                                </w:rPr>
                              </w:pPr>
                              <w:r>
                                <w:rPr>
                                  <w:rFonts w:ascii="PT Astra Serif" w:hAnsi="PT Astra Serif" w:cs="Arial"/>
                                  <w:b/>
                                  <w:bCs/>
                                  <w:spacing w:val="30"/>
                                  <w:sz w:val="18"/>
                                  <w:szCs w:val="18"/>
                                </w:rPr>
                                <w:t xml:space="preserve">Доля</w:t>
                              </w:r>
                              <w:r>
                                <w:rPr>
                                  <w:rFonts w:ascii="PT Astra Serif" w:hAnsi="PT Astra Serif" w:cs="Arial"/>
                                  <w:b/>
                                  <w:bCs/>
                                  <w:spacing w:val="30"/>
                                  <w:sz w:val="18"/>
                                  <w:szCs w:val="18"/>
                                </w:rPr>
                              </w:r>
                              <w:r>
                                <w:rPr>
                                  <w:rFonts w:ascii="PT Astra Serif" w:hAnsi="PT Astra Serif" w:cs="Arial"/>
                                  <w:b/>
                                  <w:bCs/>
                                  <w:spacing w:val="30"/>
                                  <w:sz w:val="18"/>
                                  <w:szCs w:val="18"/>
                                </w:rPr>
                              </w:r>
                            </w:p>
                          </w:txbxContent>
                        </wps:txbx>
                        <wps:bodyPr vert="horz" wrap="square" lIns="0" tIns="6985"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38" o:spid="_x0000_s0000" style="position:absolute;z-index:251763712;o:allowoverlap:true;o:allowincell:true;mso-position-horizontal-relative:text;margin-left:5.05pt;mso-position-horizontal:absolute;mso-position-vertical-relative:text;margin-top:204.70pt;mso-position-vertical:absolute;width:467.10pt;height:100.20pt;mso-wrap-distance-left:9.00pt;mso-wrap-distance-top:0.00pt;mso-wrap-distance-right:9.00pt;mso-wrap-distance-bottom:0.00pt;" coordorigin="0,0" coordsize="61563,12137">
                <v:shape id="shape 39" o:spid="_x0000_s39" o:spt="202" type="#_x0000_t202" style="position:absolute;left:21197;top:2671;width:19227;height:9042;visibility:visible;" filled="f">
                  <v:textbox inset="0,0,0,0">
                    <w:txbxContent>
                      <w:p>
                        <w:pPr>
                          <w:pStyle w:val="1149"/>
                          <w:ind w:left="14"/>
                          <w:spacing w:before="20"/>
                          <w:rPr>
                            <w:rFonts w:ascii="PT Astra Serif" w:hAnsi="PT Astra Serif"/>
                            <w:color w:val="000000" w:themeColor="text1"/>
                            <w:sz w:val="22"/>
                          </w:rPr>
                        </w:pPr>
                        <w:r>
                          <w:rPr>
                            <w:rFonts w:ascii="PT Astra Serif" w:hAnsi="PT Astra Serif" w:cs="Arial"/>
                            <w:b/>
                            <w:bCs/>
                            <w:color w:val="000000" w:themeColor="text1"/>
                            <w:spacing w:val="11"/>
                            <w:sz w:val="28"/>
                            <w:szCs w:val="32"/>
                          </w:rPr>
                          <w:t xml:space="preserve">76,4%</w:t>
                        </w:r>
                        <w:r>
                          <w:rPr>
                            <w:rFonts w:ascii="PT Astra Serif" w:hAnsi="PT Astra Serif"/>
                            <w:color w:val="000000" w:themeColor="text1"/>
                            <w:sz w:val="22"/>
                          </w:rPr>
                        </w:r>
                        <w:r>
                          <w:rPr>
                            <w:rFonts w:ascii="PT Astra Serif" w:hAnsi="PT Astra Serif"/>
                            <w:color w:val="000000" w:themeColor="text1"/>
                            <w:sz w:val="22"/>
                          </w:rPr>
                        </w:r>
                      </w:p>
                      <w:p>
                        <w:pPr>
                          <w:pStyle w:val="1149"/>
                          <w:ind w:left="14"/>
                          <w:spacing w:before="1"/>
                          <w:rPr>
                            <w:rFonts w:ascii="PT Astra Serif" w:hAnsi="PT Astra Serif"/>
                          </w:rPr>
                        </w:pPr>
                        <w:r>
                          <w:rPr>
                            <w:rFonts w:ascii="PT Astra Serif" w:hAnsi="PT Astra Serif" w:cs="Arial"/>
                            <w:spacing w:val="15"/>
                            <w:sz w:val="20"/>
                            <w:szCs w:val="20"/>
                          </w:rPr>
                          <w:t xml:space="preserve">Федеральный</w:t>
                        </w:r>
                        <w:r>
                          <w:rPr>
                            <w:rFonts w:ascii="PT Astra Serif" w:hAnsi="PT Astra Serif" w:cs="Arial"/>
                            <w:spacing w:val="-3"/>
                            <w:sz w:val="20"/>
                            <w:szCs w:val="20"/>
                          </w:rPr>
                          <w:t xml:space="preserve"> </w:t>
                        </w:r>
                        <w:r>
                          <w:rPr>
                            <w:rFonts w:ascii="PT Astra Serif" w:hAnsi="PT Astra Serif" w:cs="Arial"/>
                            <w:spacing w:val="9"/>
                            <w:sz w:val="20"/>
                            <w:szCs w:val="20"/>
                          </w:rPr>
                          <w:t xml:space="preserve">бюджет</w:t>
                        </w:r>
                        <w:r>
                          <w:rPr>
                            <w:rFonts w:ascii="PT Astra Serif" w:hAnsi="PT Astra Serif"/>
                          </w:rPr>
                        </w:r>
                        <w:r>
                          <w:rPr>
                            <w:rFonts w:ascii="PT Astra Serif" w:hAnsi="PT Astra Serif"/>
                          </w:rPr>
                        </w:r>
                      </w:p>
                      <w:p>
                        <w:pPr>
                          <w:pStyle w:val="1149"/>
                          <w:ind w:left="14"/>
                          <w:spacing w:before="185"/>
                          <w:rPr>
                            <w:rFonts w:ascii="PT Astra Serif" w:hAnsi="PT Astra Serif"/>
                            <w:color w:val="009999"/>
                            <w:sz w:val="22"/>
                          </w:rPr>
                        </w:pPr>
                        <w:r>
                          <w:rPr>
                            <w:rFonts w:ascii="PT Astra Serif" w:hAnsi="PT Astra Serif" w:cs="Arial"/>
                            <w:b/>
                            <w:bCs/>
                            <w:color w:val="009999"/>
                            <w:spacing w:val="12"/>
                            <w:sz w:val="28"/>
                            <w:szCs w:val="32"/>
                          </w:rPr>
                          <w:t xml:space="preserve">23,6%</w:t>
                        </w:r>
                        <w:r>
                          <w:rPr>
                            <w:rFonts w:ascii="PT Astra Serif" w:hAnsi="PT Astra Serif"/>
                            <w:color w:val="009999"/>
                            <w:sz w:val="22"/>
                          </w:rPr>
                        </w:r>
                        <w:r>
                          <w:rPr>
                            <w:rFonts w:ascii="PT Astra Serif" w:hAnsi="PT Astra Serif"/>
                            <w:color w:val="009999"/>
                            <w:sz w:val="22"/>
                          </w:rPr>
                        </w:r>
                      </w:p>
                      <w:p>
                        <w:pPr>
                          <w:pStyle w:val="1149"/>
                          <w:ind w:left="14"/>
                          <w:spacing w:before="2"/>
                          <w:rPr>
                            <w:rFonts w:ascii="PT Astra Serif" w:hAnsi="PT Astra Serif"/>
                          </w:rPr>
                        </w:pPr>
                        <w:r>
                          <w:rPr>
                            <w:rFonts w:ascii="PT Astra Serif" w:hAnsi="PT Astra Serif" w:cs="Arial"/>
                            <w:spacing w:val="12"/>
                            <w:sz w:val="20"/>
                            <w:szCs w:val="20"/>
                          </w:rPr>
                          <w:t xml:space="preserve">Консолидированный</w:t>
                        </w:r>
                        <w:r>
                          <w:rPr>
                            <w:rFonts w:ascii="PT Astra Serif" w:hAnsi="PT Astra Serif" w:cs="Arial"/>
                            <w:spacing w:val="3"/>
                            <w:sz w:val="20"/>
                            <w:szCs w:val="20"/>
                          </w:rPr>
                          <w:t xml:space="preserve"> </w:t>
                        </w:r>
                        <w:r>
                          <w:rPr>
                            <w:rFonts w:ascii="PT Astra Serif" w:hAnsi="PT Astra Serif" w:cs="Arial"/>
                            <w:spacing w:val="9"/>
                            <w:sz w:val="20"/>
                            <w:szCs w:val="20"/>
                          </w:rPr>
                          <w:t xml:space="preserve">бюджет</w:t>
                        </w:r>
                        <w:r>
                          <w:rPr>
                            <w:rFonts w:ascii="PT Astra Serif" w:hAnsi="PT Astra Serif"/>
                          </w:rPr>
                        </w:r>
                        <w:r>
                          <w:rPr>
                            <w:rFonts w:ascii="PT Astra Serif" w:hAnsi="PT Astra Serif"/>
                          </w:rPr>
                        </w:r>
                      </w:p>
                      <w:p>
                        <w:r/>
                        <w:r/>
                      </w:p>
                    </w:txbxContent>
                  </v:textbox>
                </v:shape>
                <v:shape id="shape 40" o:spid="_x0000_s40" style="position:absolute;left:20306;top:415;width:0;height:11722;visibility:visible;" path="m0,0l0,99991e" coordsize="100000,100000" filled="f" strokecolor="#000000" strokeweight="0.73pt">
                  <v:path textboxrect="0,0,100000,100000"/>
                </v:shape>
                <v:shape id="shape 41" o:spid="_x0000_s41" o:spt="202" type="#_x0000_t202" style="position:absolute;left:42335;top:2671;width:19227;height:9042;visibility:visible;" filled="f">
                  <v:textbox inset="0,0,0,0">
                    <w:txbxContent>
                      <w:p>
                        <w:pPr>
                          <w:pStyle w:val="1149"/>
                          <w:ind w:left="14"/>
                          <w:spacing w:before="20"/>
                          <w:rPr>
                            <w:rFonts w:ascii="PT Astra Serif" w:hAnsi="PT Astra Serif"/>
                            <w:color w:val="000000" w:themeColor="text1"/>
                            <w:sz w:val="22"/>
                          </w:rPr>
                        </w:pPr>
                        <w:r>
                          <w:rPr>
                            <w:rFonts w:ascii="PT Astra Serif" w:hAnsi="PT Astra Serif" w:cs="Arial"/>
                            <w:b/>
                            <w:bCs/>
                            <w:color w:val="000000" w:themeColor="text1"/>
                            <w:spacing w:val="-2"/>
                            <w:sz w:val="28"/>
                            <w:szCs w:val="32"/>
                          </w:rPr>
                          <w:t xml:space="preserve">75,2%</w:t>
                        </w:r>
                        <w:r>
                          <w:rPr>
                            <w:rFonts w:ascii="PT Astra Serif" w:hAnsi="PT Astra Serif"/>
                            <w:color w:val="000000" w:themeColor="text1"/>
                            <w:sz w:val="22"/>
                          </w:rPr>
                        </w:r>
                        <w:r>
                          <w:rPr>
                            <w:rFonts w:ascii="PT Astra Serif" w:hAnsi="PT Astra Serif"/>
                            <w:color w:val="000000" w:themeColor="text1"/>
                            <w:sz w:val="22"/>
                          </w:rPr>
                        </w:r>
                      </w:p>
                      <w:p>
                        <w:pPr>
                          <w:pStyle w:val="1149"/>
                          <w:ind w:left="14"/>
                          <w:spacing w:before="1"/>
                          <w:rPr>
                            <w:rFonts w:ascii="PT Astra Serif" w:hAnsi="PT Astra Serif"/>
                          </w:rPr>
                        </w:pPr>
                        <w:r>
                          <w:rPr>
                            <w:rFonts w:ascii="PT Astra Serif" w:hAnsi="PT Astra Serif" w:cs="Arial"/>
                            <w:spacing w:val="15"/>
                            <w:sz w:val="20"/>
                            <w:szCs w:val="20"/>
                          </w:rPr>
                          <w:t xml:space="preserve">Федеральный</w:t>
                        </w:r>
                        <w:r>
                          <w:rPr>
                            <w:rFonts w:ascii="PT Astra Serif" w:hAnsi="PT Astra Serif" w:cs="Arial"/>
                            <w:spacing w:val="-3"/>
                            <w:sz w:val="20"/>
                            <w:szCs w:val="20"/>
                          </w:rPr>
                          <w:t xml:space="preserve"> </w:t>
                        </w:r>
                        <w:r>
                          <w:rPr>
                            <w:rFonts w:ascii="PT Astra Serif" w:hAnsi="PT Astra Serif" w:cs="Arial"/>
                            <w:spacing w:val="9"/>
                            <w:sz w:val="20"/>
                            <w:szCs w:val="20"/>
                          </w:rPr>
                          <w:t xml:space="preserve">бюджет</w:t>
                        </w:r>
                        <w:r>
                          <w:rPr>
                            <w:rFonts w:ascii="PT Astra Serif" w:hAnsi="PT Astra Serif"/>
                          </w:rPr>
                        </w:r>
                        <w:r>
                          <w:rPr>
                            <w:rFonts w:ascii="PT Astra Serif" w:hAnsi="PT Astra Serif"/>
                          </w:rPr>
                        </w:r>
                      </w:p>
                      <w:p>
                        <w:pPr>
                          <w:pStyle w:val="1149"/>
                          <w:ind w:left="14"/>
                          <w:spacing w:before="185"/>
                          <w:rPr>
                            <w:rFonts w:ascii="PT Astra Serif" w:hAnsi="PT Astra Serif"/>
                            <w:color w:val="009999"/>
                            <w:sz w:val="22"/>
                          </w:rPr>
                        </w:pPr>
                        <w:r>
                          <w:rPr>
                            <w:rFonts w:ascii="PT Astra Serif" w:hAnsi="PT Astra Serif" w:cs="Arial"/>
                            <w:b/>
                            <w:bCs/>
                            <w:color w:val="009999"/>
                            <w:spacing w:val="12"/>
                            <w:sz w:val="28"/>
                            <w:szCs w:val="32"/>
                          </w:rPr>
                          <w:t xml:space="preserve">24,8%</w:t>
                        </w:r>
                        <w:r>
                          <w:rPr>
                            <w:rFonts w:ascii="PT Astra Serif" w:hAnsi="PT Astra Serif"/>
                            <w:color w:val="009999"/>
                            <w:sz w:val="22"/>
                          </w:rPr>
                        </w:r>
                        <w:r>
                          <w:rPr>
                            <w:rFonts w:ascii="PT Astra Serif" w:hAnsi="PT Astra Serif"/>
                            <w:color w:val="009999"/>
                            <w:sz w:val="22"/>
                          </w:rPr>
                        </w:r>
                      </w:p>
                      <w:p>
                        <w:pPr>
                          <w:pStyle w:val="1149"/>
                          <w:ind w:left="14"/>
                          <w:spacing w:before="2"/>
                          <w:rPr>
                            <w:rFonts w:ascii="PT Astra Serif" w:hAnsi="PT Astra Serif"/>
                          </w:rPr>
                        </w:pPr>
                        <w:r>
                          <w:rPr>
                            <w:rFonts w:ascii="PT Astra Serif" w:hAnsi="PT Astra Serif" w:cs="Arial"/>
                            <w:spacing w:val="12"/>
                            <w:sz w:val="20"/>
                            <w:szCs w:val="20"/>
                          </w:rPr>
                          <w:t xml:space="preserve">Консолидированный</w:t>
                        </w:r>
                        <w:r>
                          <w:rPr>
                            <w:rFonts w:ascii="PT Astra Serif" w:hAnsi="PT Astra Serif" w:cs="Arial"/>
                            <w:spacing w:val="3"/>
                            <w:sz w:val="20"/>
                            <w:szCs w:val="20"/>
                          </w:rPr>
                          <w:t xml:space="preserve"> </w:t>
                        </w:r>
                        <w:r>
                          <w:rPr>
                            <w:rFonts w:ascii="PT Astra Serif" w:hAnsi="PT Astra Serif" w:cs="Arial"/>
                            <w:spacing w:val="9"/>
                            <w:sz w:val="20"/>
                            <w:szCs w:val="20"/>
                          </w:rPr>
                          <w:t xml:space="preserve">бюджет</w:t>
                        </w:r>
                        <w:r>
                          <w:rPr>
                            <w:rFonts w:ascii="PT Astra Serif" w:hAnsi="PT Astra Serif"/>
                          </w:rPr>
                        </w:r>
                        <w:r>
                          <w:rPr>
                            <w:rFonts w:ascii="PT Astra Serif" w:hAnsi="PT Astra Serif"/>
                          </w:rPr>
                        </w:r>
                      </w:p>
                    </w:txbxContent>
                  </v:textbox>
                </v:shape>
                <v:shape id="shape 42" o:spid="_x0000_s42" style="position:absolute;left:41029;top:0;width:0;height:11722;visibility:visible;" path="m0,0l0,99991e" coordsize="100000,100000" filled="f" strokecolor="#000000" strokeweight="0.73pt">
                  <v:path textboxrect="0,0,100000,100000"/>
                </v:shape>
                <v:shape id="shape 43" o:spid="_x0000_s43" o:spt="202" type="#_x0000_t202" style="position:absolute;left:1009;top:2671;width:19227;height:9042;visibility:visible;" filled="f">
                  <v:textbox inset="0,0,0,0">
                    <w:txbxContent>
                      <w:p>
                        <w:pPr>
                          <w:pStyle w:val="1149"/>
                          <w:ind w:left="14"/>
                          <w:spacing w:before="20"/>
                          <w:rPr>
                            <w:rFonts w:ascii="PT Astra Serif" w:hAnsi="PT Astra Serif"/>
                            <w:color w:val="000000" w:themeColor="text1"/>
                            <w:sz w:val="22"/>
                          </w:rPr>
                        </w:pPr>
                        <w:r>
                          <w:rPr>
                            <w:rFonts w:ascii="PT Astra Serif" w:hAnsi="PT Astra Serif" w:cs="Arial"/>
                            <w:b/>
                            <w:bCs/>
                            <w:color w:val="000000" w:themeColor="text1"/>
                            <w:spacing w:val="-2"/>
                            <w:sz w:val="28"/>
                            <w:szCs w:val="32"/>
                          </w:rPr>
                          <w:t xml:space="preserve">74,5%</w:t>
                        </w:r>
                        <w:r>
                          <w:rPr>
                            <w:rFonts w:ascii="PT Astra Serif" w:hAnsi="PT Astra Serif"/>
                            <w:color w:val="000000" w:themeColor="text1"/>
                            <w:sz w:val="22"/>
                          </w:rPr>
                        </w:r>
                        <w:r>
                          <w:rPr>
                            <w:rFonts w:ascii="PT Astra Serif" w:hAnsi="PT Astra Serif"/>
                            <w:color w:val="000000" w:themeColor="text1"/>
                            <w:sz w:val="22"/>
                          </w:rPr>
                        </w:r>
                      </w:p>
                      <w:p>
                        <w:pPr>
                          <w:pStyle w:val="1149"/>
                          <w:ind w:left="14"/>
                          <w:spacing w:before="1"/>
                          <w:rPr>
                            <w:rFonts w:ascii="PT Astra Serif" w:hAnsi="PT Astra Serif"/>
                          </w:rPr>
                        </w:pPr>
                        <w:r>
                          <w:rPr>
                            <w:rFonts w:ascii="PT Astra Serif" w:hAnsi="PT Astra Serif" w:cs="Arial"/>
                            <w:spacing w:val="15"/>
                            <w:sz w:val="20"/>
                            <w:szCs w:val="20"/>
                          </w:rPr>
                          <w:t xml:space="preserve">Федеральный</w:t>
                        </w:r>
                        <w:r>
                          <w:rPr>
                            <w:rFonts w:ascii="PT Astra Serif" w:hAnsi="PT Astra Serif" w:cs="Arial"/>
                            <w:spacing w:val="-3"/>
                            <w:sz w:val="20"/>
                            <w:szCs w:val="20"/>
                          </w:rPr>
                          <w:t xml:space="preserve"> </w:t>
                        </w:r>
                        <w:r>
                          <w:rPr>
                            <w:rFonts w:ascii="PT Astra Serif" w:hAnsi="PT Astra Serif" w:cs="Arial"/>
                            <w:spacing w:val="9"/>
                            <w:sz w:val="20"/>
                            <w:szCs w:val="20"/>
                          </w:rPr>
                          <w:t xml:space="preserve">бюджет</w:t>
                        </w:r>
                        <w:r>
                          <w:rPr>
                            <w:rFonts w:ascii="PT Astra Serif" w:hAnsi="PT Astra Serif"/>
                          </w:rPr>
                        </w:r>
                        <w:r>
                          <w:rPr>
                            <w:rFonts w:ascii="PT Astra Serif" w:hAnsi="PT Astra Serif"/>
                          </w:rPr>
                        </w:r>
                      </w:p>
                      <w:p>
                        <w:pPr>
                          <w:pStyle w:val="1149"/>
                          <w:ind w:left="14"/>
                          <w:spacing w:before="185"/>
                          <w:rPr>
                            <w:rFonts w:ascii="PT Astra Serif" w:hAnsi="PT Astra Serif"/>
                            <w:color w:val="009999"/>
                            <w:sz w:val="22"/>
                          </w:rPr>
                        </w:pPr>
                        <w:r>
                          <w:rPr>
                            <w:rFonts w:ascii="PT Astra Serif" w:hAnsi="PT Astra Serif" w:cs="Arial"/>
                            <w:b/>
                            <w:bCs/>
                            <w:color w:val="009999"/>
                            <w:spacing w:val="12"/>
                            <w:sz w:val="28"/>
                            <w:szCs w:val="32"/>
                          </w:rPr>
                          <w:t xml:space="preserve">25,5%</w:t>
                        </w:r>
                        <w:r>
                          <w:rPr>
                            <w:rFonts w:ascii="PT Astra Serif" w:hAnsi="PT Astra Serif"/>
                            <w:color w:val="009999"/>
                            <w:sz w:val="22"/>
                          </w:rPr>
                        </w:r>
                        <w:r>
                          <w:rPr>
                            <w:rFonts w:ascii="PT Astra Serif" w:hAnsi="PT Astra Serif"/>
                            <w:color w:val="009999"/>
                            <w:sz w:val="22"/>
                          </w:rPr>
                        </w:r>
                      </w:p>
                      <w:p>
                        <w:pPr>
                          <w:pStyle w:val="1149"/>
                          <w:ind w:left="14"/>
                          <w:spacing w:before="2"/>
                          <w:rPr>
                            <w:rFonts w:ascii="PT Astra Serif" w:hAnsi="PT Astra Serif"/>
                          </w:rPr>
                        </w:pPr>
                        <w:r>
                          <w:rPr>
                            <w:rFonts w:ascii="PT Astra Serif" w:hAnsi="PT Astra Serif" w:cs="Arial"/>
                            <w:spacing w:val="12"/>
                            <w:sz w:val="20"/>
                            <w:szCs w:val="20"/>
                          </w:rPr>
                          <w:t xml:space="preserve">Консолидированный</w:t>
                        </w:r>
                        <w:r>
                          <w:rPr>
                            <w:rFonts w:ascii="PT Astra Serif" w:hAnsi="PT Astra Serif" w:cs="Arial"/>
                            <w:spacing w:val="3"/>
                            <w:sz w:val="20"/>
                            <w:szCs w:val="20"/>
                          </w:rPr>
                          <w:t xml:space="preserve"> </w:t>
                        </w:r>
                        <w:r>
                          <w:rPr>
                            <w:rFonts w:ascii="PT Astra Serif" w:hAnsi="PT Astra Serif" w:cs="Arial"/>
                            <w:spacing w:val="9"/>
                            <w:sz w:val="20"/>
                            <w:szCs w:val="20"/>
                          </w:rPr>
                          <w:t xml:space="preserve">бюджет</w:t>
                        </w:r>
                        <w:r>
                          <w:rPr>
                            <w:rFonts w:ascii="PT Astra Serif" w:hAnsi="PT Astra Serif"/>
                          </w:rPr>
                        </w:r>
                        <w:r>
                          <w:rPr>
                            <w:rFonts w:ascii="PT Astra Serif" w:hAnsi="PT Astra Serif"/>
                          </w:rPr>
                        </w:r>
                      </w:p>
                    </w:txbxContent>
                  </v:textbox>
                </v:shape>
                <v:shape id="shape 44" o:spid="_x0000_s44" o:spt="202" type="#_x0000_t202" style="position:absolute;left:21197;top:415;width:8547;height:1454;visibility:visible;" fillcolor="#D8D8D8">
                  <v:textbox inset="0,0,0,0">
                    <w:txbxContent>
                      <w:p>
                        <w:pPr>
                          <w:pStyle w:val="1149"/>
                          <w:ind w:left="418"/>
                          <w:spacing w:before="11"/>
                          <w:rPr>
                            <w:rFonts w:ascii="PT Astra Serif" w:hAnsi="PT Astra Serif" w:cs="Arial"/>
                            <w:b/>
                            <w:bCs/>
                            <w:spacing w:val="30"/>
                            <w:sz w:val="18"/>
                            <w:szCs w:val="18"/>
                          </w:rPr>
                        </w:pPr>
                        <w:r>
                          <w:rPr>
                            <w:rFonts w:ascii="PT Astra Serif" w:hAnsi="PT Astra Serif" w:cs="Arial"/>
                            <w:b/>
                            <w:bCs/>
                            <w:spacing w:val="30"/>
                            <w:sz w:val="18"/>
                            <w:szCs w:val="18"/>
                          </w:rPr>
                          <w:t xml:space="preserve">Доля</w:t>
                        </w:r>
                        <w:r>
                          <w:rPr>
                            <w:rFonts w:ascii="PT Astra Serif" w:hAnsi="PT Astra Serif" w:cs="Arial"/>
                            <w:b/>
                            <w:bCs/>
                            <w:spacing w:val="30"/>
                            <w:sz w:val="18"/>
                            <w:szCs w:val="18"/>
                          </w:rPr>
                        </w:r>
                        <w:r>
                          <w:rPr>
                            <w:rFonts w:ascii="PT Astra Serif" w:hAnsi="PT Astra Serif" w:cs="Arial"/>
                            <w:b/>
                            <w:bCs/>
                            <w:spacing w:val="30"/>
                            <w:sz w:val="18"/>
                            <w:szCs w:val="18"/>
                          </w:rPr>
                        </w:r>
                      </w:p>
                    </w:txbxContent>
                  </v:textbox>
                </v:shape>
                <v:shape id="shape 45" o:spid="_x0000_s45" style="position:absolute;left:0;top:356;width:0;height:11722;visibility:visible;" path="m0,0l0,99991e" coordsize="100000,100000" filled="f" strokecolor="#000000" strokeweight="0.73pt">
                  <v:path textboxrect="0,0,100000,100000"/>
                </v:shape>
                <v:shape id="shape 46" o:spid="_x0000_s46" o:spt="202" type="#_x0000_t202" style="position:absolute;left:42454;top:415;width:8547;height:1454;visibility:visible;" fillcolor="#D8D8D8">
                  <v:textbox inset="0,0,0,0">
                    <w:txbxContent>
                      <w:p>
                        <w:pPr>
                          <w:pStyle w:val="1149"/>
                          <w:ind w:left="418"/>
                          <w:spacing w:before="11"/>
                          <w:rPr>
                            <w:rFonts w:ascii="PT Astra Serif" w:hAnsi="PT Astra Serif" w:cs="Arial"/>
                            <w:b/>
                            <w:bCs/>
                            <w:spacing w:val="30"/>
                            <w:sz w:val="18"/>
                            <w:szCs w:val="18"/>
                          </w:rPr>
                        </w:pPr>
                        <w:r>
                          <w:rPr>
                            <w:rFonts w:ascii="PT Astra Serif" w:hAnsi="PT Astra Serif" w:cs="Arial"/>
                            <w:b/>
                            <w:bCs/>
                            <w:spacing w:val="30"/>
                            <w:sz w:val="18"/>
                            <w:szCs w:val="18"/>
                          </w:rPr>
                          <w:t xml:space="preserve">Доля</w:t>
                        </w:r>
                        <w:r>
                          <w:rPr>
                            <w:rFonts w:ascii="PT Astra Serif" w:hAnsi="PT Astra Serif" w:cs="Arial"/>
                            <w:b/>
                            <w:bCs/>
                            <w:spacing w:val="30"/>
                            <w:sz w:val="18"/>
                            <w:szCs w:val="18"/>
                          </w:rPr>
                        </w:r>
                        <w:r>
                          <w:rPr>
                            <w:rFonts w:ascii="PT Astra Serif" w:hAnsi="PT Astra Serif" w:cs="Arial"/>
                            <w:b/>
                            <w:bCs/>
                            <w:spacing w:val="30"/>
                            <w:sz w:val="18"/>
                            <w:szCs w:val="18"/>
                          </w:rPr>
                        </w:r>
                      </w:p>
                    </w:txbxContent>
                  </v:textbox>
                </v:shape>
                <v:shape id="shape 47" o:spid="_x0000_s47" o:spt="202" type="#_x0000_t202" style="position:absolute;left:1128;top:475;width:8547;height:1454;visibility:visible;" fillcolor="#D8D8D8">
                  <v:textbox inset="0,0,0,0">
                    <w:txbxContent>
                      <w:p>
                        <w:pPr>
                          <w:pStyle w:val="1149"/>
                          <w:ind w:left="418"/>
                          <w:spacing w:before="11"/>
                          <w:rPr>
                            <w:rFonts w:ascii="PT Astra Serif" w:hAnsi="PT Astra Serif" w:cs="Arial"/>
                            <w:b/>
                            <w:bCs/>
                            <w:spacing w:val="30"/>
                            <w:sz w:val="18"/>
                            <w:szCs w:val="18"/>
                          </w:rPr>
                        </w:pPr>
                        <w:r>
                          <w:rPr>
                            <w:rFonts w:ascii="PT Astra Serif" w:hAnsi="PT Astra Serif" w:cs="Arial"/>
                            <w:b/>
                            <w:bCs/>
                            <w:spacing w:val="30"/>
                            <w:sz w:val="18"/>
                            <w:szCs w:val="18"/>
                          </w:rPr>
                          <w:t xml:space="preserve">Доля</w:t>
                        </w:r>
                        <w:r>
                          <w:rPr>
                            <w:rFonts w:ascii="PT Astra Serif" w:hAnsi="PT Astra Serif" w:cs="Arial"/>
                            <w:b/>
                            <w:bCs/>
                            <w:spacing w:val="30"/>
                            <w:sz w:val="18"/>
                            <w:szCs w:val="18"/>
                          </w:rPr>
                        </w:r>
                        <w:r>
                          <w:rPr>
                            <w:rFonts w:ascii="PT Astra Serif" w:hAnsi="PT Astra Serif" w:cs="Arial"/>
                            <w:b/>
                            <w:bCs/>
                            <w:spacing w:val="30"/>
                            <w:sz w:val="18"/>
                            <w:szCs w:val="18"/>
                          </w:rPr>
                        </w:r>
                      </w:p>
                    </w:txbxContent>
                  </v:textbox>
                </v:shape>
              </v:group>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margin">
                  <wp:posOffset>443865</wp:posOffset>
                </wp:positionH>
                <wp:positionV relativeFrom="paragraph">
                  <wp:posOffset>119380</wp:posOffset>
                </wp:positionV>
                <wp:extent cx="4894580" cy="2479675"/>
                <wp:effectExtent l="0" t="0" r="0" b="0"/>
                <wp:wrapTopAndBottom/>
                <wp:docPr id="51"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9"/>
                        <pic:cNvPicPr>
                          <a:picLocks noChangeAspect="1"/>
                        </pic:cNvPicPr>
                        <pic:nvPr/>
                      </pic:nvPicPr>
                      <pic:blipFill>
                        <a:blip r:embed="rId50"/>
                        <a:srcRect l="7071" t="54193" r="8685" b="0"/>
                        <a:stretch/>
                      </pic:blipFill>
                      <pic:spPr bwMode="auto">
                        <a:xfrm>
                          <a:off x="0" y="0"/>
                          <a:ext cx="4894580" cy="247967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64736;o:allowoverlap:true;o:allowincell:true;mso-position-horizontal-relative:margin;margin-left:34.95pt;mso-position-horizontal:absolute;mso-position-vertical-relative:text;margin-top:9.40pt;mso-position-vertical:absolute;width:385.40pt;height:195.25pt;mso-wrap-distance-left:9.00pt;mso-wrap-distance-top:0.00pt;mso-wrap-distance-right:9.00pt;mso-wrap-distance-bottom:0.00pt;" stroked="false">
                <v:path textboxrect="0,0,0,0"/>
                <w10:wrap type="topAndBottom"/>
                <v:imagedata r:id="rId50" o:title=""/>
              </v:shape>
            </w:pict>
          </mc:Fallback>
        </mc:AlternateConten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1" allowOverlap="1">
                <wp:simplePos x="0" y="0"/>
                <wp:positionH relativeFrom="column">
                  <wp:posOffset>205740</wp:posOffset>
                </wp:positionH>
                <wp:positionV relativeFrom="paragraph">
                  <wp:posOffset>85725</wp:posOffset>
                </wp:positionV>
                <wp:extent cx="4033520" cy="167005"/>
                <wp:effectExtent l="0" t="0" r="0" b="0"/>
                <wp:wrapNone/>
                <wp:docPr id="52" name="Поле 32"/>
                <wp:cNvGraphicFramePr/>
                <a:graphic xmlns:a="http://schemas.openxmlformats.org/drawingml/2006/main">
                  <a:graphicData uri="http://schemas.microsoft.com/office/word/2010/wordprocessingShape">
                    <wps:wsp>
                      <wps:cNvPr id="0" name=""/>
                      <wps:cNvSpPr txBox="1"/>
                      <wps:spPr bwMode="auto">
                        <a:xfrm>
                          <a:off x="0" y="0"/>
                          <a:ext cx="4033520" cy="146685"/>
                        </a:xfrm>
                        <a:prstGeom prst="rect">
                          <a:avLst/>
                        </a:prstGeom>
                      </wps:spPr>
                      <wps:txbx>
                        <w:txbxContent>
                          <w:p>
                            <w:pPr>
                              <w:pStyle w:val="1149"/>
                              <w:ind w:left="14"/>
                              <w:spacing w:before="23"/>
                              <w:rPr>
                                <w:rFonts w:ascii="PT Astra Serif" w:hAnsi="PT Astra Serif"/>
                              </w:rPr>
                            </w:pPr>
                            <w:r>
                              <w:rPr>
                                <w:rFonts w:ascii="Arial" w:hAnsi="Arial" w:cs="Arial"/>
                                <w:color w:val="7f7f7f"/>
                              </w:rPr>
                              <w:t xml:space="preserve">*</w:t>
                            </w:r>
                            <w:r>
                              <w:rPr>
                                <w:rFonts w:ascii="Arial" w:hAnsi="Arial" w:cs="Arial"/>
                                <w:color w:val="7f7f7f"/>
                                <w:spacing w:val="10"/>
                              </w:rPr>
                              <w:t xml:space="preserve"> </w:t>
                            </w:r>
                            <w:r>
                              <w:rPr>
                                <w:rFonts w:ascii="PT Astra Serif" w:hAnsi="PT Astra Serif" w:cs="Arial"/>
                                <w:color w:val="7f7f7f"/>
                              </w:rPr>
                              <w:t xml:space="preserve">без</w:t>
                            </w:r>
                            <w:r>
                              <w:rPr>
                                <w:rFonts w:ascii="PT Astra Serif" w:hAnsi="PT Astra Serif" w:cs="Arial"/>
                                <w:color w:val="7f7f7f"/>
                                <w:spacing w:val="10"/>
                              </w:rPr>
                              <w:t xml:space="preserve"> </w:t>
                            </w:r>
                            <w:r>
                              <w:rPr>
                                <w:rFonts w:ascii="PT Astra Serif" w:hAnsi="PT Astra Serif" w:cs="Arial"/>
                                <w:color w:val="7f7f7f"/>
                              </w:rPr>
                              <w:t xml:space="preserve">учета</w:t>
                            </w:r>
                            <w:r>
                              <w:rPr>
                                <w:rFonts w:ascii="PT Astra Serif" w:hAnsi="PT Astra Serif" w:cs="Arial"/>
                                <w:color w:val="7f7f7f"/>
                                <w:spacing w:val="10"/>
                              </w:rPr>
                              <w:t xml:space="preserve"> </w:t>
                            </w:r>
                            <w:r>
                              <w:rPr>
                                <w:rFonts w:ascii="PT Astra Serif" w:hAnsi="PT Astra Serif" w:cs="Arial"/>
                                <w:color w:val="7f7f7f"/>
                              </w:rPr>
                              <w:t xml:space="preserve">страховых</w:t>
                            </w:r>
                            <w:r>
                              <w:rPr>
                                <w:rFonts w:ascii="PT Astra Serif" w:hAnsi="PT Astra Serif" w:cs="Arial"/>
                                <w:color w:val="7f7f7f"/>
                                <w:spacing w:val="11"/>
                              </w:rPr>
                              <w:t xml:space="preserve"> </w:t>
                            </w:r>
                            <w:r>
                              <w:rPr>
                                <w:rFonts w:ascii="PT Astra Serif" w:hAnsi="PT Astra Serif" w:cs="Arial"/>
                                <w:color w:val="7f7f7f"/>
                              </w:rPr>
                              <w:t xml:space="preserve">взносов</w:t>
                            </w:r>
                            <w:r>
                              <w:rPr>
                                <w:rFonts w:ascii="PT Astra Serif" w:hAnsi="PT Astra Serif" w:cs="Arial"/>
                                <w:color w:val="7f7f7f"/>
                                <w:spacing w:val="10"/>
                              </w:rPr>
                              <w:t xml:space="preserve"> </w:t>
                            </w:r>
                            <w:r>
                              <w:rPr>
                                <w:rFonts w:ascii="PT Astra Serif" w:hAnsi="PT Astra Serif" w:cs="Arial"/>
                                <w:color w:val="7f7f7f"/>
                              </w:rPr>
                              <w:t xml:space="preserve">на</w:t>
                            </w:r>
                            <w:r>
                              <w:rPr>
                                <w:rFonts w:ascii="PT Astra Serif" w:hAnsi="PT Astra Serif" w:cs="Arial"/>
                                <w:color w:val="7f7f7f"/>
                                <w:spacing w:val="10"/>
                              </w:rPr>
                              <w:t xml:space="preserve"> </w:t>
                            </w:r>
                            <w:r>
                              <w:rPr>
                                <w:rFonts w:ascii="PT Astra Serif" w:hAnsi="PT Astra Serif" w:cs="Arial"/>
                                <w:color w:val="7f7f7f"/>
                              </w:rPr>
                              <w:t xml:space="preserve">обязательное</w:t>
                            </w:r>
                            <w:r>
                              <w:rPr>
                                <w:rFonts w:ascii="PT Astra Serif" w:hAnsi="PT Astra Serif" w:cs="Arial"/>
                                <w:color w:val="7f7f7f"/>
                                <w:spacing w:val="11"/>
                              </w:rPr>
                              <w:t xml:space="preserve"> </w:t>
                            </w:r>
                            <w:r>
                              <w:rPr>
                                <w:rFonts w:ascii="PT Astra Serif" w:hAnsi="PT Astra Serif" w:cs="Arial"/>
                                <w:color w:val="7f7f7f"/>
                              </w:rPr>
                              <w:t xml:space="preserve">социальное</w:t>
                            </w:r>
                            <w:r>
                              <w:rPr>
                                <w:rFonts w:ascii="PT Astra Serif" w:hAnsi="PT Astra Serif" w:cs="Arial"/>
                                <w:color w:val="7f7f7f"/>
                                <w:spacing w:val="10"/>
                              </w:rPr>
                              <w:t xml:space="preserve"> </w:t>
                            </w:r>
                            <w:r>
                              <w:rPr>
                                <w:rFonts w:ascii="PT Astra Serif" w:hAnsi="PT Astra Serif" w:cs="Arial"/>
                                <w:color w:val="7f7f7f"/>
                                <w:spacing w:val="-2"/>
                              </w:rPr>
                              <w:t xml:space="preserve">страхование</w:t>
                            </w:r>
                            <w:r>
                              <w:rPr>
                                <w:rFonts w:ascii="PT Astra Serif" w:hAnsi="PT Astra Serif"/>
                              </w:rPr>
                            </w:r>
                            <w:r>
                              <w:rPr>
                                <w:rFonts w:ascii="PT Astra Serif" w:hAnsi="PT Astra Serif"/>
                              </w:rPr>
                            </w:r>
                          </w:p>
                        </w:txbxContent>
                      </wps:txbx>
                      <wps:bodyPr vert="horz" wrap="square" lIns="0" tIns="14605" rIns="0" bIns="0" rtlCol="0">
                        <a:spAutoFit/>
                      </wps:bodyPr>
                    </wps:wsp>
                  </a:graphicData>
                </a:graphic>
                <wp14:sizeRelH relativeFrom="page">
                  <wp14:pctWidth>0</wp14:pctWidth>
                </wp14:sizeRelH>
                <wp14:sizeRelV relativeFrom="page">
                  <wp14:pctHeight>0</wp14:pctHeight>
                </wp14:sizeRelV>
              </wp:anchor>
            </w:drawing>
          </mc:Choice>
          <mc:Fallback>
            <w:pict>
              <v:shape id="shape 49" o:spid="_x0000_s49" o:spt="202" type="#_x0000_t202" style="position:absolute;z-index:251765760;o:allowoverlap:true;o:allowincell:true;mso-position-horizontal-relative:text;margin-left:16.20pt;mso-position-horizontal:absolute;mso-position-vertical-relative:text;margin-top:6.75pt;mso-position-vertical:absolute;width:317.60pt;height:13.15pt;mso-wrap-distance-left:9.00pt;mso-wrap-distance-top:0.00pt;mso-wrap-distance-right:9.00pt;mso-wrap-distance-bottom:0.00pt;visibility:visible;" filled="f">
                <v:textbox inset="0,0,0,0">
                  <w:txbxContent>
                    <w:p>
                      <w:pPr>
                        <w:pStyle w:val="1149"/>
                        <w:ind w:left="14"/>
                        <w:spacing w:before="23"/>
                        <w:rPr>
                          <w:rFonts w:ascii="PT Astra Serif" w:hAnsi="PT Astra Serif"/>
                        </w:rPr>
                      </w:pPr>
                      <w:r>
                        <w:rPr>
                          <w:rFonts w:ascii="Arial" w:hAnsi="Arial" w:cs="Arial"/>
                          <w:color w:val="7f7f7f"/>
                        </w:rPr>
                        <w:t xml:space="preserve">*</w:t>
                      </w:r>
                      <w:r>
                        <w:rPr>
                          <w:rFonts w:ascii="Arial" w:hAnsi="Arial" w:cs="Arial"/>
                          <w:color w:val="7f7f7f"/>
                          <w:spacing w:val="10"/>
                        </w:rPr>
                        <w:t xml:space="preserve"> </w:t>
                      </w:r>
                      <w:r>
                        <w:rPr>
                          <w:rFonts w:ascii="PT Astra Serif" w:hAnsi="PT Astra Serif" w:cs="Arial"/>
                          <w:color w:val="7f7f7f"/>
                        </w:rPr>
                        <w:t xml:space="preserve">без</w:t>
                      </w:r>
                      <w:r>
                        <w:rPr>
                          <w:rFonts w:ascii="PT Astra Serif" w:hAnsi="PT Astra Serif" w:cs="Arial"/>
                          <w:color w:val="7f7f7f"/>
                          <w:spacing w:val="10"/>
                        </w:rPr>
                        <w:t xml:space="preserve"> </w:t>
                      </w:r>
                      <w:r>
                        <w:rPr>
                          <w:rFonts w:ascii="PT Astra Serif" w:hAnsi="PT Astra Serif" w:cs="Arial"/>
                          <w:color w:val="7f7f7f"/>
                        </w:rPr>
                        <w:t xml:space="preserve">учета</w:t>
                      </w:r>
                      <w:r>
                        <w:rPr>
                          <w:rFonts w:ascii="PT Astra Serif" w:hAnsi="PT Astra Serif" w:cs="Arial"/>
                          <w:color w:val="7f7f7f"/>
                          <w:spacing w:val="10"/>
                        </w:rPr>
                        <w:t xml:space="preserve"> </w:t>
                      </w:r>
                      <w:r>
                        <w:rPr>
                          <w:rFonts w:ascii="PT Astra Serif" w:hAnsi="PT Astra Serif" w:cs="Arial"/>
                          <w:color w:val="7f7f7f"/>
                        </w:rPr>
                        <w:t xml:space="preserve">страховых</w:t>
                      </w:r>
                      <w:r>
                        <w:rPr>
                          <w:rFonts w:ascii="PT Astra Serif" w:hAnsi="PT Astra Serif" w:cs="Arial"/>
                          <w:color w:val="7f7f7f"/>
                          <w:spacing w:val="11"/>
                        </w:rPr>
                        <w:t xml:space="preserve"> </w:t>
                      </w:r>
                      <w:r>
                        <w:rPr>
                          <w:rFonts w:ascii="PT Astra Serif" w:hAnsi="PT Astra Serif" w:cs="Arial"/>
                          <w:color w:val="7f7f7f"/>
                        </w:rPr>
                        <w:t xml:space="preserve">взносов</w:t>
                      </w:r>
                      <w:r>
                        <w:rPr>
                          <w:rFonts w:ascii="PT Astra Serif" w:hAnsi="PT Astra Serif" w:cs="Arial"/>
                          <w:color w:val="7f7f7f"/>
                          <w:spacing w:val="10"/>
                        </w:rPr>
                        <w:t xml:space="preserve"> </w:t>
                      </w:r>
                      <w:r>
                        <w:rPr>
                          <w:rFonts w:ascii="PT Astra Serif" w:hAnsi="PT Astra Serif" w:cs="Arial"/>
                          <w:color w:val="7f7f7f"/>
                        </w:rPr>
                        <w:t xml:space="preserve">на</w:t>
                      </w:r>
                      <w:r>
                        <w:rPr>
                          <w:rFonts w:ascii="PT Astra Serif" w:hAnsi="PT Astra Serif" w:cs="Arial"/>
                          <w:color w:val="7f7f7f"/>
                          <w:spacing w:val="10"/>
                        </w:rPr>
                        <w:t xml:space="preserve"> </w:t>
                      </w:r>
                      <w:r>
                        <w:rPr>
                          <w:rFonts w:ascii="PT Astra Serif" w:hAnsi="PT Astra Serif" w:cs="Arial"/>
                          <w:color w:val="7f7f7f"/>
                        </w:rPr>
                        <w:t xml:space="preserve">обязательное</w:t>
                      </w:r>
                      <w:r>
                        <w:rPr>
                          <w:rFonts w:ascii="PT Astra Serif" w:hAnsi="PT Astra Serif" w:cs="Arial"/>
                          <w:color w:val="7f7f7f"/>
                          <w:spacing w:val="11"/>
                        </w:rPr>
                        <w:t xml:space="preserve"> </w:t>
                      </w:r>
                      <w:r>
                        <w:rPr>
                          <w:rFonts w:ascii="PT Astra Serif" w:hAnsi="PT Astra Serif" w:cs="Arial"/>
                          <w:color w:val="7f7f7f"/>
                        </w:rPr>
                        <w:t xml:space="preserve">социальное</w:t>
                      </w:r>
                      <w:r>
                        <w:rPr>
                          <w:rFonts w:ascii="PT Astra Serif" w:hAnsi="PT Astra Serif" w:cs="Arial"/>
                          <w:color w:val="7f7f7f"/>
                          <w:spacing w:val="10"/>
                        </w:rPr>
                        <w:t xml:space="preserve"> </w:t>
                      </w:r>
                      <w:r>
                        <w:rPr>
                          <w:rFonts w:ascii="PT Astra Serif" w:hAnsi="PT Astra Serif" w:cs="Arial"/>
                          <w:color w:val="7f7f7f"/>
                          <w:spacing w:val="-2"/>
                        </w:rPr>
                        <w:t xml:space="preserve">страхование</w:t>
                      </w:r>
                      <w:r>
                        <w:rPr>
                          <w:rFonts w:ascii="PT Astra Serif" w:hAnsi="PT Astra Serif"/>
                        </w:rPr>
                      </w:r>
                      <w:r>
                        <w:rPr>
                          <w:rFonts w:ascii="PT Astra Serif" w:hAnsi="PT Astra Serif"/>
                        </w:rPr>
                      </w:r>
                    </w:p>
                  </w:txbxContent>
                </v:textbox>
              </v:shape>
            </w:pict>
          </mc:Fallback>
        </mc:AlternateConten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after="0" w:line="240" w:lineRule="auto"/>
        <w:tabs>
          <w:tab w:val="left" w:pos="567" w:leader="none"/>
        </w:tabs>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center"/>
        <w:spacing w:after="0" w:line="240" w:lineRule="auto"/>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center"/>
        <w:spacing w:after="0" w:line="240" w:lineRule="auto"/>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ind w:firstLine="709"/>
        <w:jc w:val="center"/>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Рисунок 1</w:t>
      </w:r>
      <w:r>
        <w:rPr>
          <w:rFonts w:ascii="PT Astra Serif" w:hAnsi="PT Astra Serif" w:eastAsia="Times New Roman"/>
          <w:sz w:val="24"/>
          <w:szCs w:val="24"/>
        </w:rPr>
        <w:t xml:space="preserve">4</w:t>
      </w:r>
      <w:r>
        <w:rPr>
          <w:rFonts w:ascii="PT Astra Serif" w:hAnsi="PT Astra Serif" w:eastAsia="Times New Roman"/>
          <w:sz w:val="24"/>
          <w:szCs w:val="24"/>
        </w:rPr>
        <w:t xml:space="preserve"> – Расп</w:t>
      </w:r>
      <w:r>
        <w:rPr>
          <w:rFonts w:ascii="PT Astra Serif" w:hAnsi="PT Astra Serif" w:eastAsia="Times New Roman"/>
          <w:sz w:val="24"/>
          <w:szCs w:val="24"/>
        </w:rPr>
        <w:t xml:space="preserve">ределение налоговых доходов на т</w:t>
      </w:r>
      <w:r>
        <w:rPr>
          <w:rFonts w:ascii="PT Astra Serif" w:hAnsi="PT Astra Serif" w:eastAsia="Times New Roman"/>
          <w:sz w:val="24"/>
          <w:szCs w:val="24"/>
        </w:rPr>
        <w:t xml:space="preserve">ерритории Томской области</w:t>
      </w:r>
      <w:r>
        <w:rPr>
          <w:rFonts w:ascii="PT Astra Serif" w:hAnsi="PT Astra Serif" w:eastAsia="Times New Roman"/>
          <w:sz w:val="24"/>
          <w:szCs w:val="24"/>
        </w:rPr>
        <w:br/>
        <w:t xml:space="preserve">в бюджетную систему Российской Федерации</w:t>
      </w:r>
      <w:r>
        <w:rPr>
          <w:rFonts w:ascii="PT Astra Serif" w:hAnsi="PT Astra Serif" w:eastAsia="Times New Roman"/>
          <w:sz w:val="24"/>
          <w:szCs w:val="24"/>
        </w:rPr>
      </w:r>
      <w:r>
        <w:rPr>
          <w:rFonts w:ascii="PT Astra Serif" w:hAnsi="PT Astra Serif" w:eastAsia="Times New Roman"/>
          <w:sz w:val="24"/>
          <w:szCs w:val="24"/>
        </w:rPr>
      </w:r>
    </w:p>
    <w:p>
      <w:pPr>
        <w:ind w:firstLine="709"/>
        <w:jc w:val="center"/>
        <w:spacing w:after="0" w:line="240" w:lineRule="auto"/>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spacing w:after="0" w:line="240" w:lineRule="auto"/>
        <w:shd w:val="clear" w:color="auto" w:fill="eaf1dd" w:themeFill="accent3" w:themeFillTint="33"/>
        <w:tabs>
          <w:tab w:val="left" w:pos="567" w:leader="none"/>
        </w:tabs>
        <w:rPr>
          <w:rFonts w:ascii="PT Astra Serif" w:hAnsi="PT Astra Serif" w:eastAsia="Times New Roman"/>
          <w:b/>
          <w:sz w:val="24"/>
          <w:szCs w:val="24"/>
        </w:rPr>
      </w:pPr>
      <w:r>
        <w:rPr>
          <w:rFonts w:ascii="PT Astra Serif" w:hAnsi="PT Astra Serif" w:eastAsia="Times New Roman"/>
          <w:b/>
          <w:sz w:val="24"/>
          <w:szCs w:val="24"/>
        </w:rPr>
        <w:t xml:space="preserve">Повышение финансовой грамотности населения</w:t>
      </w:r>
      <w:r>
        <w:rPr>
          <w:rFonts w:ascii="PT Astra Serif" w:hAnsi="PT Astra Serif" w:eastAsia="Times New Roman"/>
          <w:b/>
          <w:sz w:val="24"/>
          <w:szCs w:val="24"/>
        </w:rPr>
      </w:r>
      <w:r>
        <w:rPr>
          <w:rFonts w:ascii="PT Astra Serif" w:hAnsi="PT Astra Serif" w:eastAsia="Times New Roman"/>
          <w:b/>
          <w:sz w:val="24"/>
          <w:szCs w:val="24"/>
        </w:rPr>
      </w:r>
    </w:p>
    <w:p>
      <w:pPr>
        <w:pStyle w:val="1149"/>
        <w:ind w:firstLine="709"/>
        <w:jc w:val="both"/>
        <w:spacing w:before="0" w:beforeAutospacing="0" w:after="0" w:afterAutospacing="0"/>
        <w:rPr>
          <w:rFonts w:ascii="PT Astra Serif" w:hAnsi="PT Astra Serif" w:cs="PT Astra Serif" w:eastAsiaTheme="minorHAnsi"/>
          <w:lang w:bidi="en-US"/>
        </w:rPr>
      </w:pPr>
      <w:r>
        <w:rPr>
          <w:rFonts w:ascii="PT Astra Serif" w:hAnsi="PT Astra Serif" w:cs="PT Astra Serif"/>
          <w:lang w:bidi="en-US"/>
        </w:rPr>
        <w:t xml:space="preserve">В 2023 году продолжена работа по повышению финансовой грамотности населения: </w:t>
      </w:r>
      <w:r>
        <w:rPr>
          <w:rFonts w:ascii="PT Astra Serif" w:hAnsi="PT Astra Serif" w:cs="PT Astra Serif" w:eastAsiaTheme="minorHAnsi"/>
          <w:lang w:bidi="en-US"/>
        </w:rPr>
      </w:r>
      <w:r>
        <w:rPr>
          <w:rFonts w:ascii="PT Astra Serif" w:hAnsi="PT Astra Serif" w:cs="PT Astra Serif" w:eastAsiaTheme="minorHAnsi"/>
          <w:lang w:bidi="en-US"/>
        </w:rPr>
      </w:r>
    </w:p>
    <w:p>
      <w:pPr>
        <w:pStyle w:val="1149"/>
        <w:ind w:firstLine="709"/>
        <w:jc w:val="both"/>
        <w:spacing w:before="0" w:beforeAutospacing="0" w:after="0" w:afterAutospacing="0"/>
        <w:rPr>
          <w:rFonts w:ascii="PT Astra Serif" w:hAnsi="PT Astra Serif" w:cs="PT Astra Serif"/>
          <w:lang w:bidi="en-US"/>
        </w:rPr>
      </w:pPr>
      <w:r>
        <w:rPr>
          <w:rFonts w:ascii="PT Astra Serif" w:hAnsi="PT Astra Serif" w:eastAsia="Calibri"/>
        </w:rPr>
        <w:t xml:space="preserve">–</w:t>
      </w:r>
      <w:r>
        <w:rPr>
          <w:rFonts w:ascii="PT Astra Serif" w:hAnsi="PT Astra Serif" w:cs="PT Astra Serif"/>
          <w:lang w:bidi="en-US"/>
        </w:rPr>
        <w:t xml:space="preserve"> на постоянной основе функционировали 5 интерактивных каналов (социальные сети и пор</w:t>
      </w:r>
      <w:r>
        <w:rPr>
          <w:rFonts w:ascii="PT Astra Serif" w:hAnsi="PT Astra Serif" w:cs="PT Astra Serif"/>
          <w:lang w:bidi="en-US"/>
        </w:rPr>
        <w:t xml:space="preserve">тал финансовой грамотности), 2 горячие</w:t>
      </w:r>
      <w:r>
        <w:rPr>
          <w:rFonts w:ascii="PT Astra Serif" w:hAnsi="PT Astra Serif" w:cs="PT Astra Serif"/>
          <w:lang w:bidi="en-US"/>
        </w:rPr>
        <w:t xml:space="preserve"> линии (по вопросам финансовой и инвестиционной грамотности);</w:t>
      </w:r>
      <w:r>
        <w:rPr>
          <w:rFonts w:ascii="PT Astra Serif" w:hAnsi="PT Astra Serif" w:cs="PT Astra Serif"/>
          <w:lang w:bidi="en-US"/>
        </w:rPr>
      </w:r>
      <w:r>
        <w:rPr>
          <w:rFonts w:ascii="PT Astra Serif" w:hAnsi="PT Astra Serif" w:cs="PT Astra Serif"/>
          <w:lang w:bidi="en-US"/>
        </w:rPr>
      </w:r>
    </w:p>
    <w:p>
      <w:pPr>
        <w:pStyle w:val="1149"/>
        <w:ind w:firstLine="709"/>
        <w:jc w:val="both"/>
        <w:spacing w:before="0" w:beforeAutospacing="0" w:after="0" w:afterAutospacing="0"/>
        <w:rPr>
          <w:rFonts w:ascii="PT Astra Serif" w:hAnsi="PT Astra Serif" w:cs="PT Astra Serif"/>
          <w:lang w:bidi="en-US"/>
        </w:rPr>
      </w:pPr>
      <w:r>
        <w:rPr>
          <w:rFonts w:ascii="PT Astra Serif" w:hAnsi="PT Astra Serif" w:eastAsia="Calibri"/>
        </w:rPr>
        <w:t xml:space="preserve">–</w:t>
      </w:r>
      <w:r>
        <w:rPr>
          <w:rFonts w:ascii="PT Astra Serif" w:hAnsi="PT Astra Serif" w:cs="PT Astra Serif"/>
          <w:lang w:bidi="en-US"/>
        </w:rPr>
        <w:t xml:space="preserve"> издано 10 выпусков журнала «Ваши личные финансы»;</w:t>
      </w:r>
      <w:r>
        <w:rPr>
          <w:rFonts w:ascii="PT Astra Serif" w:hAnsi="PT Astra Serif" w:cs="PT Astra Serif"/>
          <w:lang w:bidi="en-US"/>
        </w:rPr>
      </w:r>
      <w:r>
        <w:rPr>
          <w:rFonts w:ascii="PT Astra Serif" w:hAnsi="PT Astra Serif" w:cs="PT Astra Serif"/>
          <w:lang w:bidi="en-US"/>
        </w:rPr>
      </w:r>
    </w:p>
    <w:p>
      <w:pPr>
        <w:pStyle w:val="1149"/>
        <w:ind w:firstLine="709"/>
        <w:jc w:val="both"/>
        <w:spacing w:before="0" w:beforeAutospacing="0" w:after="0" w:afterAutospacing="0"/>
        <w:rPr>
          <w:rFonts w:ascii="PT Astra Serif" w:hAnsi="PT Astra Serif" w:cs="PT Astra Serif"/>
          <w:lang w:bidi="en-US"/>
        </w:rPr>
      </w:pPr>
      <w:r>
        <w:rPr>
          <w:rFonts w:ascii="PT Astra Serif" w:hAnsi="PT Astra Serif" w:eastAsia="Calibri"/>
        </w:rPr>
        <w:t xml:space="preserve">–</w:t>
      </w:r>
      <w:r>
        <w:rPr>
          <w:rFonts w:ascii="PT Astra Serif" w:hAnsi="PT Astra Serif" w:cs="PT Astra Serif"/>
          <w:lang w:bidi="en-US"/>
        </w:rPr>
        <w:t xml:space="preserve"> выпущено 30 теле- и радиосюжетов по финансовой грамотности;</w:t>
      </w:r>
      <w:r>
        <w:rPr>
          <w:rFonts w:ascii="PT Astra Serif" w:hAnsi="PT Astra Serif" w:cs="PT Astra Serif"/>
          <w:lang w:bidi="en-US"/>
        </w:rPr>
      </w:r>
      <w:r>
        <w:rPr>
          <w:rFonts w:ascii="PT Astra Serif" w:hAnsi="PT Astra Serif" w:cs="PT Astra Serif"/>
          <w:lang w:bidi="en-US"/>
        </w:rPr>
      </w:r>
    </w:p>
    <w:p>
      <w:pPr>
        <w:pStyle w:val="1149"/>
        <w:ind w:firstLine="709"/>
        <w:jc w:val="both"/>
        <w:spacing w:before="0" w:beforeAutospacing="0" w:after="0" w:afterAutospacing="0"/>
        <w:rPr>
          <w:rFonts w:ascii="PT Astra Serif" w:hAnsi="PT Astra Serif" w:cs="PT Astra Serif"/>
          <w:lang w:bidi="en-US"/>
        </w:rPr>
      </w:pPr>
      <w:r>
        <w:rPr>
          <w:rFonts w:ascii="PT Astra Serif" w:hAnsi="PT Astra Serif" w:eastAsia="Calibri"/>
        </w:rPr>
        <w:t xml:space="preserve">–</w:t>
      </w:r>
      <w:r>
        <w:rPr>
          <w:rFonts w:ascii="PT Astra Serif" w:hAnsi="PT Astra Serif" w:cs="PT Astra Serif"/>
          <w:lang w:bidi="en-US"/>
        </w:rPr>
        <w:t xml:space="preserve"> издана брошюра «25 шагов к финансовому здоровью»;</w:t>
      </w:r>
      <w:r>
        <w:rPr>
          <w:rFonts w:ascii="PT Astra Serif" w:hAnsi="PT Astra Serif" w:cs="PT Astra Serif"/>
          <w:lang w:bidi="en-US"/>
        </w:rPr>
      </w:r>
      <w:r>
        <w:rPr>
          <w:rFonts w:ascii="PT Astra Serif" w:hAnsi="PT Astra Serif" w:cs="PT Astra Serif"/>
          <w:lang w:bidi="en-US"/>
        </w:rPr>
      </w:r>
    </w:p>
    <w:p>
      <w:pPr>
        <w:pStyle w:val="1149"/>
        <w:ind w:firstLine="709"/>
        <w:jc w:val="both"/>
        <w:spacing w:before="0" w:beforeAutospacing="0" w:after="0" w:afterAutospacing="0"/>
        <w:rPr>
          <w:rFonts w:ascii="PT Astra Serif" w:hAnsi="PT Astra Serif" w:cs="PT Astra Serif"/>
          <w:lang w:bidi="en-US"/>
        </w:rPr>
      </w:pPr>
      <w:r>
        <w:rPr>
          <w:rFonts w:ascii="PT Astra Serif" w:hAnsi="PT Astra Serif" w:eastAsia="Calibri"/>
        </w:rPr>
        <w:t xml:space="preserve">–</w:t>
      </w:r>
      <w:r>
        <w:rPr>
          <w:rFonts w:ascii="PT Astra Serif" w:hAnsi="PT Astra Serif" w:cs="PT Astra Serif"/>
          <w:lang w:bidi="en-US"/>
        </w:rPr>
        <w:t xml:space="preserve"> проведено 2 межмуниципальных финансовых фестиваля «Ваши личные финансы» в с. Кривошеино и в г. Асино.</w:t>
      </w:r>
      <w:r>
        <w:rPr>
          <w:rFonts w:ascii="PT Astra Serif" w:hAnsi="PT Astra Serif" w:cs="PT Astra Serif"/>
          <w:lang w:bidi="en-US"/>
        </w:rPr>
      </w:r>
      <w:r>
        <w:rPr>
          <w:rFonts w:ascii="PT Astra Serif" w:hAnsi="PT Astra Serif" w:cs="PT Astra Serif"/>
          <w:lang w:bidi="en-US"/>
        </w:rPr>
      </w:r>
    </w:p>
    <w:p>
      <w:pPr>
        <w:pStyle w:val="1149"/>
        <w:ind w:firstLine="709"/>
        <w:jc w:val="both"/>
        <w:spacing w:before="0" w:beforeAutospacing="0" w:after="0" w:afterAutospacing="0"/>
        <w:rPr>
          <w:rFonts w:ascii="PT Astra Serif" w:hAnsi="PT Astra Serif" w:cs="PT Astra Serif"/>
          <w:lang w:bidi="en-US"/>
        </w:rPr>
      </w:pPr>
      <w:r>
        <w:rPr>
          <w:rFonts w:ascii="PT Astra Serif" w:hAnsi="PT Astra Serif" w:cs="PT Astra Serif"/>
          <w:lang w:bidi="en-US"/>
        </w:rPr>
        <w:t xml:space="preserve">Обеспечено функционирование платформы для голосования жителей Томской области в рамках премии «Финансовый престиж» и награждение лауреатов статусными наградами. В 2023 году участие в голосовании приняло более 21 тыс. жителей Томской области. </w:t>
      </w:r>
      <w:r>
        <w:rPr>
          <w:rFonts w:ascii="PT Astra Serif" w:hAnsi="PT Astra Serif" w:cs="PT Astra Serif"/>
          <w:lang w:bidi="en-US"/>
        </w:rPr>
      </w:r>
      <w:r>
        <w:rPr>
          <w:rFonts w:ascii="PT Astra Serif" w:hAnsi="PT Astra Serif" w:cs="PT Astra Serif"/>
          <w:lang w:bidi="en-US"/>
        </w:rPr>
      </w:r>
    </w:p>
    <w:p>
      <w:pPr>
        <w:ind w:firstLine="709"/>
        <w:jc w:val="both"/>
        <w:spacing w:after="0" w:line="240" w:lineRule="auto"/>
        <w:tabs>
          <w:tab w:val="left" w:pos="567"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12"/>
        <w:jc w:val="center"/>
        <w:spacing w:after="0" w:line="240" w:lineRule="auto"/>
        <w:rPr>
          <w:rFonts w:ascii="PT Astra Serif" w:hAnsi="PT Astra Serif" w:eastAsia="PT Astra Serif" w:cs="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PT Astra Serif" w:cs="PT Astra Serif"/>
          <w:b/>
          <w:sz w:val="24"/>
          <w:szCs w:val="24"/>
        </w:rPr>
        <w:t xml:space="preserve">Вклад Томской области в повышение финансовой грамотности и развитие премии «Финансовый престиж» отмечен на федеральном уровне </w:t>
      </w:r>
      <w:r>
        <w:rPr>
          <w:rFonts w:ascii="PT Astra Serif" w:hAnsi="PT Astra Serif" w:eastAsia="PT Astra Serif" w:cs="PT Astra Serif"/>
          <w:b/>
          <w:sz w:val="24"/>
          <w:szCs w:val="24"/>
        </w:rPr>
      </w:r>
      <w:r>
        <w:rPr>
          <w:rFonts w:ascii="PT Astra Serif" w:hAnsi="PT Astra Serif" w:eastAsia="PT Astra Serif" w:cs="PT Astra Serif"/>
          <w:b/>
          <w:sz w:val="24"/>
          <w:szCs w:val="24"/>
        </w:rPr>
      </w:r>
    </w:p>
    <w:p>
      <w:pPr>
        <w:ind w:firstLine="12"/>
        <w:jc w:val="center"/>
        <w:spacing w:after="0" w:line="240" w:lineRule="auto"/>
        <w:rPr>
          <w:rFonts w:ascii="PT Astra Serif" w:hAnsi="PT Astra Serif"/>
          <w:b/>
          <w:sz w:val="24"/>
          <w:szCs w:val="24"/>
          <w:shd w:val="clear" w:color="auto" w:fill="f2f2f2" w:themeFill="background1" w:themeFillShade="F2"/>
        </w:rPr>
        <w:pBdr>
          <w:top w:val="single" w:color="00B050" w:sz="4" w:space="1"/>
          <w:left w:val="single" w:color="00B050" w:sz="4" w:space="4"/>
          <w:bottom w:val="single" w:color="00B050" w:sz="4" w:space="1"/>
          <w:right w:val="single" w:color="00B050" w:sz="4" w:space="4"/>
        </w:pBdr>
      </w:pPr>
      <w:r>
        <w:rPr>
          <w:rFonts w:ascii="PT Astra Serif" w:hAnsi="PT Astra Serif" w:eastAsia="PT Astra Serif" w:cs="PT Astra Serif"/>
          <w:b/>
          <w:sz w:val="24"/>
          <w:szCs w:val="24"/>
        </w:rPr>
        <w:t xml:space="preserve">Банком России и </w:t>
      </w:r>
      <w:r>
        <w:rPr>
          <w:rFonts w:ascii="PT Astra Serif" w:hAnsi="PT Astra Serif" w:eastAsia="PT Astra Serif" w:cs="PT Astra Serif"/>
          <w:b/>
          <w:sz w:val="24"/>
          <w:szCs w:val="24"/>
        </w:rPr>
        <w:t xml:space="preserve">Минфином России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49"/>
        <w:ind w:firstLine="709"/>
        <w:jc w:val="both"/>
        <w:spacing w:before="0" w:beforeAutospacing="0" w:after="0" w:afterAutospacing="0"/>
        <w:rPr>
          <w:rFonts w:ascii="PT Astra Serif" w:hAnsi="PT Astra Serif" w:cs="PT Astra Serif"/>
          <w:lang w:bidi="en-US"/>
        </w:rPr>
      </w:pPr>
      <w:r>
        <w:rPr>
          <w:rFonts w:ascii="PT Astra Serif" w:hAnsi="PT Astra Serif" w:cs="PT Astra Serif"/>
          <w:lang w:bidi="en-US"/>
        </w:rPr>
      </w:r>
      <w:r>
        <w:rPr>
          <w:rFonts w:ascii="PT Astra Serif" w:hAnsi="PT Astra Serif" w:cs="PT Astra Serif"/>
          <w:lang w:bidi="en-US"/>
        </w:rPr>
      </w:r>
      <w:r>
        <w:rPr>
          <w:rFonts w:ascii="PT Astra Serif" w:hAnsi="PT Astra Serif" w:cs="PT Astra Serif"/>
          <w:lang w:bidi="en-US"/>
        </w:rPr>
      </w:r>
    </w:p>
    <w:p>
      <w:pPr>
        <w:pStyle w:val="1149"/>
        <w:ind w:firstLine="709"/>
        <w:jc w:val="both"/>
        <w:spacing w:before="0" w:beforeAutospacing="0" w:after="0" w:afterAutospacing="0"/>
        <w:rPr>
          <w:rFonts w:ascii="PT Astra Serif" w:hAnsi="PT Astra Serif" w:cs="PT Astra Serif"/>
          <w:lang w:bidi="en-US"/>
        </w:rPr>
      </w:pPr>
      <w:r>
        <w:rPr>
          <w:rFonts w:ascii="PT Astra Serif" w:hAnsi="PT Astra Serif" w:cs="PT Astra Serif"/>
          <w:lang w:bidi="en-US"/>
        </w:rPr>
        <w:t xml:space="preserve">Проведено 48 мероприятий в разных форматах для различных целевых аудиторий (школьников, студентов, пенсионеров, предпринимателей, педагогов и пр.). Впервые в 2023 году на территории Томской области</w:t>
      </w:r>
      <w:r>
        <w:rPr>
          <w:rFonts w:ascii="PT Astra Serif" w:hAnsi="PT Astra Serif" w:cs="PT Astra Serif"/>
          <w:lang w:bidi="en-US"/>
        </w:rPr>
        <w:t xml:space="preserve">:</w:t>
      </w:r>
      <w:r>
        <w:rPr>
          <w:rFonts w:ascii="PT Astra Serif" w:hAnsi="PT Astra Serif" w:cs="PT Astra Serif"/>
          <w:lang w:bidi="en-US"/>
        </w:rPr>
      </w:r>
      <w:r>
        <w:rPr>
          <w:rFonts w:ascii="PT Astra Serif" w:hAnsi="PT Astra Serif" w:cs="PT Astra Serif"/>
          <w:lang w:bidi="en-US"/>
        </w:rPr>
      </w:r>
    </w:p>
    <w:p>
      <w:pPr>
        <w:pStyle w:val="1149"/>
        <w:ind w:firstLine="709"/>
        <w:jc w:val="both"/>
        <w:spacing w:before="0" w:beforeAutospacing="0" w:after="0" w:afterAutospacing="0"/>
        <w:rPr>
          <w:rFonts w:ascii="PT Astra Serif" w:hAnsi="PT Astra Serif" w:cs="PT Astra Serif"/>
          <w:lang w:bidi="en-US"/>
        </w:rPr>
      </w:pPr>
      <w:r>
        <w:rPr>
          <w:rFonts w:ascii="PT Astra Serif" w:hAnsi="PT Astra Serif" w:eastAsia="Calibri"/>
        </w:rPr>
        <w:t xml:space="preserve">–</w:t>
      </w:r>
      <w:r>
        <w:rPr>
          <w:rFonts w:ascii="PT Astra Serif" w:hAnsi="PT Astra Serif" w:cs="PT Astra Serif"/>
          <w:lang w:bidi="en-US"/>
        </w:rPr>
        <w:t xml:space="preserve"> </w:t>
      </w:r>
      <w:r>
        <w:rPr>
          <w:rFonts w:cs="PT Astra Serif"/>
          <w:lang w:bidi="en-US"/>
        </w:rPr>
        <w:t xml:space="preserve">обеспечено </w:t>
      </w:r>
      <w:r>
        <w:rPr>
          <w:rFonts w:ascii="PT Astra Serif" w:hAnsi="PT Astra Serif" w:cs="PT Astra Serif"/>
          <w:lang w:bidi="en-US"/>
        </w:rPr>
        <w:t xml:space="preserve">участие во Всероссийском чемпионате по финансовой грамотности среди лиц пенсионного возраста. Участвовали пенсионеры из 14 муниципальных образований, команда области заняла в финальном этапе третье место по России;</w:t>
      </w:r>
      <w:r>
        <w:rPr>
          <w:rFonts w:ascii="PT Astra Serif" w:hAnsi="PT Astra Serif" w:cs="PT Astra Serif"/>
          <w:lang w:bidi="en-US"/>
        </w:rPr>
      </w:r>
      <w:r>
        <w:rPr>
          <w:rFonts w:ascii="PT Astra Serif" w:hAnsi="PT Astra Serif" w:cs="PT Astra Serif"/>
          <w:lang w:bidi="en-US"/>
        </w:rPr>
      </w:r>
    </w:p>
    <w:p>
      <w:pPr>
        <w:pStyle w:val="1149"/>
        <w:ind w:firstLine="709"/>
        <w:jc w:val="both"/>
        <w:spacing w:before="0" w:beforeAutospacing="0" w:after="0" w:afterAutospacing="0"/>
        <w:rPr>
          <w:rFonts w:ascii="PT Astra Serif" w:hAnsi="PT Astra Serif" w:cs="PT Astra Serif"/>
          <w:lang w:bidi="en-US"/>
        </w:rPr>
      </w:pPr>
      <w:r>
        <w:rPr>
          <w:rFonts w:ascii="PT Astra Serif" w:hAnsi="PT Astra Serif" w:eastAsia="Calibri"/>
        </w:rPr>
        <w:t xml:space="preserve">–</w:t>
      </w:r>
      <w:r>
        <w:rPr>
          <w:rFonts w:ascii="PT Astra Serif" w:hAnsi="PT Astra Serif" w:cs="PT Astra Serif"/>
          <w:lang w:bidi="en-US"/>
        </w:rPr>
        <w:t xml:space="preserve"> </w:t>
      </w:r>
      <w:r>
        <w:rPr>
          <w:rFonts w:cs="PT Astra Serif"/>
          <w:lang w:bidi="en-US"/>
        </w:rPr>
        <w:t xml:space="preserve">проведен </w:t>
      </w:r>
      <w:r>
        <w:rPr>
          <w:rFonts w:ascii="PT Astra Serif" w:hAnsi="PT Astra Serif" w:cs="PT Astra Serif"/>
          <w:lang w:bidi="en-US"/>
        </w:rPr>
        <w:t xml:space="preserve">конкурс библиотек по финансовому просвещению населения.</w:t>
      </w:r>
      <w:r>
        <w:rPr>
          <w:rFonts w:ascii="PT Astra Serif" w:hAnsi="PT Astra Serif" w:cs="PT Astra Serif"/>
          <w:lang w:bidi="en-US"/>
        </w:rPr>
      </w:r>
      <w:r>
        <w:rPr>
          <w:rFonts w:ascii="PT Astra Serif" w:hAnsi="PT Astra Serif" w:cs="PT Astra Serif"/>
          <w:lang w:bidi="en-US"/>
        </w:rPr>
      </w:r>
    </w:p>
    <w:p>
      <w:pPr>
        <w:pStyle w:val="1149"/>
        <w:ind w:firstLine="709"/>
        <w:jc w:val="both"/>
        <w:spacing w:before="0" w:beforeAutospacing="0" w:after="0" w:afterAutospacing="0"/>
        <w:rPr>
          <w:rFonts w:ascii="PT Astra Serif" w:hAnsi="PT Astra Serif" w:cs="PT Astra Serif"/>
          <w:lang w:bidi="en-US"/>
        </w:rPr>
      </w:pPr>
      <w:r>
        <w:rPr>
          <w:rFonts w:ascii="PT Astra Serif" w:hAnsi="PT Astra Serif" w:cs="PT Astra Serif"/>
          <w:lang w:bidi="en-US"/>
        </w:rPr>
        <w:t xml:space="preserve">Особое внимание уделено консультационному блоку в рамках работы Регионального центра финансовой гр</w:t>
      </w:r>
      <w:r>
        <w:rPr>
          <w:rFonts w:ascii="PT Astra Serif" w:hAnsi="PT Astra Serif" w:cs="PT Astra Serif"/>
          <w:lang w:bidi="en-US"/>
        </w:rPr>
        <w:t xml:space="preserve">амотности и</w:t>
      </w:r>
      <w:r>
        <w:rPr>
          <w:rFonts w:ascii="PT Astra Serif" w:hAnsi="PT Astra Serif" w:cs="PT Astra Serif"/>
          <w:lang w:bidi="en-US"/>
        </w:rPr>
        <w:t xml:space="preserve"> созданного на его базе «Антикризисного центра». Бесплатные консультации проводятся в очном формате, по телефону горячей линии 8-800-201-67-70, через портал финансовой грамотности https://vlfin.ru/ и социальные сети проекта. Всего</w:t>
      </w:r>
      <w:r>
        <w:rPr>
          <w:rFonts w:ascii="PT Astra Serif" w:hAnsi="PT Astra Serif" w:cs="PT Astra Serif"/>
          <w:lang w:bidi="en-US"/>
        </w:rPr>
        <w:t xml:space="preserve"> в 2023 году было проведено 307 </w:t>
      </w:r>
      <w:r>
        <w:rPr>
          <w:rFonts w:ascii="PT Astra Serif" w:hAnsi="PT Astra Serif" w:cs="PT Astra Serif"/>
          <w:lang w:bidi="en-US"/>
        </w:rPr>
        <w:t xml:space="preserve">консультаций.</w:t>
      </w:r>
      <w:r>
        <w:rPr>
          <w:rFonts w:ascii="PT Astra Serif" w:hAnsi="PT Astra Serif" w:cs="PT Astra Serif"/>
          <w:lang w:bidi="en-US"/>
        </w:rPr>
      </w:r>
      <w:r>
        <w:rPr>
          <w:rFonts w:ascii="PT Astra Serif" w:hAnsi="PT Astra Serif" w:cs="PT Astra Serif"/>
          <w:lang w:bidi="en-US"/>
        </w:rPr>
      </w:r>
    </w:p>
    <w:p>
      <w:pPr>
        <w:pStyle w:val="1149"/>
        <w:ind w:firstLine="709"/>
        <w:jc w:val="both"/>
        <w:spacing w:before="0" w:beforeAutospacing="0" w:after="0" w:afterAutospacing="0"/>
        <w:rPr>
          <w:rFonts w:ascii="PT Astra Serif" w:hAnsi="PT Astra Serif" w:cs="PT Astra Serif"/>
          <w:lang w:bidi="en-US"/>
        </w:rPr>
      </w:pPr>
      <w:r>
        <w:rPr>
          <w:rFonts w:ascii="PT Astra Serif" w:hAnsi="PT Astra Serif" w:cs="PT Astra Serif"/>
          <w:lang w:bidi="en-US"/>
        </w:rPr>
      </w:r>
      <w:r>
        <w:rPr>
          <w:rFonts w:ascii="PT Astra Serif" w:hAnsi="PT Astra Serif" w:cs="PT Astra Serif"/>
          <w:lang w:bidi="en-US"/>
        </w:rPr>
      </w:r>
      <w:r>
        <w:rPr>
          <w:rFonts w:ascii="PT Astra Serif" w:hAnsi="PT Astra Serif" w:cs="PT Astra Serif"/>
          <w:lang w:bidi="en-US"/>
        </w:rPr>
      </w:r>
    </w:p>
    <w:p>
      <w:pPr>
        <w:spacing w:after="0" w:line="240" w:lineRule="auto"/>
        <w:shd w:val="clear" w:color="auto" w:fill="eaf1dd" w:themeFill="accent3" w:themeFillTint="33"/>
        <w:tabs>
          <w:tab w:val="left" w:pos="567" w:leader="none"/>
        </w:tabs>
        <w:rPr>
          <w:rFonts w:ascii="PT Astra Serif" w:hAnsi="PT Astra Serif" w:eastAsia="Times New Roman"/>
          <w:b/>
          <w:sz w:val="24"/>
          <w:szCs w:val="24"/>
        </w:rPr>
      </w:pPr>
      <w:r>
        <w:rPr>
          <w:rFonts w:ascii="PT Astra Serif" w:hAnsi="PT Astra Serif" w:eastAsia="Times New Roman"/>
          <w:b/>
          <w:sz w:val="24"/>
          <w:szCs w:val="24"/>
        </w:rPr>
        <w:t xml:space="preserve">Развитие инициативного бюджетирования</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tabs>
          <w:tab w:val="left" w:pos="426" w:leader="none"/>
          <w:tab w:val="left" w:pos="1134" w:leader="none"/>
        </w:tabs>
        <w:rPr>
          <w:rFonts w:ascii="PT Astra Serif" w:hAnsi="PT Astra Serif"/>
          <w:bCs/>
          <w:sz w:val="24"/>
          <w:szCs w:val="24"/>
        </w:rPr>
      </w:pPr>
      <w:r>
        <w:rPr>
          <w:rFonts w:ascii="PT Astra Serif" w:hAnsi="PT Astra Serif" w:cs="PT Astra Serif"/>
          <w:sz w:val="24"/>
          <w:szCs w:val="24"/>
        </w:rPr>
        <w:t xml:space="preserve">В 2023 году про</w:t>
      </w:r>
      <w:r>
        <w:rPr>
          <w:rFonts w:ascii="PT Astra Serif" w:hAnsi="PT Astra Serif" w:cs="PT Astra Serif"/>
          <w:sz w:val="24"/>
          <w:szCs w:val="24"/>
        </w:rPr>
        <w:t xml:space="preserve">должена реализация проекта «Инициативное бюджетирование», в рамках которого на конкурсной основе из областного бюджета выделяются субсидии на реализацию проектов (при условии обязательного софинансирования проекта со стороны местного бюджета и населения). </w:t>
      </w:r>
      <w:r>
        <w:rPr>
          <w:rFonts w:ascii="PT Astra Serif" w:hAnsi="PT Astra Serif"/>
          <w:bCs/>
          <w:sz w:val="24"/>
          <w:szCs w:val="24"/>
        </w:rPr>
      </w:r>
      <w:r>
        <w:rPr>
          <w:rFonts w:ascii="PT Astra Serif" w:hAnsi="PT Astra Serif"/>
          <w:bCs/>
          <w:sz w:val="24"/>
          <w:szCs w:val="24"/>
        </w:rPr>
      </w:r>
    </w:p>
    <w:p>
      <w:pPr>
        <w:ind w:firstLine="709"/>
        <w:jc w:val="both"/>
        <w:spacing w:after="0" w:line="240" w:lineRule="auto"/>
        <w:tabs>
          <w:tab w:val="left" w:pos="426" w:leader="none"/>
          <w:tab w:val="left" w:pos="1134" w:leader="none"/>
        </w:tabs>
        <w:rPr>
          <w:rFonts w:ascii="PT Astra Serif" w:hAnsi="PT Astra Serif" w:cs="PT Astra Serif"/>
          <w:strike/>
          <w:sz w:val="24"/>
          <w:szCs w:val="24"/>
        </w:rPr>
      </w:pPr>
      <w:r>
        <w:rPr>
          <w:rFonts w:ascii="PT Astra Serif" w:hAnsi="PT Astra Serif" w:cs="PT Astra Serif"/>
          <w:sz w:val="24"/>
          <w:szCs w:val="24"/>
        </w:rPr>
        <w:t xml:space="preserve">На территории Томской области реализован 61 инициативный проект:</w:t>
      </w:r>
      <w:r>
        <w:rPr>
          <w:rFonts w:ascii="PT Astra Serif" w:hAnsi="PT Astra Serif" w:cs="PT Astra Serif"/>
          <w:strike/>
          <w:sz w:val="24"/>
          <w:szCs w:val="24"/>
        </w:rPr>
      </w:r>
      <w:r>
        <w:rPr>
          <w:rFonts w:ascii="PT Astra Serif" w:hAnsi="PT Astra Serif" w:cs="PT Astra Serif"/>
          <w:strike/>
          <w:sz w:val="24"/>
          <w:szCs w:val="24"/>
        </w:rPr>
      </w:r>
    </w:p>
    <w:p>
      <w:pPr>
        <w:ind w:firstLine="709"/>
        <w:jc w:val="both"/>
        <w:spacing w:after="0" w:line="240" w:lineRule="auto"/>
        <w:rPr>
          <w:rFonts w:ascii="PT Astra Serif" w:hAnsi="PT Astra Serif" w:cs="PT Astra Serif"/>
          <w:sz w:val="24"/>
          <w:szCs w:val="24"/>
        </w:rPr>
      </w:pPr>
      <w:r>
        <w:rPr>
          <w:rFonts w:ascii="PT Astra Serif" w:hAnsi="PT Astra Serif" w:eastAsia="Calibri"/>
          <w:sz w:val="24"/>
          <w:szCs w:val="24"/>
        </w:rPr>
        <w:t xml:space="preserve">–</w:t>
      </w:r>
      <w:r>
        <w:rPr>
          <w:rFonts w:ascii="PT Astra Serif" w:hAnsi="PT Astra Serif" w:cs="PT Astra Serif"/>
          <w:sz w:val="24"/>
          <w:szCs w:val="24"/>
        </w:rPr>
        <w:t xml:space="preserve"> отремонтировано либо обустроено 18 объектов жилищно-коммунального хозяйства (в основном объекты водоснабжения (железобетонные колодцы, скважина, павильон водонапорной башни, водопроводные сети) и площадки для ТКО);</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rPr>
          <w:rFonts w:ascii="PT Astra Serif" w:hAnsi="PT Astra Serif" w:cs="PT Astra Serif"/>
          <w:sz w:val="24"/>
          <w:szCs w:val="24"/>
        </w:rPr>
      </w:pPr>
      <w:r>
        <w:rPr>
          <w:rFonts w:ascii="PT Astra Serif" w:hAnsi="PT Astra Serif" w:eastAsia="Calibri"/>
          <w:sz w:val="24"/>
          <w:szCs w:val="24"/>
        </w:rPr>
        <w:t xml:space="preserve">–</w:t>
      </w:r>
      <w:r>
        <w:rPr>
          <w:rFonts w:ascii="PT Astra Serif" w:hAnsi="PT Astra Serif" w:cs="PT Astra Serif"/>
          <w:sz w:val="24"/>
          <w:szCs w:val="24"/>
        </w:rPr>
        <w:t xml:space="preserve"> благоустроено территория 17 мест захоронения (в основном установка ограждения и площадок для сбора ТКО);</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rPr>
          <w:rFonts w:ascii="PT Astra Serif" w:hAnsi="PT Astra Serif" w:cs="PT Astra Serif"/>
          <w:sz w:val="24"/>
          <w:szCs w:val="24"/>
        </w:rPr>
      </w:pPr>
      <w:r>
        <w:rPr>
          <w:rFonts w:ascii="PT Astra Serif" w:hAnsi="PT Astra Serif" w:eastAsia="Calibri"/>
          <w:sz w:val="24"/>
          <w:szCs w:val="24"/>
        </w:rPr>
        <w:t xml:space="preserve">–</w:t>
      </w:r>
      <w:r>
        <w:rPr>
          <w:rFonts w:ascii="PT Astra Serif" w:hAnsi="PT Astra Serif" w:cs="PT Astra Serif"/>
          <w:sz w:val="24"/>
          <w:szCs w:val="24"/>
        </w:rPr>
        <w:t xml:space="preserve"> отремонтировано либо благоустроено 7 объектов </w:t>
      </w:r>
      <w:r>
        <w:rPr>
          <w:rFonts w:ascii="PT Astra Serif" w:hAnsi="PT Astra Serif" w:cs="PT Astra Serif"/>
          <w:sz w:val="24"/>
          <w:szCs w:val="24"/>
        </w:rPr>
        <w:t xml:space="preserve">дорожного хозяйства (остановочные павильоны в населенных пунктах Первомайского района, замена дощатых тротуаров в с. Напас Каргасокского района, отсыпка автомобильной дороги в с. Богашево Томского района, дорога в п. Останино городского округа «Кедровый»);</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rPr>
          <w:rFonts w:ascii="PT Astra Serif" w:hAnsi="PT Astra Serif" w:cs="PT Astra Serif"/>
          <w:sz w:val="24"/>
          <w:szCs w:val="24"/>
        </w:rPr>
      </w:pPr>
      <w:r>
        <w:rPr>
          <w:rFonts w:ascii="PT Astra Serif" w:hAnsi="PT Astra Serif" w:eastAsia="Calibri"/>
          <w:sz w:val="24"/>
          <w:szCs w:val="24"/>
        </w:rPr>
        <w:t xml:space="preserve">–</w:t>
      </w:r>
      <w:r>
        <w:rPr>
          <w:rFonts w:ascii="PT Astra Serif" w:hAnsi="PT Astra Serif" w:cs="PT Astra Serif"/>
          <w:sz w:val="24"/>
          <w:szCs w:val="24"/>
        </w:rPr>
        <w:t xml:space="preserve"> отремонтированы здания либ</w:t>
      </w:r>
      <w:r>
        <w:rPr>
          <w:rFonts w:ascii="PT Astra Serif" w:hAnsi="PT Astra Serif" w:cs="PT Astra Serif"/>
          <w:sz w:val="24"/>
          <w:szCs w:val="24"/>
        </w:rPr>
        <w:t xml:space="preserve">о благоустроена территория по 5</w:t>
      </w:r>
      <w:r>
        <w:rPr>
          <w:rFonts w:ascii="PT Astra Serif" w:hAnsi="PT Astra Serif" w:cs="PT Astra Serif"/>
          <w:sz w:val="24"/>
          <w:szCs w:val="24"/>
        </w:rPr>
        <w:t xml:space="preserve"> муниципальным учреждениям (установлено металлическое ограждение вокруг территории Кожевниковской С</w:t>
      </w:r>
      <w:r>
        <w:rPr>
          <w:rFonts w:ascii="PT Astra Serif" w:hAnsi="PT Astra Serif" w:cs="PT Astra Serif"/>
          <w:sz w:val="24"/>
          <w:szCs w:val="24"/>
        </w:rPr>
        <w:t xml:space="preserve">ОШ № 1, отремонтирован зрительный зал дома культуры в п. Улу-Юл Первомайского района, центральный дом культуры в д. Туендат Первомайского района, здания многофункционального назначения в с. Чернышовка Бакчарского района и д. Торбеево Первомайского района);</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rPr>
          <w:rFonts w:ascii="PT Astra Serif" w:hAnsi="PT Astra Serif" w:cs="PT Astra Serif"/>
          <w:sz w:val="24"/>
          <w:szCs w:val="24"/>
        </w:rPr>
      </w:pPr>
      <w:r>
        <w:rPr>
          <w:rFonts w:ascii="PT Astra Serif" w:hAnsi="PT Astra Serif" w:eastAsia="Calibri"/>
          <w:sz w:val="24"/>
          <w:szCs w:val="24"/>
        </w:rPr>
        <w:t xml:space="preserve">–</w:t>
      </w:r>
      <w:r>
        <w:rPr>
          <w:rFonts w:ascii="PT Astra Serif" w:hAnsi="PT Astra Serif" w:cs="PT Astra Serif"/>
          <w:sz w:val="24"/>
          <w:szCs w:val="24"/>
        </w:rPr>
        <w:t xml:space="preserve"> благоустроены 5 мест массового отдыха (сквер «Семейный» в с. Уртам Кожевниковского района, место массового отдыха в п. Катайга Верхнекетского района, тер</w:t>
      </w:r>
      <w:r>
        <w:rPr>
          <w:rFonts w:ascii="PT Astra Serif" w:hAnsi="PT Astra Serif" w:cs="PT Astra Serif"/>
          <w:sz w:val="24"/>
          <w:szCs w:val="24"/>
        </w:rPr>
        <w:t xml:space="preserve">ритория пристани в с. Нарым Парабельского района, туристическая зона «Поляна Национальных культур» в д. Березовка Первомайского района, Парк активного отдыха в мкр. Мирный п. Мирный «Мировые детки») и 1 обелиск героям ВОВ в п. Орехово Первомайского района;</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rPr>
          <w:rFonts w:ascii="PT Astra Serif" w:hAnsi="PT Astra Serif" w:cs="PT Astra Serif"/>
          <w:sz w:val="24"/>
          <w:szCs w:val="24"/>
        </w:rPr>
      </w:pPr>
      <w:r>
        <w:rPr>
          <w:rFonts w:ascii="PT Astra Serif" w:hAnsi="PT Astra Serif" w:eastAsia="Calibri"/>
          <w:sz w:val="24"/>
          <w:szCs w:val="24"/>
        </w:rPr>
        <w:t xml:space="preserve">–</w:t>
      </w:r>
      <w:r>
        <w:rPr>
          <w:rFonts w:ascii="PT Astra Serif" w:hAnsi="PT Astra Serif" w:cs="PT Astra Serif"/>
          <w:sz w:val="24"/>
          <w:szCs w:val="24"/>
        </w:rPr>
        <w:t xml:space="preserve"> установлено освещение на улицах 3 населенных пунктов (с. Комсомольск Первомайского района, с. Корнилово Томского района, г. Колпашево);</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rPr>
          <w:rFonts w:ascii="PT Astra Serif" w:hAnsi="PT Astra Serif" w:cs="PT Astra Serif"/>
          <w:sz w:val="24"/>
          <w:szCs w:val="24"/>
        </w:rPr>
      </w:pPr>
      <w:r>
        <w:rPr>
          <w:rFonts w:ascii="PT Astra Serif" w:hAnsi="PT Astra Serif" w:eastAsia="Calibri"/>
          <w:sz w:val="24"/>
          <w:szCs w:val="24"/>
        </w:rPr>
        <w:t xml:space="preserve">–</w:t>
      </w:r>
      <w:r>
        <w:rPr>
          <w:rFonts w:ascii="PT Astra Serif" w:hAnsi="PT Astra Serif" w:cs="PT Astra Serif"/>
          <w:sz w:val="24"/>
          <w:szCs w:val="24"/>
        </w:rPr>
        <w:t xml:space="preserve"> создано либо благоустроено 2 детских площадки (в д. Тихомировка и д.</w:t>
      </w:r>
      <w:r>
        <w:rPr>
          <w:rFonts w:ascii="PT Astra Serif" w:hAnsi="PT Astra Serif" w:cs="PT Astra Serif"/>
          <w:sz w:val="24"/>
          <w:szCs w:val="24"/>
        </w:rPr>
        <w:t xml:space="preserve"> </w:t>
      </w:r>
      <w:r>
        <w:rPr>
          <w:rFonts w:ascii="PT Astra Serif" w:hAnsi="PT Astra Serif" w:cs="PT Astra Serif"/>
          <w:sz w:val="24"/>
          <w:szCs w:val="24"/>
        </w:rPr>
        <w:t xml:space="preserve">Воронино-Яя Асиновского района) и 2 спортивных объекта (спортивная площадка в с.</w:t>
      </w:r>
      <w:r>
        <w:rPr>
          <w:rFonts w:ascii="PT Astra Serif" w:hAnsi="PT Astra Serif" w:cs="PT Astra Serif"/>
          <w:sz w:val="24"/>
          <w:szCs w:val="24"/>
        </w:rPr>
        <w:t xml:space="preserve"> </w:t>
      </w:r>
      <w:r>
        <w:rPr>
          <w:rFonts w:ascii="PT Astra Serif" w:hAnsi="PT Astra Serif" w:cs="PT Astra Serif"/>
          <w:sz w:val="24"/>
          <w:szCs w:val="24"/>
        </w:rPr>
        <w:t xml:space="preserve">Новый Васюган Каргасокского района и баскетбольная площадка в п. Берегаево Тегульдетского района);</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rPr>
          <w:rFonts w:ascii="PT Astra Serif" w:hAnsi="PT Astra Serif" w:cs="PT Astra Serif"/>
          <w:sz w:val="24"/>
          <w:szCs w:val="24"/>
        </w:rPr>
      </w:pPr>
      <w:r>
        <w:rPr>
          <w:rFonts w:ascii="PT Astra Serif" w:hAnsi="PT Astra Serif" w:eastAsia="Calibri"/>
          <w:sz w:val="24"/>
          <w:szCs w:val="24"/>
        </w:rPr>
        <w:t xml:space="preserve">–</w:t>
      </w:r>
      <w:r>
        <w:rPr>
          <w:rFonts w:ascii="PT Astra Serif" w:hAnsi="PT Astra Serif" w:cs="PT Astra Serif"/>
          <w:sz w:val="24"/>
          <w:szCs w:val="24"/>
        </w:rPr>
        <w:t xml:space="preserve"> обустроена территория вертолетной площадки в п. Шпалозавод Парабельского района.</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tabs>
          <w:tab w:val="left" w:pos="426" w:leader="none"/>
          <w:tab w:val="left" w:pos="1134" w:leader="none"/>
        </w:tabs>
        <w:rPr>
          <w:rFonts w:ascii="PT Astra Serif" w:hAnsi="PT Astra Serif" w:cs="PT Astra Serif"/>
          <w:sz w:val="24"/>
          <w:szCs w:val="24"/>
        </w:rPr>
      </w:pPr>
      <w:r>
        <w:rPr>
          <w:rFonts w:ascii="PT Astra Serif" w:hAnsi="PT Astra Serif" w:cs="PT Astra Serif"/>
          <w:sz w:val="24"/>
          <w:szCs w:val="24"/>
        </w:rPr>
        <w:t xml:space="preserve">Еще один проект по обустройств</w:t>
      </w:r>
      <w:r>
        <w:rPr>
          <w:rFonts w:ascii="PT Astra Serif" w:hAnsi="PT Astra Serif" w:cs="PT Astra Serif"/>
          <w:sz w:val="24"/>
          <w:szCs w:val="24"/>
        </w:rPr>
        <w:t xml:space="preserve">у детской игровой площадки в п. </w:t>
      </w:r>
      <w:r>
        <w:rPr>
          <w:rFonts w:ascii="PT Astra Serif" w:hAnsi="PT Astra Serif" w:cs="PT Astra Serif"/>
          <w:sz w:val="24"/>
          <w:szCs w:val="24"/>
        </w:rPr>
        <w:t xml:space="preserve">Новый Первомайского района, начатый в 2023 году, планируется завершить до 01.05.2024.</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tabs>
          <w:tab w:val="left" w:pos="426" w:leader="none"/>
          <w:tab w:val="left" w:pos="1134" w:leader="none"/>
        </w:tabs>
        <w:rPr>
          <w:rFonts w:ascii="PT Astra Serif" w:hAnsi="PT Astra Serif" w:cs="PT Astra Serif"/>
          <w:sz w:val="24"/>
          <w:szCs w:val="24"/>
        </w:rPr>
      </w:pPr>
      <w:r>
        <w:rPr>
          <w:rFonts w:ascii="PT Astra Serif" w:hAnsi="PT Astra Serif" w:cs="PT Astra Serif"/>
          <w:sz w:val="24"/>
          <w:szCs w:val="24"/>
        </w:rPr>
        <w:t xml:space="preserve">В целях увеличения охвата территории области инициативными проектами в 2023 году было принято решение об увеличении начиная с 2024 года общего объема субсидий из областного бюджета на финансовую поддержку</w:t>
      </w:r>
      <w:r>
        <w:rPr>
          <w:rFonts w:ascii="PT Astra Serif" w:hAnsi="PT Astra Serif" w:cs="PT Astra Serif"/>
          <w:sz w:val="24"/>
          <w:szCs w:val="24"/>
        </w:rPr>
        <w:t xml:space="preserve"> инициативных проектов с 40 млн рублей до 50 млн</w:t>
      </w:r>
      <w:r>
        <w:rPr>
          <w:rFonts w:ascii="PT Astra Serif" w:hAnsi="PT Astra Serif" w:cs="PT Astra Serif"/>
          <w:sz w:val="24"/>
          <w:szCs w:val="24"/>
        </w:rPr>
        <w:t xml:space="preserve"> рублей. </w:t>
      </w:r>
      <w:r>
        <w:rPr>
          <w:rFonts w:ascii="PT Astra Serif" w:hAnsi="PT Astra Serif" w:cs="PT Astra Serif"/>
          <w:sz w:val="24"/>
          <w:szCs w:val="24"/>
        </w:rPr>
      </w:r>
      <w:r>
        <w:rPr>
          <w:rFonts w:ascii="PT Astra Serif" w:hAnsi="PT Astra Serif" w:cs="PT Astra Serif"/>
          <w:sz w:val="24"/>
          <w:szCs w:val="24"/>
        </w:rPr>
      </w:r>
    </w:p>
    <w:p>
      <w:pPr>
        <w:ind w:firstLine="709"/>
        <w:jc w:val="both"/>
        <w:spacing w:after="0" w:line="240" w:lineRule="auto"/>
        <w:tabs>
          <w:tab w:val="left" w:pos="426" w:leader="none"/>
          <w:tab w:val="left" w:pos="1134" w:leader="none"/>
        </w:tabs>
        <w:rPr>
          <w:rFonts w:ascii="PT Astra Serif" w:hAnsi="PT Astra Serif" w:cs="PT Astra Serif"/>
          <w:sz w:val="24"/>
          <w:szCs w:val="24"/>
        </w:rPr>
      </w:pPr>
      <w:r>
        <w:rPr>
          <w:rFonts w:ascii="PT Astra Serif" w:hAnsi="PT Astra Serif" w:cs="PT Astra Serif"/>
          <w:sz w:val="24"/>
          <w:szCs w:val="24"/>
        </w:rPr>
      </w:r>
      <w:r>
        <w:rPr>
          <w:rFonts w:ascii="PT Astra Serif" w:hAnsi="PT Astra Serif" w:cs="PT Astra Serif"/>
          <w:sz w:val="24"/>
          <w:szCs w:val="24"/>
        </w:rPr>
      </w:r>
      <w:r>
        <w:rPr>
          <w:rFonts w:ascii="PT Astra Serif" w:hAnsi="PT Astra Serif" w:cs="PT Astra Serif"/>
          <w:sz w:val="24"/>
          <w:szCs w:val="24"/>
        </w:rPr>
      </w:r>
    </w:p>
    <w:p>
      <w:pPr>
        <w:jc w:val="both"/>
        <w:spacing w:after="0" w:line="240" w:lineRule="auto"/>
        <w:tabs>
          <w:tab w:val="left" w:pos="900" w:leader="none"/>
        </w:tabs>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rPr>
      </w:r>
      <w:r>
        <w:rPr>
          <w:rFonts w:ascii="PT Astra Serif" w:hAnsi="PT Astra Serif"/>
          <w:b/>
          <w:sz w:val="24"/>
          <w:szCs w:val="24"/>
        </w:rPr>
      </w:r>
    </w:p>
    <w:p>
      <w:pPr>
        <w:pStyle w:val="1152"/>
        <w:ind w:left="0" w:firstLine="709"/>
        <w:jc w:val="both"/>
        <w:spacing w:after="0" w:line="240" w:lineRule="auto"/>
        <w:tabs>
          <w:tab w:val="left" w:pos="426" w:leader="none"/>
          <w:tab w:val="left" w:pos="1134" w:leader="none"/>
        </w:tabs>
        <w:rPr>
          <w:rFonts w:ascii="PT Astra Serif" w:hAnsi="PT Astra Serif" w:eastAsiaTheme="minorHAnsi"/>
          <w:bCs/>
          <w:sz w:val="24"/>
          <w:szCs w:val="24"/>
        </w:rPr>
      </w:pPr>
      <w:r>
        <w:rPr>
          <w:rFonts w:ascii="PT Astra Serif" w:hAnsi="PT Astra Serif" w:eastAsiaTheme="minorHAnsi"/>
          <w:bCs/>
          <w:sz w:val="24"/>
          <w:szCs w:val="24"/>
        </w:rPr>
        <w:t xml:space="preserve">1. Безусловное и своевременное исполнение социальных обязательств перед населением.</w:t>
      </w:r>
      <w:r>
        <w:rPr>
          <w:rFonts w:ascii="PT Astra Serif" w:hAnsi="PT Astra Serif" w:eastAsiaTheme="minorHAnsi"/>
          <w:bCs/>
          <w:sz w:val="24"/>
          <w:szCs w:val="24"/>
        </w:rPr>
      </w:r>
      <w:r>
        <w:rPr>
          <w:rFonts w:ascii="PT Astra Serif" w:hAnsi="PT Astra Serif" w:eastAsiaTheme="minorHAnsi"/>
          <w:bCs/>
          <w:sz w:val="24"/>
          <w:szCs w:val="24"/>
        </w:rPr>
      </w:r>
    </w:p>
    <w:p>
      <w:pPr>
        <w:ind w:firstLine="709"/>
        <w:jc w:val="both"/>
        <w:spacing w:after="0" w:line="240" w:lineRule="auto"/>
        <w:tabs>
          <w:tab w:val="left" w:pos="426" w:leader="none"/>
          <w:tab w:val="left" w:pos="1134" w:leader="none"/>
        </w:tabs>
        <w:rPr>
          <w:rFonts w:ascii="PT Astra Serif" w:hAnsi="PT Astra Serif"/>
          <w:bCs/>
          <w:sz w:val="24"/>
          <w:szCs w:val="24"/>
        </w:rPr>
      </w:pPr>
      <w:r>
        <w:rPr>
          <w:rFonts w:ascii="PT Astra Serif" w:hAnsi="PT Astra Serif"/>
          <w:sz w:val="24"/>
          <w:szCs w:val="24"/>
        </w:rPr>
        <w:t xml:space="preserve">2. Совершенствование методов программного и проектного управления при формировании и исполнении областного бюджета</w:t>
      </w:r>
      <w:r>
        <w:rPr>
          <w:rFonts w:ascii="PT Astra Serif" w:hAnsi="PT Astra Serif"/>
          <w:bCs/>
          <w:sz w:val="24"/>
          <w:szCs w:val="24"/>
        </w:rPr>
        <w:t xml:space="preserve">.</w:t>
      </w:r>
      <w:r>
        <w:rPr>
          <w:rFonts w:ascii="PT Astra Serif" w:hAnsi="PT Astra Serif"/>
          <w:bCs/>
          <w:sz w:val="24"/>
          <w:szCs w:val="24"/>
        </w:rPr>
      </w:r>
      <w:r>
        <w:rPr>
          <w:rFonts w:ascii="PT Astra Serif" w:hAnsi="PT Astra Serif"/>
          <w:bCs/>
          <w:sz w:val="24"/>
          <w:szCs w:val="24"/>
        </w:rPr>
      </w:r>
    </w:p>
    <w:p>
      <w:pPr>
        <w:ind w:firstLine="709"/>
        <w:jc w:val="both"/>
        <w:spacing w:after="0" w:line="240" w:lineRule="auto"/>
        <w:tabs>
          <w:tab w:val="left" w:pos="426" w:leader="none"/>
          <w:tab w:val="left" w:pos="1134" w:leader="none"/>
        </w:tabs>
        <w:rPr>
          <w:rFonts w:ascii="PT Astra Serif" w:hAnsi="PT Astra Serif"/>
          <w:sz w:val="24"/>
          <w:szCs w:val="24"/>
        </w:rPr>
      </w:pPr>
      <w:r>
        <w:rPr>
          <w:rFonts w:ascii="PT Astra Serif" w:hAnsi="PT Astra Serif"/>
          <w:bCs/>
          <w:sz w:val="24"/>
          <w:szCs w:val="24"/>
        </w:rPr>
        <w:t xml:space="preserve">3. </w:t>
      </w:r>
      <w:r>
        <w:rPr>
          <w:rFonts w:ascii="PT Astra Serif" w:hAnsi="PT Astra Serif"/>
          <w:sz w:val="24"/>
          <w:szCs w:val="24"/>
        </w:rPr>
        <w:t xml:space="preserve">Увеличение налогового потенциала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4962" w:leader="none"/>
        </w:tabs>
        <w:rPr>
          <w:rFonts w:ascii="PT Astra Serif" w:hAnsi="PT Astra Serif"/>
          <w:sz w:val="24"/>
          <w:szCs w:val="24"/>
          <w:shd w:val="clear" w:color="auto" w:fill="f2f2f2" w:themeFill="background1" w:themeFillShade="F2"/>
        </w:rPr>
      </w:pPr>
      <w:r>
        <w:rPr>
          <w:rFonts w:ascii="PT Astra Serif" w:hAnsi="PT Astra Serif"/>
          <w:sz w:val="24"/>
          <w:szCs w:val="24"/>
          <w:shd w:val="clear" w:color="auto" w:fill="f2f2f2" w:themeFill="background1" w:themeFillShade="F2"/>
        </w:rPr>
      </w:r>
      <w:r>
        <w:rPr>
          <w:rFonts w:ascii="PT Astra Serif" w:hAnsi="PT Astra Serif"/>
          <w:sz w:val="24"/>
          <w:szCs w:val="24"/>
          <w:shd w:val="clear" w:color="auto" w:fill="f2f2f2" w:themeFill="background1" w:themeFillShade="F2"/>
        </w:rPr>
      </w:r>
      <w:r>
        <w:rPr>
          <w:rFonts w:ascii="PT Astra Serif" w:hAnsi="PT Astra Serif"/>
          <w:sz w:val="24"/>
          <w:szCs w:val="24"/>
          <w:shd w:val="clear" w:color="auto" w:fill="f2f2f2" w:themeFill="background1" w:themeFillShade="F2"/>
        </w:rPr>
      </w:r>
    </w:p>
    <w:p>
      <w:pPr>
        <w:spacing w:after="0" w:line="240" w:lineRule="auto"/>
        <w:shd w:val="clear" w:color="auto" w:fill="eaf1dd" w:themeFill="accent3" w:themeFillTint="33"/>
        <w:tabs>
          <w:tab w:val="left" w:pos="567" w:leader="none"/>
        </w:tabs>
        <w:rPr>
          <w:rFonts w:ascii="PT Astra Serif" w:hAnsi="PT Astra Serif" w:eastAsia="Times New Roman"/>
          <w:b/>
          <w:sz w:val="24"/>
          <w:szCs w:val="24"/>
        </w:rPr>
      </w:pPr>
      <w:r>
        <w:rPr>
          <w:rFonts w:ascii="PT Astra Serif" w:hAnsi="PT Astra Serif" w:eastAsia="Times New Roman"/>
          <w:b/>
          <w:sz w:val="24"/>
          <w:szCs w:val="24"/>
          <w:shd w:val="clear" w:color="auto" w:fill="eaf1dd" w:themeFill="accent3" w:themeFillTint="33"/>
        </w:rPr>
        <w:t xml:space="preserve">Повышение эффективности государственных закупок</w:t>
      </w:r>
      <w:r>
        <w:rPr>
          <w:rFonts w:ascii="PT Astra Serif" w:hAnsi="PT Astra Serif" w:eastAsia="Times New Roman"/>
          <w:b/>
          <w:sz w:val="24"/>
          <w:szCs w:val="24"/>
        </w:rPr>
      </w:r>
      <w:r>
        <w:rPr>
          <w:rFonts w:ascii="PT Astra Serif" w:hAnsi="PT Astra Serif" w:eastAsia="Times New Roman"/>
          <w:b/>
          <w:sz w:val="24"/>
          <w:szCs w:val="24"/>
        </w:rPr>
      </w:r>
    </w:p>
    <w:p>
      <w:pPr>
        <w:ind w:firstLine="709"/>
        <w:jc w:val="both"/>
        <w:spacing w:after="0" w:line="240" w:lineRule="auto"/>
        <w:rPr>
          <w:rFonts w:ascii="PT Astra Serif" w:hAnsi="PT Astra Serif"/>
          <w:sz w:val="24"/>
          <w:szCs w:val="24"/>
          <w:lang w:eastAsia="ru-RU"/>
        </w:rPr>
      </w:pPr>
      <w:r>
        <w:rPr>
          <w:rFonts w:ascii="PT Astra Serif" w:hAnsi="PT Astra Serif"/>
          <w:sz w:val="24"/>
          <w:szCs w:val="24"/>
          <w:lang w:eastAsia="ru-RU"/>
        </w:rPr>
        <w:t xml:space="preserve">По итогам 2023 года областными заказчиками проведено 6 тыс. конкурентных закупок на общую сумму 23,4 </w:t>
      </w:r>
      <w:r>
        <w:rPr>
          <w:rFonts w:ascii="PT Astra Serif" w:hAnsi="PT Astra Serif"/>
          <w:sz w:val="24"/>
          <w:szCs w:val="24"/>
          <w:lang w:eastAsia="ru-RU"/>
        </w:rPr>
        <w:t xml:space="preserve">млрд</w:t>
      </w:r>
      <w:r>
        <w:rPr>
          <w:rFonts w:ascii="PT Astra Serif" w:hAnsi="PT Astra Serif"/>
          <w:sz w:val="24"/>
          <w:szCs w:val="24"/>
          <w:lang w:eastAsia="ru-RU"/>
        </w:rPr>
        <w:t xml:space="preserve"> </w:t>
      </w:r>
      <w:r>
        <w:rPr>
          <w:rFonts w:ascii="PT Astra Serif" w:hAnsi="PT Astra Serif"/>
          <w:sz w:val="24"/>
          <w:szCs w:val="24"/>
          <w:lang w:eastAsia="ru-RU"/>
        </w:rPr>
        <w:t xml:space="preserve">рублей, экономия бюджетных средств составила 1,1 </w:t>
      </w:r>
      <w:r>
        <w:rPr>
          <w:rFonts w:ascii="PT Astra Serif" w:hAnsi="PT Astra Serif"/>
          <w:sz w:val="24"/>
          <w:szCs w:val="24"/>
          <w:lang w:eastAsia="ru-RU"/>
        </w:rPr>
        <w:t xml:space="preserve">млрд </w:t>
      </w:r>
      <w:r>
        <w:rPr>
          <w:rFonts w:ascii="PT Astra Serif" w:hAnsi="PT Astra Serif"/>
          <w:sz w:val="24"/>
          <w:szCs w:val="24"/>
          <w:lang w:eastAsia="ru-RU"/>
        </w:rPr>
        <w:t xml:space="preserve">рублей (22,0%). Закупки в объеме 84% средств проведены централизовано. </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rPr>
          <w:rFonts w:ascii="PT Astra Serif" w:hAnsi="PT Astra Serif"/>
          <w:sz w:val="24"/>
          <w:szCs w:val="24"/>
          <w:lang w:eastAsia="ru-RU"/>
        </w:rPr>
      </w:pPr>
      <w:r>
        <w:rPr>
          <w:rFonts w:ascii="PT Astra Serif" w:hAnsi="PT Astra Serif"/>
          <w:sz w:val="24"/>
          <w:szCs w:val="24"/>
          <w:lang w:eastAsia="ru-RU"/>
        </w:rPr>
        <w:t xml:space="preserve">Расширен перечень медицинских изделий, по которым закупки проводятся централизовано.</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rPr>
          <w:rFonts w:ascii="PT Astra Serif" w:hAnsi="PT Astra Serif"/>
          <w:sz w:val="24"/>
          <w:szCs w:val="24"/>
          <w:lang w:eastAsia="ru-RU"/>
        </w:rPr>
      </w:pPr>
      <w:r>
        <w:rPr>
          <w:rFonts w:ascii="PT Astra Serif" w:hAnsi="PT Astra Serif"/>
          <w:sz w:val="24"/>
          <w:szCs w:val="24"/>
          <w:lang w:eastAsia="ru-RU"/>
        </w:rPr>
        <w:t xml:space="preserve">На региональном уровне также централизованы закупки муниципальных заказчиков по следующим направлениям:</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rPr>
          <w:rFonts w:ascii="PT Astra Serif" w:hAnsi="PT Astra Serif"/>
          <w:sz w:val="24"/>
          <w:szCs w:val="24"/>
          <w:lang w:eastAsia="ru-RU"/>
        </w:rPr>
      </w:pPr>
      <w:r>
        <w:rPr>
          <w:rFonts w:ascii="PT Astra Serif" w:hAnsi="PT Astra Serif"/>
          <w:sz w:val="24"/>
          <w:szCs w:val="24"/>
          <w:lang w:eastAsia="ru-RU"/>
        </w:rPr>
        <w:t xml:space="preserve">– закупки жилых помещений для детей-сирот и детей, оставшихся без попечения родителей;</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rPr>
          <w:rFonts w:ascii="PT Astra Serif" w:hAnsi="PT Astra Serif"/>
          <w:sz w:val="24"/>
          <w:szCs w:val="24"/>
          <w:lang w:eastAsia="ru-RU"/>
        </w:rPr>
      </w:pPr>
      <w:r>
        <w:rPr>
          <w:rFonts w:ascii="PT Astra Serif" w:hAnsi="PT Astra Serif"/>
          <w:sz w:val="24"/>
          <w:szCs w:val="24"/>
          <w:lang w:eastAsia="ru-RU"/>
        </w:rPr>
        <w:t xml:space="preserve">– закупки на выполнение работ по строительству, реконструкции, капитальному ремонту объекта капитального строительства с начальной (максимально</w:t>
      </w:r>
      <w:r>
        <w:rPr>
          <w:rFonts w:ascii="PT Astra Serif" w:hAnsi="PT Astra Serif"/>
          <w:sz w:val="24"/>
          <w:szCs w:val="24"/>
          <w:lang w:eastAsia="ru-RU"/>
        </w:rPr>
        <w:t xml:space="preserve">й) ценой контракта свыше 10 млн</w:t>
      </w:r>
      <w:r>
        <w:rPr>
          <w:rFonts w:ascii="PT Astra Serif" w:hAnsi="PT Astra Serif"/>
          <w:sz w:val="24"/>
          <w:szCs w:val="24"/>
          <w:lang w:eastAsia="ru-RU"/>
        </w:rPr>
        <w:t xml:space="preserve"> руб</w:t>
      </w:r>
      <w:r>
        <w:rPr>
          <w:rFonts w:ascii="PT Astra Serif" w:hAnsi="PT Astra Serif"/>
          <w:sz w:val="24"/>
          <w:szCs w:val="24"/>
          <w:lang w:eastAsia="ru-RU"/>
        </w:rPr>
        <w:t xml:space="preserve">лей</w:t>
      </w:r>
      <w:r>
        <w:rPr>
          <w:rFonts w:ascii="PT Astra Serif" w:hAnsi="PT Astra Serif"/>
          <w:sz w:val="24"/>
          <w:szCs w:val="24"/>
          <w:lang w:eastAsia="ru-RU"/>
        </w:rPr>
        <w:t xml:space="preserve">;</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rPr>
          <w:rFonts w:ascii="PT Astra Serif" w:hAnsi="PT Astra Serif"/>
          <w:sz w:val="24"/>
          <w:szCs w:val="24"/>
          <w:lang w:eastAsia="ru-RU"/>
        </w:rPr>
      </w:pPr>
      <w:r>
        <w:rPr>
          <w:rFonts w:ascii="PT Astra Serif" w:hAnsi="PT Astra Serif"/>
          <w:sz w:val="24"/>
          <w:szCs w:val="24"/>
          <w:lang w:eastAsia="ru-RU"/>
        </w:rPr>
        <w:t xml:space="preserve">– закупки в рамках реализации национальных проектов;</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rPr>
          <w:rFonts w:ascii="PT Astra Serif" w:hAnsi="PT Astra Serif"/>
          <w:sz w:val="24"/>
          <w:szCs w:val="24"/>
          <w:lang w:eastAsia="ru-RU"/>
        </w:rPr>
      </w:pPr>
      <w:r>
        <w:rPr>
          <w:rFonts w:ascii="PT Astra Serif" w:hAnsi="PT Astra Serif"/>
          <w:sz w:val="24"/>
          <w:szCs w:val="24"/>
          <w:lang w:eastAsia="ru-RU"/>
        </w:rPr>
        <w:t xml:space="preserve">– закупки в рамках соглашений по инициативе муниципальных образований.</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rPr>
          <w:rFonts w:ascii="PT Astra Serif" w:hAnsi="PT Astra Serif"/>
          <w:sz w:val="24"/>
          <w:szCs w:val="24"/>
          <w:lang w:eastAsia="ru-RU"/>
        </w:rPr>
      </w:pPr>
      <w:r>
        <w:rPr>
          <w:rFonts w:ascii="PT Astra Serif" w:hAnsi="PT Astra Serif"/>
          <w:sz w:val="24"/>
          <w:szCs w:val="24"/>
          <w:lang w:eastAsia="ru-RU"/>
        </w:rPr>
        <w:t xml:space="preserve">В 2023 году Департаментом государственного заказа Томской области проведено 427 закупок для муниципальных заказчиков на общую сумму 2 </w:t>
      </w:r>
      <w:r>
        <w:rPr>
          <w:rFonts w:ascii="PT Astra Serif" w:hAnsi="PT Astra Serif"/>
          <w:sz w:val="24"/>
          <w:szCs w:val="24"/>
          <w:lang w:eastAsia="ru-RU"/>
        </w:rPr>
        <w:t xml:space="preserve">млрд</w:t>
      </w:r>
      <w:r>
        <w:rPr>
          <w:rFonts w:ascii="PT Astra Serif" w:hAnsi="PT Astra Serif"/>
          <w:sz w:val="24"/>
          <w:szCs w:val="24"/>
          <w:lang w:eastAsia="ru-RU"/>
        </w:rPr>
        <w:t xml:space="preserve"> </w:t>
      </w:r>
      <w:r>
        <w:rPr>
          <w:rFonts w:ascii="PT Astra Serif" w:hAnsi="PT Astra Serif"/>
          <w:sz w:val="24"/>
          <w:szCs w:val="24"/>
          <w:lang w:eastAsia="ru-RU"/>
        </w:rPr>
        <w:t xml:space="preserve">рублей.</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rPr>
          <w:rFonts w:ascii="PT Astra Serif" w:hAnsi="PT Astra Serif"/>
          <w:sz w:val="24"/>
          <w:szCs w:val="24"/>
          <w:lang w:eastAsia="ru-RU"/>
        </w:rPr>
      </w:pPr>
      <w:r>
        <w:rPr>
          <w:rFonts w:ascii="PT Astra Serif" w:hAnsi="PT Astra Serif"/>
          <w:sz w:val="24"/>
          <w:szCs w:val="24"/>
          <w:lang w:eastAsia="ru-RU"/>
        </w:rPr>
        <w:t xml:space="preserve">Закупки у единственного поставщика (подрядчика, исполнителя) (далее – закупки «малого объема») проводятся заказчиками Томской области в электронной форме посредством Электронного магазина, что также используется в муниципалитетах Томской области и </w:t>
      </w:r>
      <w:r>
        <w:rPr>
          <w:rFonts w:ascii="PT Astra Serif" w:hAnsi="PT Astra Serif"/>
          <w:sz w:val="24"/>
          <w:szCs w:val="24"/>
        </w:rPr>
        <w:t xml:space="preserve">является одним из системных мероприятий, направленных на развитие конкуренции в Томской области.</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rPr>
          <w:rFonts w:ascii="PT Astra Serif" w:hAnsi="PT Astra Serif"/>
          <w:sz w:val="24"/>
          <w:szCs w:val="24"/>
          <w:lang w:eastAsia="ru-RU"/>
        </w:rPr>
      </w:pPr>
      <w:r>
        <w:rPr>
          <w:rFonts w:ascii="PT Astra Serif" w:hAnsi="PT Astra Serif"/>
          <w:sz w:val="24"/>
          <w:szCs w:val="24"/>
          <w:lang w:eastAsia="ru-RU"/>
        </w:rPr>
        <w:t xml:space="preserve">Результатом применения Э</w:t>
      </w:r>
      <w:r>
        <w:rPr>
          <w:rFonts w:ascii="PT Astra Serif" w:hAnsi="PT Astra Serif"/>
          <w:sz w:val="24"/>
          <w:szCs w:val="24"/>
          <w:lang w:eastAsia="ru-RU"/>
        </w:rPr>
        <w:t xml:space="preserve">лектронного магазина является обеспечение гласности и прозрачности закупок, привлечение к закупкам госсектора поставщиков, не принимающих участие в конкурентных закупках, а заключение контрактов на конкурентной основе приводит к экономии бюджетных средств.</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rPr>
          <w:rFonts w:ascii="PT Astra Serif" w:hAnsi="PT Astra Serif"/>
          <w:sz w:val="24"/>
          <w:szCs w:val="24"/>
          <w:lang w:eastAsia="ru-RU"/>
        </w:rPr>
      </w:pPr>
      <w:r>
        <w:rPr>
          <w:rFonts w:ascii="PT Astra Serif" w:hAnsi="PT Astra Serif"/>
          <w:sz w:val="24"/>
          <w:szCs w:val="24"/>
          <w:lang w:eastAsia="ru-RU"/>
        </w:rPr>
        <w:t xml:space="preserve">В 2023 году в Электронном магазине областными заказчиками проведено</w:t>
      </w:r>
      <w:r>
        <w:rPr>
          <w:rFonts w:ascii="PT Astra Serif" w:hAnsi="PT Astra Serif"/>
          <w:sz w:val="24"/>
          <w:szCs w:val="24"/>
          <w:lang w:eastAsia="ru-RU"/>
        </w:rPr>
        <w:t xml:space="preserve"> 21,9 тыс. </w:t>
      </w:r>
      <w:r>
        <w:rPr>
          <w:rFonts w:ascii="PT Astra Serif" w:hAnsi="PT Astra Serif"/>
          <w:sz w:val="24"/>
          <w:szCs w:val="24"/>
          <w:lang w:eastAsia="ru-RU"/>
        </w:rPr>
        <w:t xml:space="preserve">закупок на общую сумму 2,8 </w:t>
      </w:r>
      <w:r>
        <w:rPr>
          <w:rFonts w:ascii="PT Astra Serif" w:hAnsi="PT Astra Serif"/>
          <w:sz w:val="24"/>
          <w:szCs w:val="24"/>
          <w:lang w:eastAsia="ru-RU"/>
        </w:rPr>
        <w:t xml:space="preserve">млрд</w:t>
      </w:r>
      <w:r>
        <w:rPr>
          <w:rFonts w:ascii="PT Astra Serif" w:hAnsi="PT Astra Serif"/>
          <w:sz w:val="24"/>
          <w:szCs w:val="24"/>
          <w:lang w:eastAsia="ru-RU"/>
        </w:rPr>
        <w:t xml:space="preserve"> </w:t>
      </w:r>
      <w:r>
        <w:rPr>
          <w:rFonts w:ascii="PT Astra Serif" w:hAnsi="PT Astra Serif"/>
          <w:sz w:val="24"/>
          <w:szCs w:val="24"/>
          <w:lang w:eastAsia="ru-RU"/>
        </w:rPr>
        <w:t xml:space="preserve">рублей, экономия средств составила 317 млн рублей (14,6%).</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tabs>
          <w:tab w:val="left" w:pos="4962" w:leader="none"/>
        </w:tabs>
        <w:rPr>
          <w:rFonts w:ascii="PT Astra Serif" w:hAnsi="PT Astra Serif"/>
          <w:sz w:val="24"/>
          <w:szCs w:val="24"/>
          <w:shd w:val="clear" w:color="auto" w:fill="f2f2f2" w:themeFill="background1" w:themeFillShade="F2"/>
        </w:rPr>
      </w:pPr>
      <w:r>
        <w:rPr>
          <w:rFonts w:ascii="PT Astra Serif" w:hAnsi="PT Astra Serif"/>
          <w:sz w:val="24"/>
          <w:szCs w:val="24"/>
          <w:shd w:val="clear" w:color="auto" w:fill="f2f2f2" w:themeFill="background1" w:themeFillShade="F2"/>
        </w:rPr>
      </w:r>
      <w:r>
        <w:rPr>
          <w:rFonts w:ascii="PT Astra Serif" w:hAnsi="PT Astra Serif"/>
          <w:sz w:val="24"/>
          <w:szCs w:val="24"/>
          <w:shd w:val="clear" w:color="auto" w:fill="f2f2f2" w:themeFill="background1" w:themeFillShade="F2"/>
        </w:rPr>
      </w:r>
      <w:r>
        <w:rPr>
          <w:rFonts w:ascii="PT Astra Serif" w:hAnsi="PT Astra Serif"/>
          <w:sz w:val="24"/>
          <w:szCs w:val="24"/>
          <w:shd w:val="clear" w:color="auto" w:fill="f2f2f2" w:themeFill="background1" w:themeFillShade="F2"/>
        </w:rPr>
      </w:r>
    </w:p>
    <w:p>
      <w:pPr>
        <w:jc w:val="both"/>
        <w:spacing w:after="0" w:line="240" w:lineRule="auto"/>
        <w:tabs>
          <w:tab w:val="left" w:pos="900" w:leader="none"/>
        </w:tabs>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Перспективная задача:</w:t>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567" w:leader="none"/>
        </w:tabs>
        <w:rPr>
          <w:rFonts w:ascii="PT Astra Serif" w:hAnsi="PT Astra Serif"/>
          <w:sz w:val="24"/>
          <w:szCs w:val="24"/>
          <w:lang w:eastAsia="ru-RU"/>
        </w:rPr>
      </w:pPr>
      <w:r>
        <w:rPr>
          <w:rFonts w:ascii="PT Astra Serif" w:hAnsi="PT Astra Serif"/>
          <w:sz w:val="24"/>
          <w:szCs w:val="24"/>
          <w:lang w:eastAsia="ru-RU"/>
        </w:rPr>
        <w:t xml:space="preserve">Совершенствование контрактной системы Томской области, в том числе за счет оптимизации взаимодействия с заказчиками при осуществлении закупок в рамках реализации национальных проектов.</w:t>
      </w:r>
      <w:r>
        <w:rPr>
          <w:rFonts w:ascii="PT Astra Serif" w:hAnsi="PT Astra Serif"/>
          <w:sz w:val="24"/>
          <w:szCs w:val="24"/>
          <w:lang w:eastAsia="ru-RU"/>
        </w:rPr>
      </w:r>
      <w:r>
        <w:rPr>
          <w:rFonts w:ascii="PT Astra Serif" w:hAnsi="PT Astra Serif"/>
          <w:sz w:val="24"/>
          <w:szCs w:val="24"/>
          <w:lang w:eastAsia="ru-RU"/>
        </w:rPr>
      </w:r>
    </w:p>
    <w:p>
      <w:pPr>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pStyle w:val="1146"/>
        <w:outlineLvl w:val="1"/>
      </w:pPr>
      <w:r/>
      <w:bookmarkStart w:id="28" w:name="_Toc134630418"/>
      <w:r>
        <w:t xml:space="preserve">5.3. Повышение эффективности управления государственным имуществом</w:t>
      </w:r>
      <w:bookmarkEnd w:id="28"/>
      <w: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right="-1" w:firstLine="567"/>
        <w:jc w:val="both"/>
        <w:spacing w:after="0" w:line="240" w:lineRule="auto"/>
        <w:tabs>
          <w:tab w:val="left" w:pos="993" w:leader="none"/>
        </w:tabs>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Поддержка и повышение уровня эффективности использования государственного имущества, в том числе за счет внедрения цифровых инструментов управления государственной собственностью, является ключевой задачей региональной политики.</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right="-1" w:firstLine="567"/>
        <w:jc w:val="both"/>
        <w:spacing w:after="0" w:line="240" w:lineRule="auto"/>
        <w:tabs>
          <w:tab w:val="left" w:pos="993" w:leader="none"/>
        </w:tabs>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2023 году в государственную собственность Томской области на безвозмездной основе из федеральной и муниципальной собственности, а также от иных юридических лиц принято имущество (движимое, недвижимое и земельные участ</w:t>
      </w:r>
      <w:r>
        <w:rPr>
          <w:rFonts w:ascii="PT Astra Serif" w:hAnsi="PT Astra Serif" w:eastAsia="Times New Roman" w:cs="Arial"/>
          <w:sz w:val="24"/>
          <w:szCs w:val="24"/>
          <w:lang w:eastAsia="ru-RU"/>
        </w:rPr>
        <w:t xml:space="preserve">ки) на общую сумму 1 441,66 млн</w:t>
      </w:r>
      <w:r>
        <w:rPr>
          <w:rFonts w:ascii="PT Astra Serif" w:hAnsi="PT Astra Serif" w:eastAsia="Times New Roman" w:cs="Arial"/>
          <w:sz w:val="24"/>
          <w:szCs w:val="24"/>
          <w:lang w:eastAsia="ru-RU"/>
        </w:rPr>
        <w:t xml:space="preserve"> рублей (в 2022 году – на 293,6 </w:t>
      </w:r>
      <w:r>
        <w:rPr>
          <w:rFonts w:ascii="PT Astra Serif" w:hAnsi="PT Astra Serif" w:eastAsia="Times New Roman" w:cs="Arial"/>
          <w:sz w:val="24"/>
          <w:szCs w:val="24"/>
          <w:lang w:eastAsia="ru-RU"/>
        </w:rPr>
        <w:t xml:space="preserve">млн</w:t>
      </w:r>
      <w:r>
        <w:rPr>
          <w:rFonts w:ascii="PT Astra Serif" w:hAnsi="PT Astra Serif" w:eastAsia="Times New Roman" w:cs="Arial"/>
          <w:sz w:val="24"/>
          <w:szCs w:val="24"/>
          <w:lang w:eastAsia="ru-RU"/>
        </w:rPr>
        <w:t xml:space="preserve"> рублей). Минпромторгом России передано в собственность Томской области 40 школьных автобусов для дальнейшей передачи в муниципальную собственность (в 2022 </w:t>
      </w:r>
      <w:r>
        <w:rPr>
          <w:rFonts w:ascii="PT Astra Serif" w:hAnsi="PT Astra Serif" w:eastAsia="Times New Roman" w:cs="Arial"/>
          <w:sz w:val="24"/>
          <w:szCs w:val="24"/>
          <w:lang w:eastAsia="ru-RU"/>
        </w:rPr>
        <w:t xml:space="preserve">году – 23 автобуса), а также 25 </w:t>
      </w:r>
      <w:r>
        <w:rPr>
          <w:rFonts w:ascii="PT Astra Serif" w:hAnsi="PT Astra Serif" w:eastAsia="Times New Roman" w:cs="Arial"/>
          <w:sz w:val="24"/>
          <w:szCs w:val="24"/>
          <w:lang w:eastAsia="ru-RU"/>
        </w:rPr>
        <w:t xml:space="preserve">автомобилей скорой помощи для нужд областных государственных учреждений здравоохранения (в 2022 году </w:t>
      </w:r>
      <w:r>
        <w:rPr>
          <w:rFonts w:ascii="PT Astra Serif" w:hAnsi="PT Astra Serif" w:eastAsia="Calibri"/>
          <w:sz w:val="24"/>
          <w:szCs w:val="24"/>
        </w:rPr>
        <w:t xml:space="preserve">–</w:t>
      </w:r>
      <w:r>
        <w:rPr>
          <w:rFonts w:ascii="PT Astra Serif" w:hAnsi="PT Astra Serif" w:eastAsia="Times New Roman" w:cs="Arial"/>
          <w:sz w:val="24"/>
          <w:szCs w:val="24"/>
          <w:lang w:eastAsia="ru-RU"/>
        </w:rPr>
        <w:t xml:space="preserve"> 12 автомобилей скорой помощи).</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contextualSpacing/>
        <w:ind w:right="-1" w:firstLine="567"/>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w:t>
      </w:r>
      <w:r>
        <w:rPr>
          <w:rFonts w:ascii="PT Astra Serif" w:hAnsi="PT Astra Serif"/>
          <w:sz w:val="24"/>
          <w:szCs w:val="24"/>
        </w:rPr>
        <w:t xml:space="preserve">в собственности Томской области</w:t>
      </w:r>
      <w:r>
        <w:rPr>
          <w:rFonts w:ascii="PT Astra Serif" w:hAnsi="PT Astra Serif"/>
          <w:sz w:val="24"/>
          <w:szCs w:val="24"/>
        </w:rPr>
        <w:t xml:space="preserve"> составила 98%, при плановом значении – 90%.</w:t>
      </w:r>
      <w:r>
        <w:rPr>
          <w:rFonts w:ascii="PT Astra Serif" w:hAnsi="PT Astra Serif"/>
          <w:sz w:val="24"/>
          <w:szCs w:val="24"/>
        </w:rPr>
      </w:r>
      <w:r>
        <w:rPr>
          <w:rFonts w:ascii="PT Astra Serif" w:hAnsi="PT Astra Serif"/>
          <w:sz w:val="24"/>
          <w:szCs w:val="24"/>
        </w:rPr>
      </w:r>
    </w:p>
    <w:p>
      <w:pPr>
        <w:contextualSpacing/>
        <w:ind w:right="-1" w:firstLine="567"/>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В 2023 году прекращено право государственной собственности Томской области на 71 объект недвижимого имущества (за исключением земельных участков) общей первоначальной сто</w:t>
      </w:r>
      <w:r>
        <w:rPr>
          <w:rFonts w:ascii="PT Astra Serif" w:hAnsi="PT Astra Serif"/>
          <w:sz w:val="24"/>
          <w:szCs w:val="24"/>
        </w:rPr>
        <w:t xml:space="preserve">имостью </w:t>
      </w:r>
      <w:r>
        <w:rPr>
          <w:rFonts w:ascii="PT Astra Serif" w:hAnsi="PT Astra Serif"/>
          <w:sz w:val="24"/>
          <w:szCs w:val="24"/>
        </w:rPr>
        <w:t xml:space="preserve">311,7 млн</w:t>
      </w:r>
      <w:r>
        <w:rPr>
          <w:rFonts w:ascii="PT Astra Serif" w:hAnsi="PT Astra Serif"/>
          <w:sz w:val="24"/>
          <w:szCs w:val="24"/>
        </w:rPr>
        <w:t xml:space="preserve"> рублей</w:t>
      </w:r>
      <w:r>
        <w:rPr>
          <w:rFonts w:ascii="PT Astra Serif" w:hAnsi="PT Astra Serif"/>
          <w:sz w:val="24"/>
          <w:szCs w:val="24"/>
        </w:rPr>
        <w:t xml:space="preserve"> в связи с передачей в федеральную и муниципальную собственность, сносом, приватизацией (в том числе 49 объектов общей перв</w:t>
      </w:r>
      <w:r>
        <w:rPr>
          <w:rFonts w:ascii="PT Astra Serif" w:hAnsi="PT Astra Serif"/>
          <w:sz w:val="24"/>
          <w:szCs w:val="24"/>
        </w:rPr>
        <w:t xml:space="preserve">оначальной стоимостью 277,4 млн</w:t>
      </w:r>
      <w:r>
        <w:rPr>
          <w:rFonts w:ascii="PT Astra Serif" w:hAnsi="PT Astra Serif"/>
          <w:sz w:val="24"/>
          <w:szCs w:val="24"/>
        </w:rPr>
        <w:t xml:space="preserve"> рублей из Казны Томской области).</w:t>
      </w:r>
      <w:r>
        <w:rPr>
          <w:rFonts w:ascii="PT Astra Serif" w:hAnsi="PT Astra Serif"/>
          <w:sz w:val="24"/>
          <w:szCs w:val="24"/>
        </w:rPr>
      </w:r>
      <w:r>
        <w:rPr>
          <w:rFonts w:ascii="PT Astra Serif" w:hAnsi="PT Astra Serif"/>
          <w:sz w:val="24"/>
          <w:szCs w:val="24"/>
        </w:rPr>
      </w:r>
    </w:p>
    <w:p>
      <w:pPr>
        <w:ind w:right="-143" w:firstLine="567"/>
        <w:jc w:val="both"/>
        <w:spacing w:after="0" w:line="240" w:lineRule="auto"/>
        <w:tabs>
          <w:tab w:val="left" w:pos="993" w:leader="none"/>
        </w:tabs>
        <w:rPr>
          <w:rFonts w:ascii="PT Astra Serif" w:hAnsi="PT Astra Serif" w:cs="PT Astra Serif"/>
          <w:sz w:val="24"/>
          <w:szCs w:val="24"/>
        </w:rPr>
      </w:pPr>
      <w:r>
        <w:rPr>
          <w:rFonts w:ascii="PT Astra Serif" w:hAnsi="PT Astra Serif" w:cs="PT Astra Serif"/>
          <w:sz w:val="24"/>
          <w:szCs w:val="24"/>
        </w:rPr>
        <w:t xml:space="preserve">Процент сокращения количества объектов имущества (за исключением земельных участков), находящихся в Казне Томской области</w:t>
      </w:r>
      <w:r>
        <w:rPr>
          <w:rFonts w:ascii="PT Astra Serif" w:hAnsi="PT Astra Serif" w:cs="PT Astra Serif"/>
          <w:sz w:val="24"/>
          <w:szCs w:val="24"/>
        </w:rPr>
        <w:t xml:space="preserve">,</w:t>
      </w:r>
      <w:r>
        <w:rPr>
          <w:rFonts w:ascii="PT Astra Serif" w:hAnsi="PT Astra Serif" w:cs="PT Astra Serif"/>
          <w:sz w:val="24"/>
          <w:szCs w:val="24"/>
        </w:rPr>
        <w:t xml:space="preserve"> </w:t>
      </w:r>
      <w:r>
        <w:rPr>
          <w:rFonts w:ascii="PT Astra Serif" w:hAnsi="PT Astra Serif"/>
          <w:sz w:val="24"/>
          <w:szCs w:val="24"/>
        </w:rPr>
        <w:t xml:space="preserve">составил – 8%, при плановом значении – 5%.</w:t>
      </w:r>
      <w:r>
        <w:rPr>
          <w:rFonts w:ascii="PT Astra Serif" w:hAnsi="PT Astra Serif" w:cs="PT Astra Serif"/>
          <w:sz w:val="24"/>
          <w:szCs w:val="24"/>
        </w:rPr>
      </w:r>
      <w:r>
        <w:rPr>
          <w:rFonts w:ascii="PT Astra Serif" w:hAnsi="PT Astra Serif" w:cs="PT Astra Serif"/>
          <w:sz w:val="24"/>
          <w:szCs w:val="24"/>
        </w:rPr>
      </w:r>
    </w:p>
    <w:p>
      <w:pPr>
        <w:pStyle w:val="1162"/>
        <w:ind w:right="-143"/>
        <w:tabs>
          <w:tab w:val="left" w:pos="993" w:leader="none"/>
        </w:tabs>
        <w:rPr>
          <w:rFonts w:ascii="PT Astra Serif" w:hAnsi="PT Astra Serif"/>
          <w:sz w:val="24"/>
          <w:szCs w:val="24"/>
        </w:rPr>
      </w:pPr>
      <w:r>
        <w:rPr>
          <w:rFonts w:ascii="PT Astra Serif" w:hAnsi="PT Astra Serif"/>
          <w:sz w:val="24"/>
          <w:szCs w:val="24"/>
        </w:rPr>
        <w:t xml:space="preserve">Продолжена работа по формированию Перечня объектов имущества для целей налогообложения. В 2023 году в Перечень объектов имущества для целей налогообложения вошло 3 934 объекта (в 2022 году </w:t>
      </w:r>
      <w:r>
        <w:rPr>
          <w:rFonts w:ascii="PT Astra Serif" w:hAnsi="PT Astra Serif" w:eastAsia="Calibri"/>
          <w:sz w:val="24"/>
          <w:szCs w:val="24"/>
        </w:rPr>
        <w:t xml:space="preserve">–</w:t>
      </w:r>
      <w:r>
        <w:rPr>
          <w:rFonts w:ascii="PT Astra Serif" w:hAnsi="PT Astra Serif"/>
          <w:sz w:val="24"/>
          <w:szCs w:val="24"/>
        </w:rPr>
        <w:t xml:space="preserve"> 3 564 объекта), в перспективе перечень будет расширяться.</w:t>
      </w:r>
      <w:r>
        <w:rPr>
          <w:rFonts w:ascii="PT Astra Serif" w:hAnsi="PT Astra Serif"/>
          <w:sz w:val="24"/>
          <w:szCs w:val="24"/>
        </w:rPr>
      </w:r>
      <w:r>
        <w:rPr>
          <w:rFonts w:ascii="PT Astra Serif" w:hAnsi="PT Astra Serif"/>
          <w:sz w:val="24"/>
          <w:szCs w:val="24"/>
        </w:rPr>
      </w:r>
    </w:p>
    <w:p>
      <w:pPr>
        <w:pStyle w:val="1162"/>
        <w:ind w:right="-143"/>
        <w:tabs>
          <w:tab w:val="left" w:pos="993" w:leader="none"/>
        </w:tabs>
        <w:rPr>
          <w:rFonts w:ascii="PT Astra Serif" w:hAnsi="PT Astra Serif"/>
          <w:sz w:val="24"/>
          <w:szCs w:val="24"/>
        </w:rPr>
      </w:pPr>
      <w:r>
        <w:rPr>
          <w:rFonts w:ascii="PT Astra Serif" w:hAnsi="PT Astra Serif"/>
          <w:sz w:val="24"/>
          <w:szCs w:val="24"/>
        </w:rPr>
        <w:t xml:space="preserve">В отношении 416 объектов недвижимого имущества проведены мероприятия по установлению вида их фактического использования в целях включения в Перечень объектов имущества для целей налогообложения на 2024 год.</w:t>
      </w:r>
      <w:r>
        <w:rPr>
          <w:rFonts w:ascii="PT Astra Serif" w:hAnsi="PT Astra Serif"/>
          <w:sz w:val="24"/>
          <w:szCs w:val="24"/>
        </w:rPr>
      </w:r>
      <w:r>
        <w:rPr>
          <w:rFonts w:ascii="PT Astra Serif" w:hAnsi="PT Astra Serif"/>
          <w:sz w:val="24"/>
          <w:szCs w:val="24"/>
        </w:rPr>
      </w:r>
    </w:p>
    <w:p>
      <w:pPr>
        <w:pStyle w:val="1162"/>
        <w:tabs>
          <w:tab w:val="left" w:pos="851" w:leader="none"/>
          <w:tab w:val="left" w:pos="993" w:leader="none"/>
        </w:tabs>
        <w:rPr>
          <w:rFonts w:ascii="PT Astra Serif" w:hAnsi="PT Astra Serif"/>
          <w:sz w:val="24"/>
          <w:szCs w:val="24"/>
        </w:rPr>
      </w:pPr>
      <w:r>
        <w:rPr>
          <w:rFonts w:ascii="PT Astra Serif" w:hAnsi="PT Astra Serif"/>
          <w:sz w:val="24"/>
          <w:szCs w:val="24"/>
        </w:rPr>
        <w:t xml:space="preserve">С ц</w:t>
      </w:r>
      <w:r>
        <w:rPr>
          <w:rFonts w:ascii="PT Astra Serif" w:hAnsi="PT Astra Serif"/>
          <w:sz w:val="24"/>
          <w:szCs w:val="24"/>
        </w:rPr>
        <w:t xml:space="preserve">елью обеспечения контроля за соблюдением требований эффективности использования и сохранности государственного имущества Томской области в 2023 году проведены проверки в отношении 404 объектов недвижимого имущества (в 2022 году – в отношении 378 объектов).</w:t>
      </w:r>
      <w:r>
        <w:rPr>
          <w:rFonts w:ascii="PT Astra Serif" w:hAnsi="PT Astra Serif"/>
          <w:sz w:val="24"/>
          <w:szCs w:val="24"/>
        </w:rPr>
      </w:r>
      <w:r>
        <w:rPr>
          <w:rFonts w:ascii="PT Astra Serif" w:hAnsi="PT Astra Serif"/>
          <w:sz w:val="24"/>
          <w:szCs w:val="24"/>
        </w:rPr>
      </w:r>
    </w:p>
    <w:p>
      <w:pPr>
        <w:ind w:firstLine="567"/>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Во исполнение прогнозного плана (программы) приватизации государственного имущества Томской области в 2023 году реализовано 2 нежилых помещения, 1 нежилое здание с занимаемым им земельным участком.</w:t>
      </w:r>
      <w:r>
        <w:rPr>
          <w:rFonts w:ascii="PT Astra Serif" w:hAnsi="PT Astra Serif"/>
          <w:sz w:val="24"/>
          <w:szCs w:val="24"/>
        </w:rPr>
      </w:r>
      <w:r>
        <w:rPr>
          <w:rFonts w:ascii="PT Astra Serif" w:hAnsi="PT Astra Serif"/>
          <w:sz w:val="24"/>
          <w:szCs w:val="24"/>
        </w:rPr>
      </w:r>
    </w:p>
    <w:p>
      <w:pPr>
        <w:ind w:firstLine="567"/>
        <w:jc w:val="both"/>
        <w:spacing w:after="0" w:line="240" w:lineRule="auto"/>
        <w:tabs>
          <w:tab w:val="left" w:pos="993" w:leader="none"/>
        </w:tabs>
        <w:rPr>
          <w:rFonts w:ascii="PT Astra Serif" w:hAnsi="PT Astra Serif"/>
          <w:sz w:val="24"/>
          <w:szCs w:val="24"/>
        </w:rPr>
      </w:pPr>
      <w:r>
        <w:rPr>
          <w:rFonts w:ascii="PT Astra Serif" w:hAnsi="PT Astra Serif" w:eastAsia="Times New Roman" w:cs="Arial"/>
          <w:sz w:val="24"/>
          <w:szCs w:val="24"/>
          <w:lang w:eastAsia="ru-RU"/>
        </w:rPr>
        <w:t xml:space="preserve">В целях пополнения доходной части бюджета Томской области в 2023 году обеспечены поступления в бюджет Томской области в сумме</w:t>
      </w:r>
      <w:r>
        <w:rPr>
          <w:rFonts w:ascii="PT Astra Serif" w:hAnsi="PT Astra Serif"/>
          <w:sz w:val="24"/>
          <w:szCs w:val="24"/>
        </w:rPr>
        <w:t xml:space="preserve"> 59,6 млн рублей (в 2022 году – 52,9 млн</w:t>
      </w:r>
      <w:r>
        <w:rPr>
          <w:rFonts w:ascii="PT Astra Serif" w:hAnsi="PT Astra Serif"/>
          <w:sz w:val="24"/>
          <w:szCs w:val="24"/>
        </w:rPr>
        <w:t xml:space="preserve"> рублей) в основном за счет поступлений от сдачи в аренду и продажи имущества и</w:t>
      </w:r>
      <w:r>
        <w:rPr>
          <w:rFonts w:ascii="PT Astra Serif" w:hAnsi="PT Astra Serif"/>
          <w:sz w:val="24"/>
          <w:szCs w:val="24"/>
        </w:rPr>
        <w:t xml:space="preserve"> земли – 35,5 млн рублей (в 2022 году – 30,6 млн</w:t>
      </w:r>
      <w:r>
        <w:rPr>
          <w:rFonts w:ascii="PT Astra Serif" w:hAnsi="PT Astra Serif"/>
          <w:sz w:val="24"/>
          <w:szCs w:val="24"/>
        </w:rPr>
        <w:t xml:space="preserve"> рублей), от дивидендов и перечисления части п</w:t>
      </w:r>
      <w:r>
        <w:rPr>
          <w:rFonts w:ascii="PT Astra Serif" w:hAnsi="PT Astra Serif"/>
          <w:sz w:val="24"/>
          <w:szCs w:val="24"/>
        </w:rPr>
        <w:t xml:space="preserve">рибыли предприятиями – 24,1 млн рублей (в 202</w:t>
      </w:r>
      <w:r>
        <w:rPr>
          <w:rFonts w:ascii="PT Astra Serif" w:hAnsi="PT Astra Serif"/>
          <w:sz w:val="24"/>
          <w:szCs w:val="24"/>
        </w:rPr>
        <w:t xml:space="preserve">2 году – 21,8 </w:t>
      </w:r>
      <w:r>
        <w:rPr>
          <w:rFonts w:ascii="PT Astra Serif" w:hAnsi="PT Astra Serif"/>
          <w:sz w:val="24"/>
          <w:szCs w:val="24"/>
        </w:rPr>
        <w:t xml:space="preserve">млн</w:t>
      </w:r>
      <w:r>
        <w:rPr>
          <w:rFonts w:ascii="PT Astra Serif" w:hAnsi="PT Astra Serif"/>
          <w:sz w:val="24"/>
          <w:szCs w:val="24"/>
        </w:rPr>
        <w:t xml:space="preserve"> </w:t>
      </w:r>
      <w:r>
        <w:rPr>
          <w:rFonts w:ascii="PT Astra Serif" w:hAnsi="PT Astra Serif"/>
          <w:sz w:val="24"/>
          <w:szCs w:val="24"/>
        </w:rPr>
        <w:t xml:space="preserve">рублей).</w:t>
      </w:r>
      <w:r>
        <w:rPr>
          <w:rFonts w:ascii="PT Astra Serif" w:hAnsi="PT Astra Serif"/>
          <w:sz w:val="24"/>
          <w:szCs w:val="24"/>
        </w:rPr>
      </w:r>
      <w:r>
        <w:rPr>
          <w:rFonts w:ascii="PT Astra Serif" w:hAnsi="PT Astra Serif"/>
          <w:sz w:val="24"/>
          <w:szCs w:val="24"/>
        </w:rPr>
      </w:r>
    </w:p>
    <w:p>
      <w:pPr>
        <w:ind w:firstLine="567"/>
        <w:jc w:val="both"/>
        <w:spacing w:after="0" w:line="240" w:lineRule="auto"/>
        <w:tabs>
          <w:tab w:val="left" w:pos="993" w:leader="none"/>
        </w:tabs>
        <w:rPr>
          <w:rFonts w:ascii="PT Astra Serif" w:hAnsi="PT Astra Serif" w:eastAsia="Times New Roman" w:cs="Arial"/>
          <w:sz w:val="24"/>
          <w:szCs w:val="24"/>
        </w:rPr>
      </w:pPr>
      <w:r>
        <w:rPr>
          <w:rFonts w:ascii="PT Astra Serif" w:hAnsi="PT Astra Serif" w:eastAsia="Times New Roman" w:cs="Arial"/>
          <w:sz w:val="24"/>
          <w:szCs w:val="24"/>
          <w:lang w:eastAsia="ru-RU"/>
        </w:rPr>
        <w:t xml:space="preserve">В 2023 году проведена государственная кадастр</w:t>
      </w:r>
      <w:r>
        <w:rPr>
          <w:rFonts w:ascii="PT Astra Serif" w:hAnsi="PT Astra Serif" w:eastAsia="Times New Roman" w:cs="Arial"/>
          <w:sz w:val="24"/>
          <w:szCs w:val="24"/>
          <w:lang w:eastAsia="ru-RU"/>
        </w:rPr>
        <w:t xml:space="preserve">овая оценка в отношении 765 818 </w:t>
      </w:r>
      <w:r>
        <w:rPr>
          <w:rFonts w:ascii="PT Astra Serif" w:hAnsi="PT Astra Serif" w:eastAsia="Times New Roman" w:cs="Arial"/>
          <w:sz w:val="24"/>
          <w:szCs w:val="24"/>
          <w:lang w:eastAsia="ru-RU"/>
        </w:rPr>
        <w:t xml:space="preserve">объектов капитального строительства (зданий, помещений, сооружений, объектов незавершенного строительства, машино-мест). Суммарная кадастровая стоимость объектов капитального строительства Томской области составила 3 273,2 </w:t>
      </w:r>
      <w:r>
        <w:rPr>
          <w:rFonts w:ascii="PT Astra Serif" w:hAnsi="PT Astra Serif" w:eastAsia="Times New Roman" w:cs="Arial"/>
          <w:sz w:val="24"/>
          <w:szCs w:val="24"/>
          <w:lang w:eastAsia="ru-RU"/>
        </w:rPr>
        <w:t xml:space="preserve">млрд</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рублей, что на 31,5% выше действующего значения данного показателя.</w:t>
      </w:r>
      <w:r>
        <w:rPr>
          <w:rFonts w:ascii="PT Astra Serif" w:hAnsi="PT Astra Serif" w:eastAsia="Times New Roman" w:cs="Arial"/>
          <w:sz w:val="24"/>
          <w:szCs w:val="24"/>
        </w:rPr>
      </w:r>
      <w:r>
        <w:rPr>
          <w:rFonts w:ascii="PT Astra Serif" w:hAnsi="PT Astra Serif" w:eastAsia="Times New Roman" w:cs="Arial"/>
          <w:sz w:val="24"/>
          <w:szCs w:val="24"/>
        </w:rPr>
      </w:r>
    </w:p>
    <w:p>
      <w:pPr>
        <w:ind w:firstLine="567"/>
        <w:jc w:val="both"/>
        <w:spacing w:after="0" w:line="240" w:lineRule="auto"/>
        <w:tabs>
          <w:tab w:val="left" w:pos="993" w:leader="none"/>
        </w:tabs>
        <w:rPr>
          <w:rFonts w:ascii="PT Astra Serif" w:hAnsi="PT Astra Serif" w:eastAsia="Times New Roman" w:cs="Arial"/>
          <w:sz w:val="24"/>
          <w:szCs w:val="24"/>
        </w:rPr>
      </w:pPr>
      <w:r>
        <w:rPr>
          <w:rFonts w:ascii="PT Astra Serif" w:hAnsi="PT Astra Serif"/>
          <w:sz w:val="24"/>
          <w:szCs w:val="24"/>
          <w:shd w:val="clear" w:color="auto" w:fill="ffffff"/>
        </w:rPr>
        <w:t xml:space="preserve">ОГБУ «Томский областной центр инвентаризации и кадастра» рассмотрено 1 334 заявления об установлении кадастровой стоимости объекта недвижимости в размере его рыночной стоимости, из них отклонено 434 (32,5%) заявления, удовлетворено 900 (67,5%) заявлений.  </w:t>
      </w:r>
      <w:r>
        <w:rPr>
          <w:rFonts w:ascii="PT Astra Serif" w:hAnsi="PT Astra Serif" w:eastAsia="Times New Roman" w:cs="Arial"/>
          <w:sz w:val="24"/>
          <w:szCs w:val="24"/>
        </w:rPr>
      </w:r>
      <w:r>
        <w:rPr>
          <w:rFonts w:ascii="PT Astra Serif" w:hAnsi="PT Astra Serif" w:eastAsia="Times New Roman" w:cs="Arial"/>
          <w:sz w:val="24"/>
          <w:szCs w:val="24"/>
        </w:rPr>
      </w:r>
    </w:p>
    <w:p>
      <w:pPr>
        <w:ind w:firstLine="567"/>
        <w:jc w:val="both"/>
        <w:spacing w:after="0" w:line="240" w:lineRule="auto"/>
        <w:tabs>
          <w:tab w:val="left" w:pos="993" w:leader="none"/>
        </w:tabs>
        <w:rPr>
          <w:rFonts w:ascii="PT Astra Serif" w:hAnsi="PT Astra Serif"/>
          <w:strike/>
          <w:sz w:val="24"/>
          <w:szCs w:val="24"/>
        </w:rPr>
      </w:pPr>
      <w:r>
        <w:rPr>
          <w:rFonts w:ascii="PT Astra Serif" w:hAnsi="PT Astra Serif" w:eastAsia="Times New Roman" w:cs="Arial"/>
          <w:sz w:val="24"/>
          <w:szCs w:val="24"/>
          <w:lang w:eastAsia="ru-RU"/>
        </w:rPr>
        <w:t xml:space="preserve">В 2023 году по результатам проведения комплексных кадастровых работ</w:t>
      </w:r>
      <w:r>
        <w:rPr>
          <w:rFonts w:ascii="PT Astra Serif" w:hAnsi="PT Astra Serif" w:eastAsia="Times New Roman" w:cs="Arial"/>
          <w:sz w:val="24"/>
          <w:szCs w:val="24"/>
          <w:lang w:eastAsia="ru-RU"/>
        </w:rPr>
        <w:t xml:space="preserve"> в 9 муниципальных образованиях</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Томский, Александровский, Асиновский, Бакчарский, Кожевниковский, Первомайский районы, г. Томск, ЗАТО Северск, г. Стрежевой</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в Единый государственный реестр недвижимости внесены сведения о 39 496 объектах (план – 35 972 объекта), в 2022 году </w:t>
      </w:r>
      <w:r>
        <w:rPr>
          <w:rFonts w:ascii="PT Astra Serif" w:hAnsi="PT Astra Serif" w:eastAsia="Calibri"/>
          <w:sz w:val="24"/>
          <w:szCs w:val="24"/>
        </w:rPr>
        <w:t xml:space="preserve">–</w:t>
      </w:r>
      <w:r>
        <w:rPr>
          <w:rFonts w:ascii="PT Astra Serif" w:hAnsi="PT Astra Serif" w:eastAsia="Times New Roman" w:cs="Arial"/>
          <w:sz w:val="24"/>
          <w:szCs w:val="24"/>
          <w:lang w:eastAsia="ru-RU"/>
        </w:rPr>
        <w:t xml:space="preserve"> о 16 461 объекте. Данная работа позволяет уточнить местоположение границ з</w:t>
      </w:r>
      <w:r>
        <w:rPr>
          <w:rFonts w:ascii="PT Astra Serif" w:hAnsi="PT Astra Serif" w:eastAsia="Times New Roman" w:cs="Arial"/>
          <w:sz w:val="24"/>
          <w:szCs w:val="24"/>
          <w:lang w:eastAsia="ru-RU"/>
        </w:rPr>
        <w:t xml:space="preserve">емельных участков, установить или уточнить местоположение на земельных участках объектов капитального строительства, образовать новые земельные участки, на которых можно расположить здания, земельные участки общего пользования, исправить реестровые ошибки.</w:t>
      </w:r>
      <w:r>
        <w:rPr>
          <w:rFonts w:ascii="PT Astra Serif" w:hAnsi="PT Astra Serif"/>
          <w:strike/>
          <w:sz w:val="24"/>
          <w:szCs w:val="24"/>
        </w:rPr>
      </w:r>
      <w:r>
        <w:rPr>
          <w:rFonts w:ascii="PT Astra Serif" w:hAnsi="PT Astra Serif"/>
          <w:strike/>
          <w:sz w:val="24"/>
          <w:szCs w:val="24"/>
        </w:rPr>
      </w:r>
    </w:p>
    <w:p>
      <w:pPr>
        <w:ind w:firstLine="567"/>
        <w:jc w:val="both"/>
        <w:spacing w:after="0" w:line="240" w:lineRule="auto"/>
        <w:tabs>
          <w:tab w:val="left" w:pos="993" w:leader="none"/>
        </w:tabs>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Продолжена работа по усовершенствованию государственной информационной системы «Информационно-аналитическая система управления государственной собственностью Томской области» для осуществления предоставления указанных сведений через ЕПГУ. </w:t>
      </w:r>
      <w:r>
        <w:rPr>
          <w:rFonts w:ascii="PT Astra Serif" w:hAnsi="PT Astra Serif" w:eastAsia="Times New Roman" w:cs="Arial"/>
          <w:sz w:val="24"/>
          <w:szCs w:val="24"/>
          <w:lang w:eastAsia="ru-RU"/>
        </w:rPr>
        <w:t xml:space="preserve">В 2023 году проведена модернизация серверного оборудования данной информационной системы с целью увеличения мощности и возможности подключения организаций, учредитель которых – Томская область, осуществлен перевод на отечественное программное обеспечение. </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567"/>
        <w:jc w:val="both"/>
        <w:spacing w:after="0" w:line="240" w:lineRule="auto"/>
        <w:tabs>
          <w:tab w:val="left" w:pos="993" w:leader="none"/>
        </w:tabs>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Внедрена технология витрина данных при получении сведений об объектах государственного имущества Томской области через ЕПГУ в режиме 24/7. Проведена </w:t>
      </w:r>
      <w:r>
        <w:rPr>
          <w:rFonts w:ascii="PT Astra Serif" w:hAnsi="PT Astra Serif" w:eastAsia="Times New Roman" w:cs="Arial"/>
          <w:sz w:val="24"/>
          <w:szCs w:val="24"/>
          <w:lang w:eastAsia="ru-RU"/>
        </w:rPr>
        <w:t xml:space="preserve">работа по настройке и развертыванию технологии витрина данных при поддержке областного центра автоматизированных информационных ресурсов Томской области, продолжается работа по настройке технологии и взаимодействия с отечественным программным обеспечением.</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567"/>
        <w:jc w:val="both"/>
        <w:spacing w:after="0" w:line="240" w:lineRule="auto"/>
        <w:tabs>
          <w:tab w:val="left" w:pos="993" w:leader="none"/>
        </w:tabs>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jc w:val="both"/>
        <w:spacing w:after="0" w:line="240" w:lineRule="auto"/>
        <w:tabs>
          <w:tab w:val="left" w:pos="900" w:leader="none"/>
        </w:tabs>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rPr>
      </w:r>
      <w:r>
        <w:rPr>
          <w:rFonts w:ascii="PT Astra Serif" w:hAnsi="PT Astra Serif"/>
          <w:b/>
          <w:sz w:val="24"/>
          <w:szCs w:val="24"/>
        </w:rPr>
      </w:r>
    </w:p>
    <w:p>
      <w:pPr>
        <w:pStyle w:val="1152"/>
        <w:ind w:left="0" w:firstLine="567"/>
        <w:jc w:val="both"/>
        <w:spacing w:after="0" w:line="240" w:lineRule="auto"/>
        <w:tabs>
          <w:tab w:val="left" w:pos="851" w:leader="none"/>
          <w:tab w:val="left" w:pos="993" w:leader="none"/>
        </w:tabs>
        <w:rPr>
          <w:rFonts w:ascii="PT Astra Serif" w:hAnsi="PT Astra Serif"/>
          <w:sz w:val="24"/>
          <w:szCs w:val="24"/>
        </w:rPr>
      </w:pPr>
      <w:r>
        <w:rPr>
          <w:rFonts w:ascii="PT Astra Serif" w:hAnsi="PT Astra Serif"/>
          <w:sz w:val="24"/>
          <w:szCs w:val="24"/>
        </w:rPr>
        <w:t xml:space="preserve">1. Вовлечение в хозяйственный оборот неиспользуемого имущества.</w:t>
      </w:r>
      <w:r>
        <w:rPr>
          <w:rFonts w:ascii="PT Astra Serif" w:hAnsi="PT Astra Serif"/>
          <w:sz w:val="24"/>
          <w:szCs w:val="24"/>
        </w:rPr>
      </w:r>
      <w:r>
        <w:rPr>
          <w:rFonts w:ascii="PT Astra Serif" w:hAnsi="PT Astra Serif"/>
          <w:sz w:val="24"/>
          <w:szCs w:val="24"/>
        </w:rPr>
      </w:r>
    </w:p>
    <w:p>
      <w:pPr>
        <w:pStyle w:val="1152"/>
        <w:ind w:left="0" w:firstLine="567"/>
        <w:jc w:val="both"/>
        <w:spacing w:after="0" w:line="240" w:lineRule="auto"/>
        <w:tabs>
          <w:tab w:val="left" w:pos="851" w:leader="none"/>
          <w:tab w:val="left" w:pos="993" w:leader="none"/>
        </w:tabs>
        <w:rPr>
          <w:rFonts w:ascii="PT Astra Serif" w:hAnsi="PT Astra Serif"/>
          <w:sz w:val="24"/>
          <w:szCs w:val="24"/>
        </w:rPr>
      </w:pPr>
      <w:r>
        <w:rPr>
          <w:rFonts w:ascii="PT Astra Serif" w:hAnsi="PT Astra Serif"/>
          <w:sz w:val="24"/>
          <w:szCs w:val="24"/>
        </w:rPr>
        <w:t xml:space="preserve">2. Проведение 412 мероприятий по установлению вида фактического использования объектов недвижимого имущества в целях включения их в Перечень объектов имущества для целей налогообложения на 2025 год.</w:t>
      </w:r>
      <w:r>
        <w:rPr>
          <w:rFonts w:ascii="PT Astra Serif" w:hAnsi="PT Astra Serif"/>
          <w:sz w:val="24"/>
          <w:szCs w:val="24"/>
        </w:rPr>
      </w:r>
      <w:r>
        <w:rPr>
          <w:rFonts w:ascii="PT Astra Serif" w:hAnsi="PT Astra Serif"/>
          <w:sz w:val="24"/>
          <w:szCs w:val="24"/>
        </w:rPr>
      </w:r>
    </w:p>
    <w:p>
      <w:pPr>
        <w:pStyle w:val="1152"/>
        <w:ind w:left="0" w:firstLine="567"/>
        <w:jc w:val="both"/>
        <w:spacing w:after="0" w:line="240" w:lineRule="auto"/>
        <w:tabs>
          <w:tab w:val="left" w:pos="851" w:leader="none"/>
          <w:tab w:val="left" w:pos="993" w:leader="none"/>
        </w:tabs>
        <w:rPr>
          <w:rFonts w:ascii="PT Astra Serif" w:hAnsi="PT Astra Serif"/>
          <w:strike/>
          <w:sz w:val="24"/>
          <w:szCs w:val="24"/>
        </w:rPr>
      </w:pPr>
      <w:r>
        <w:rPr>
          <w:rFonts w:ascii="PT Astra Serif" w:hAnsi="PT Astra Serif"/>
          <w:sz w:val="24"/>
          <w:szCs w:val="24"/>
        </w:rPr>
        <w:t xml:space="preserve">3</w:t>
      </w:r>
      <w:r>
        <w:rPr>
          <w:rFonts w:ascii="PT Astra Serif" w:hAnsi="PT Astra Serif"/>
          <w:sz w:val="24"/>
          <w:szCs w:val="24"/>
        </w:rPr>
        <w:t xml:space="preserve">. Проведение комплексных кадастровых работ на территории Томской области в отношении не менее 4 703 объектов недвижимости на территории г. Томска и Первомайского района.</w:t>
      </w:r>
      <w:r>
        <w:rPr>
          <w:rFonts w:ascii="PT Astra Serif" w:hAnsi="PT Astra Serif"/>
          <w:strike/>
          <w:sz w:val="24"/>
          <w:szCs w:val="24"/>
        </w:rPr>
      </w:r>
      <w:r>
        <w:rPr>
          <w:rFonts w:ascii="PT Astra Serif" w:hAnsi="PT Astra Serif"/>
          <w:strike/>
          <w:sz w:val="24"/>
          <w:szCs w:val="24"/>
        </w:rPr>
      </w:r>
    </w:p>
    <w:p>
      <w:pPr>
        <w:pStyle w:val="1152"/>
        <w:ind w:left="0" w:firstLine="567"/>
        <w:jc w:val="both"/>
        <w:spacing w:after="0" w:line="240" w:lineRule="auto"/>
        <w:tabs>
          <w:tab w:val="left" w:pos="851" w:leader="none"/>
          <w:tab w:val="left" w:pos="993" w:leader="none"/>
        </w:tabs>
        <w:rPr>
          <w:rFonts w:ascii="PT Astra Serif" w:hAnsi="PT Astra Serif"/>
          <w:strike/>
          <w:sz w:val="24"/>
          <w:szCs w:val="24"/>
        </w:rPr>
      </w:pPr>
      <w:r>
        <w:rPr>
          <w:rFonts w:ascii="PT Astra Serif" w:hAnsi="PT Astra Serif"/>
          <w:sz w:val="24"/>
          <w:szCs w:val="24"/>
        </w:rPr>
        <w:t xml:space="preserve">4</w:t>
      </w:r>
      <w:r>
        <w:rPr>
          <w:rFonts w:ascii="PT Astra Serif" w:hAnsi="PT Astra Serif"/>
          <w:sz w:val="24"/>
          <w:szCs w:val="24"/>
        </w:rPr>
        <w:t xml:space="preserve">. Проведение проверок эффективности использования и сохранности в отношении 352 объектов государственного недвижимого имущества Томской области на 2024 год.</w:t>
      </w:r>
      <w:r>
        <w:rPr>
          <w:rFonts w:ascii="PT Astra Serif" w:hAnsi="PT Astra Serif"/>
          <w:strike/>
          <w:sz w:val="24"/>
          <w:szCs w:val="24"/>
        </w:rPr>
      </w:r>
      <w:r>
        <w:rPr>
          <w:rFonts w:ascii="PT Astra Serif" w:hAnsi="PT Astra Serif"/>
          <w:strike/>
          <w:sz w:val="24"/>
          <w:szCs w:val="24"/>
        </w:rPr>
      </w:r>
    </w:p>
    <w:p>
      <w:pPr>
        <w:pStyle w:val="1152"/>
        <w:ind w:left="0" w:firstLine="567"/>
        <w:jc w:val="both"/>
        <w:spacing w:after="0" w:line="240" w:lineRule="auto"/>
        <w:tabs>
          <w:tab w:val="left" w:pos="851" w:leader="none"/>
          <w:tab w:val="left" w:pos="993" w:leader="none"/>
        </w:tabs>
        <w:rPr>
          <w:rFonts w:ascii="PT Astra Serif" w:hAnsi="PT Astra Serif"/>
          <w:sz w:val="24"/>
          <w:szCs w:val="24"/>
        </w:rPr>
      </w:pPr>
      <w:r>
        <w:rPr>
          <w:rFonts w:ascii="PT Astra Serif" w:hAnsi="PT Astra Serif"/>
          <w:sz w:val="24"/>
          <w:szCs w:val="24"/>
        </w:rPr>
        <w:t xml:space="preserve">5</w:t>
      </w:r>
      <w:r>
        <w:rPr>
          <w:rFonts w:ascii="PT Astra Serif" w:hAnsi="PT Astra Serif"/>
          <w:sz w:val="24"/>
          <w:szCs w:val="24"/>
        </w:rPr>
        <w:t xml:space="preserve">. Созда</w:t>
      </w:r>
      <w:r>
        <w:rPr>
          <w:rFonts w:ascii="PT Astra Serif" w:hAnsi="PT Astra Serif"/>
          <w:sz w:val="24"/>
          <w:szCs w:val="24"/>
        </w:rPr>
        <w:t xml:space="preserve">ние в государственной информационной системе по ведению реестра государственного имущества Томской области «Личного кабинета» для исполнительных органов Томской области, областных государственных учреждений, областных государственных унитарных предприятий.</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46"/>
        <w:outlineLvl w:val="1"/>
      </w:pPr>
      <w:r/>
      <w:bookmarkStart w:id="29" w:name="_Toc134630419"/>
      <w:r>
        <w:t xml:space="preserve">5.4. Обеспечение повышения эффективности регионального и муниципального управления</w:t>
      </w:r>
      <w:bookmarkEnd w:id="29"/>
      <w:r/>
      <w:r/>
    </w:p>
    <w:p>
      <w:pPr>
        <w:spacing w:after="0" w:line="240" w:lineRule="auto"/>
        <w:tabs>
          <w:tab w:val="left" w:pos="567" w:leader="none"/>
        </w:tabs>
        <w:rPr>
          <w:rFonts w:ascii="PT Astra Serif" w:hAnsi="PT Astra Serif" w:eastAsia="Times New Roman"/>
          <w:b/>
          <w:sz w:val="24"/>
          <w:szCs w:val="24"/>
        </w:rPr>
      </w:pPr>
      <w:r>
        <w:rPr>
          <w:rFonts w:ascii="PT Astra Serif" w:hAnsi="PT Astra Serif" w:eastAsia="Times New Roman"/>
          <w:b/>
          <w:sz w:val="24"/>
          <w:szCs w:val="24"/>
        </w:rPr>
      </w:r>
      <w:r>
        <w:rPr>
          <w:rFonts w:ascii="PT Astra Serif" w:hAnsi="PT Astra Serif" w:eastAsia="Times New Roman"/>
          <w:b/>
          <w:sz w:val="24"/>
          <w:szCs w:val="24"/>
        </w:rPr>
      </w:r>
      <w:r>
        <w:rPr>
          <w:rFonts w:ascii="PT Astra Serif" w:hAnsi="PT Astra Serif" w:eastAsia="Times New Roman"/>
          <w:b/>
          <w:sz w:val="24"/>
          <w:szCs w:val="24"/>
        </w:rPr>
      </w:r>
    </w:p>
    <w:p>
      <w:pPr>
        <w:pStyle w:val="1149"/>
        <w:spacing w:before="0" w:beforeAutospacing="0" w:after="0" w:afterAutospacing="0"/>
        <w:rPr>
          <w:rFonts w:ascii="PT Astra Serif" w:hAnsi="PT Astra Serif" w:cs="Arial"/>
          <w:b/>
        </w:rPr>
      </w:pPr>
      <w:r>
        <w:rPr>
          <w:rFonts w:ascii="PT Astra Serif" w:hAnsi="PT Astra Serif"/>
          <w:b/>
          <w:shd w:val="clear" w:color="auto" w:fill="eaf1dd"/>
        </w:rPr>
        <w:t xml:space="preserve">Повышение эффективности государственной гражданской и муниципальной службы региона</w:t>
      </w:r>
      <w:r>
        <w:rPr>
          <w:rFonts w:ascii="PT Astra Serif" w:hAnsi="PT Astra Serif" w:cs="Arial"/>
          <w:b/>
        </w:rPr>
      </w:r>
      <w:r>
        <w:rPr>
          <w:rFonts w:ascii="PT Astra Serif" w:hAnsi="PT Astra Serif" w:cs="Arial"/>
          <w:b/>
        </w:rPr>
      </w:r>
    </w:p>
    <w:p>
      <w:pPr>
        <w:pStyle w:val="1149"/>
        <w:ind w:firstLine="709"/>
        <w:jc w:val="both"/>
        <w:spacing w:before="0" w:beforeAutospacing="0" w:after="0" w:afterAutospacing="0"/>
        <w:rPr>
          <w:rFonts w:ascii="PT Astra Serif" w:hAnsi="PT Astra Serif"/>
        </w:rPr>
      </w:pPr>
      <w:r>
        <w:rPr>
          <w:rFonts w:ascii="PT Astra Serif" w:hAnsi="PT Astra Serif"/>
        </w:rPr>
        <w:t xml:space="preserve">В 2023 году продолжалась р</w:t>
      </w:r>
      <w:r>
        <w:rPr>
          <w:rFonts w:ascii="PT Astra Serif" w:hAnsi="PT Astra Serif"/>
        </w:rPr>
        <w:t xml:space="preserve">абота по развитию государственной гражданской и муниципальной службы, осуществлялось межрегиональное сотрудничество, совершенствовалась организация профессионального развития государственных гражданских служащих и муниципальных служащих Томской области.   </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rPr>
      </w:pPr>
      <w:r>
        <w:rPr>
          <w:rFonts w:ascii="PT Astra Serif" w:hAnsi="PT Astra Serif"/>
        </w:rPr>
        <w:t xml:space="preserve">В целях создания в региона</w:t>
      </w:r>
      <w:r>
        <w:rPr>
          <w:rFonts w:ascii="PT Astra Serif" w:hAnsi="PT Astra Serif"/>
        </w:rPr>
        <w:t xml:space="preserve">х центров компетенций для обучения государственных гражданских и муниципальных служащих на базе ОГБУ «Томский региональный ресурсный центр» создан обновленный Корпоративный университет управления Администрации Томской области «Исток» (далее – КУУ «Исток»).</w:t>
      </w:r>
      <w:r>
        <w:rPr>
          <w:rFonts w:ascii="PT Astra Serif" w:hAnsi="PT Astra Serif"/>
        </w:rPr>
        <w:t xml:space="preserve"> Работа КУУ «Исток» направлена на подготовку кадров для решения наиболее острых проблем, волнующих жителей региона, повышение эффективности государственного и муниципального управления, эффективности работы служащих, развитие их профессиональной культуры. </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rPr>
      </w:pPr>
      <w:r>
        <w:rPr>
          <w:rFonts w:ascii="PT Astra Serif" w:hAnsi="PT Astra Serif"/>
        </w:rPr>
        <w:t xml:space="preserve">Томская область стала участником проекта «Эффективный регион», реализуемого ГК «Росатом» совместно с субъектами Россий</w:t>
      </w:r>
      <w:r>
        <w:rPr>
          <w:rFonts w:ascii="PT Astra Serif" w:hAnsi="PT Astra Serif"/>
        </w:rPr>
        <w:t xml:space="preserve">ской Федерации (далее </w:t>
      </w:r>
      <w:r>
        <w:rPr>
          <w:rFonts w:ascii="PT Astra Serif" w:hAnsi="PT Astra Serif" w:eastAsia="Calibri"/>
        </w:rPr>
        <w:t xml:space="preserve">–</w:t>
      </w:r>
      <w:r>
        <w:rPr>
          <w:rFonts w:ascii="PT Astra Serif" w:hAnsi="PT Astra Serif"/>
        </w:rPr>
        <w:t xml:space="preserve"> Проект), в целях которого</w:t>
      </w:r>
      <w:r>
        <w:rPr>
          <w:rFonts w:ascii="PT Astra Serif" w:hAnsi="PT Astra Serif"/>
        </w:rPr>
        <w:t xml:space="preserve"> </w:t>
      </w:r>
      <w:r>
        <w:rPr>
          <w:rFonts w:ascii="PT Astra Serif" w:hAnsi="PT Astra Serif"/>
        </w:rPr>
        <w:t xml:space="preserve">н</w:t>
      </w:r>
      <w:r>
        <w:rPr>
          <w:rFonts w:ascii="PT Astra Serif" w:hAnsi="PT Astra Serif"/>
        </w:rPr>
        <w:t xml:space="preserve">а базе КУУ «Исток» сформиро</w:t>
      </w:r>
      <w:r>
        <w:rPr>
          <w:rFonts w:ascii="PT Astra Serif" w:hAnsi="PT Astra Serif"/>
        </w:rPr>
        <w:t xml:space="preserve">ван отдел бережливых технологий. И</w:t>
      </w:r>
      <w:r>
        <w:rPr>
          <w:rFonts w:ascii="PT Astra Serif" w:hAnsi="PT Astra Serif"/>
        </w:rPr>
        <w:t xml:space="preserve">тогом </w:t>
      </w:r>
      <w:r>
        <w:rPr>
          <w:rFonts w:ascii="PT Astra Serif" w:hAnsi="PT Astra Serif"/>
        </w:rPr>
        <w:t xml:space="preserve">реализации Проекта стала </w:t>
      </w:r>
      <w:r>
        <w:rPr>
          <w:rFonts w:ascii="PT Astra Serif" w:hAnsi="PT Astra Serif"/>
        </w:rPr>
        <w:t xml:space="preserve">успешная защита на Координационном совете 5 проектов по оптимизации процессов в исполнительных органах Томской области, подведомственных организациях. </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rPr>
      </w:pPr>
      <w:r>
        <w:rPr>
          <w:rFonts w:ascii="PT Astra Serif" w:hAnsi="PT Astra Serif"/>
        </w:rPr>
        <w:t xml:space="preserve">В рамках реализации проекта «Государство для людей» разработана структура управления по внедрению Стандартов клиентоцентричности в Томской области, реестр межведомственных и внутриведомстве</w:t>
      </w:r>
      <w:r>
        <w:rPr>
          <w:rFonts w:ascii="PT Astra Serif" w:hAnsi="PT Astra Serif"/>
        </w:rPr>
        <w:t xml:space="preserve">нных процессов по кадровому блоку, утвержден план мероприятий («Дорожная карта») по внедрению Стандартов клиентоцентричности в Администрации Томкой области, сформирован реестр межведомственных и внутриведомственных процессов Администрации Томской области. </w:t>
      </w:r>
      <w:r>
        <w:rPr>
          <w:rFonts w:ascii="PT Astra Serif" w:hAnsi="PT Astra Serif"/>
        </w:rPr>
      </w:r>
      <w:r>
        <w:rPr>
          <w:rFonts w:ascii="PT Astra Serif" w:hAnsi="PT Astra Serif"/>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По программе повышения привлекательности государственной и муниципальной службы среди молодежи «ГосСтарт», стартовавшей по поручению Президента Российской Федерации в 2023 году</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регионом реализовывались следующие направления:</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«Мастерская государственной и муниципальной службы» - на конк</w:t>
      </w:r>
      <w:r>
        <w:rPr>
          <w:rFonts w:ascii="PT Astra Serif" w:hAnsi="PT Astra Serif" w:eastAsia="Times New Roman"/>
          <w:sz w:val="24"/>
          <w:szCs w:val="24"/>
          <w:lang w:eastAsia="ru-RU"/>
        </w:rPr>
        <w:t xml:space="preserve">урсной основе были отобраны 150 лучших молодых государственных гражданских и муниципальных служащих со всей России для участия в образовательной программе. Региональный отбор прошли 33 представителя региона, федеральный отбор - 12 служащих Томской области;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«ГосСтарт.Диалог» - состоялась встреча студентов томских вузов с Губернатором Томск</w:t>
      </w:r>
      <w:r>
        <w:rPr>
          <w:rFonts w:ascii="PT Astra Serif" w:hAnsi="PT Astra Serif" w:eastAsia="Times New Roman"/>
          <w:sz w:val="24"/>
          <w:szCs w:val="24"/>
          <w:lang w:eastAsia="ru-RU"/>
        </w:rPr>
        <w:t xml:space="preserve">ой области, молодых госслужащих с заместителем Губернатора Томской области - руководителем аппарата Губернатора Томской области. 11 государственных и муниципальных служащих Томской области приняли участие в выездных образовательных семинарах в г. Нижний Но</w:t>
      </w:r>
      <w:r>
        <w:rPr>
          <w:rFonts w:ascii="PT Astra Serif" w:hAnsi="PT Astra Serif" w:eastAsia="Times New Roman"/>
          <w:sz w:val="24"/>
          <w:szCs w:val="24"/>
          <w:lang w:eastAsia="ru-RU"/>
        </w:rPr>
        <w:t xml:space="preserve">вгород, а также прошли повышение квалификации по теме «Актуальные вопросы государственной и муниципальной службы». 3 представителя региона приняли участие во II Всероссийском форуме государственных и муниципальных служащих в г. Нижний Новгород и г. Москва;</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«ГосСтар</w:t>
      </w:r>
      <w:r>
        <w:rPr>
          <w:rFonts w:ascii="PT Astra Serif" w:hAnsi="PT Astra Serif" w:eastAsia="Times New Roman"/>
          <w:sz w:val="24"/>
          <w:szCs w:val="24"/>
          <w:lang w:eastAsia="ru-RU"/>
        </w:rPr>
        <w:t xml:space="preserve">т.Стажировки» - 3 молодых служащих прошли стажировки в федеральных органах исполнительной власти (Минкультуры, Минэкономразвития, Росзаповедцентр). В исполнительных органах Томской области для молодых людей от 18 до 35 лет организованы стажировочные места.</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49"/>
        <w:ind w:firstLine="709"/>
        <w:jc w:val="both"/>
        <w:spacing w:before="0" w:beforeAutospacing="0" w:after="0" w:afterAutospacing="0"/>
        <w:shd w:val="clear" w:color="auto" w:fill="ffffff"/>
        <w:rPr>
          <w:rFonts w:ascii="PT Astra Serif" w:hAnsi="PT Astra Serif"/>
        </w:rPr>
      </w:pPr>
      <w:r>
        <w:rPr>
          <w:rFonts w:ascii="PT Astra Serif" w:hAnsi="PT Astra Serif"/>
        </w:rPr>
        <w:t xml:space="preserve">В 2023 году Департамент государственной гражданской службы Админист</w:t>
      </w:r>
      <w:r>
        <w:rPr>
          <w:rFonts w:ascii="PT Astra Serif" w:hAnsi="PT Astra Serif"/>
        </w:rPr>
        <w:t xml:space="preserve">рации Томской области (далее – Департамент) выступил в качестве одного из организаторов межрегионального проекта «Единое образовательное пространство Сибирского Федерального округа» (совместно с Правительством Красноярского края), на единой образовательной</w:t>
      </w:r>
      <w:r>
        <w:rPr>
          <w:rFonts w:ascii="PT Astra Serif" w:hAnsi="PT Astra Serif"/>
        </w:rPr>
        <w:t xml:space="preserve"> площадке которого осуществляется обмен лучшими практиками для профессионального развития государственных и муниципальных служащих в сфере управления персоналом, реализации кадровых технологий, культуры и туризма, профилактики коррупции и социальной сфере.</w:t>
      </w:r>
      <w:r>
        <w:rPr>
          <w:rFonts w:ascii="PT Astra Serif" w:hAnsi="PT Astra Serif"/>
        </w:rPr>
      </w:r>
      <w:r>
        <w:rPr>
          <w:rFonts w:ascii="PT Astra Serif" w:hAnsi="PT Astra Serif"/>
        </w:rPr>
      </w:r>
    </w:p>
    <w:p>
      <w:pPr>
        <w:pStyle w:val="1149"/>
        <w:ind w:firstLine="709"/>
        <w:jc w:val="both"/>
        <w:spacing w:before="0" w:beforeAutospacing="0" w:after="0" w:afterAutospacing="0"/>
        <w:shd w:val="clear" w:color="auto" w:fill="ffffff"/>
        <w:rPr>
          <w:rFonts w:ascii="PT Astra Serif" w:hAnsi="PT Astra Serif"/>
        </w:rPr>
      </w:pPr>
      <w:r>
        <w:rPr>
          <w:rFonts w:ascii="PT Astra Serif" w:hAnsi="PT Astra Serif"/>
        </w:rPr>
        <w:t xml:space="preserve">В апреле 2023 года Департамент совместно с Управлением кадров и государственной службы Губернатора Красноярского края </w:t>
      </w:r>
      <w:bookmarkStart w:id="30" w:name="_Hlk153395017"/>
      <w:r>
        <w:rPr>
          <w:rFonts w:ascii="PT Astra Serif" w:hAnsi="PT Astra Serif"/>
        </w:rPr>
        <w:t xml:space="preserve">принял участие в конкурсе </w:t>
      </w:r>
      <w:r>
        <w:rPr>
          <w:rFonts w:ascii="PT Astra Serif" w:hAnsi="PT Astra Serif"/>
        </w:rPr>
        <w:t xml:space="preserve">Минтруда России</w:t>
      </w:r>
      <w:r>
        <w:rPr>
          <w:rFonts w:ascii="PT Astra Serif" w:hAnsi="PT Astra Serif"/>
        </w:rPr>
        <w:t xml:space="preserve"> «Лучшие кадровые практики и инициативы в системе государственного и муниципального управления» </w:t>
      </w:r>
      <w:bookmarkEnd w:id="30"/>
      <w:r>
        <w:rPr>
          <w:rFonts w:ascii="PT Astra Serif" w:hAnsi="PT Astra Serif"/>
        </w:rPr>
        <w:t xml:space="preserve">и стал победителем в номинации «Профессиональное развитие кадров» с проектом «Межрегиональное сотрудничество по реализации кадровых технологий».</w:t>
      </w:r>
      <w:r>
        <w:rPr>
          <w:rFonts w:ascii="PT Astra Serif" w:hAnsi="PT Astra Serif"/>
        </w:rPr>
      </w:r>
      <w:r>
        <w:rPr>
          <w:rFonts w:ascii="PT Astra Serif" w:hAnsi="PT Astra Serif"/>
        </w:rPr>
      </w:r>
    </w:p>
    <w:p>
      <w:pPr>
        <w:pStyle w:val="1149"/>
        <w:jc w:val="center"/>
        <w:spacing w:before="0" w:beforeAutospacing="0" w:after="0" w:afterAutospacing="0"/>
        <w:rPr>
          <w:rFonts w:ascii="PT Astra Serif" w:hAnsi="PT Astra Serif"/>
          <w:b/>
          <w:shd w:val="clear" w:color="auto" w:fill="eaf1dd"/>
        </w:rPr>
      </w:pPr>
      <w:r>
        <w:rPr>
          <w:rFonts w:ascii="PT Astra Serif" w:hAnsi="PT Astra Serif"/>
          <w:b/>
          <w:shd w:val="clear" w:color="auto" w:fill="eaf1dd"/>
        </w:rPr>
      </w:r>
      <w:r>
        <w:rPr>
          <w:rFonts w:ascii="PT Astra Serif" w:hAnsi="PT Astra Serif"/>
          <w:b/>
          <w:shd w:val="clear" w:color="auto" w:fill="eaf1dd"/>
        </w:rPr>
      </w:r>
      <w:r>
        <w:rPr>
          <w:rFonts w:ascii="PT Astra Serif" w:hAnsi="PT Astra Serif"/>
          <w:b/>
          <w:shd w:val="clear" w:color="auto" w:fill="eaf1dd"/>
        </w:rPr>
      </w:r>
    </w:p>
    <w:p>
      <w:pPr>
        <w:pStyle w:val="1149"/>
        <w:jc w:val="center"/>
        <w:spacing w:before="0" w:beforeAutospacing="0" w:after="0" w:afterAutospacing="0"/>
        <w:rPr>
          <w:rFonts w:ascii="PT Astra Serif" w:hAnsi="PT Astra Serif"/>
          <w:b/>
          <w:shd w:val="clear" w:color="auto" w:fill="eaf1dd"/>
        </w:rPr>
      </w:pPr>
      <w:r>
        <w:rPr>
          <w:rFonts w:ascii="PT Astra Serif" w:hAnsi="PT Astra Serif"/>
          <w:b/>
          <w:shd w:val="clear" w:color="auto" w:fill="eaf1dd"/>
        </w:rPr>
      </w:r>
      <w:r>
        <w:rPr>
          <w:rFonts w:ascii="PT Astra Serif" w:hAnsi="PT Astra Serif"/>
          <w:b/>
          <w:shd w:val="clear" w:color="auto" w:fill="eaf1dd"/>
        </w:rPr>
      </w:r>
      <w:r>
        <w:rPr>
          <w:rFonts w:ascii="PT Astra Serif" w:hAnsi="PT Astra Serif"/>
          <w:b/>
          <w:shd w:val="clear" w:color="auto" w:fill="eaf1dd"/>
        </w:rPr>
      </w:r>
    </w:p>
    <w:p>
      <w:pPr>
        <w:pStyle w:val="1149"/>
        <w:spacing w:before="0" w:beforeAutospacing="0" w:after="0" w:afterAutospacing="0"/>
        <w:rPr>
          <w:rFonts w:ascii="PT Astra Serif" w:hAnsi="PT Astra Serif" w:cs="Arial"/>
          <w:b/>
        </w:rPr>
      </w:pPr>
      <w:r>
        <w:rPr>
          <w:rFonts w:ascii="PT Astra Serif" w:hAnsi="PT Astra Serif"/>
          <w:b/>
          <w:shd w:val="clear" w:color="auto" w:fill="eaf1dd"/>
        </w:rPr>
        <w:t xml:space="preserve">Совершенствование управления кадровым составом государственной гражданской службы</w:t>
      </w:r>
      <w:r>
        <w:rPr>
          <w:rFonts w:ascii="PT Astra Serif" w:hAnsi="PT Astra Serif" w:cs="Arial"/>
          <w:b/>
        </w:rPr>
      </w:r>
      <w:r>
        <w:rPr>
          <w:rFonts w:ascii="PT Astra Serif" w:hAnsi="PT Astra Serif" w:cs="Arial"/>
          <w:b/>
        </w:rPr>
      </w:r>
    </w:p>
    <w:p>
      <w:pPr>
        <w:pStyle w:val="1149"/>
        <w:ind w:firstLine="709"/>
        <w:jc w:val="both"/>
        <w:spacing w:before="0" w:beforeAutospacing="0" w:after="0" w:afterAutospacing="0"/>
        <w:rPr>
          <w:rFonts w:ascii="PT Astra Serif" w:hAnsi="PT Astra Serif"/>
        </w:rPr>
      </w:pPr>
      <w:r>
        <w:rPr>
          <w:rFonts w:ascii="PT Astra Serif" w:hAnsi="PT Astra Serif"/>
        </w:rPr>
        <w:t xml:space="preserve">В 2023 году продолжена работа по совершенствованию управления кадровым составом и развитию кадровых технологий: организовано проведение оценки профессионального уровня государственных гражданских служащих с учетом но</w:t>
      </w:r>
      <w:r>
        <w:rPr>
          <w:rFonts w:ascii="PT Astra Serif" w:hAnsi="PT Astra Serif"/>
        </w:rPr>
        <w:t xml:space="preserve">вых подходов, внедрены принципы клиентоцентричности в процесс проведения аттестации государственных гражданских служащих, в Администрации Томской области разработаны формы кадровых документов о выплате премий за добросовестное исполнение должностных обязан</w:t>
      </w:r>
      <w:r>
        <w:rPr>
          <w:rFonts w:ascii="PT Astra Serif" w:hAnsi="PT Astra Serif"/>
        </w:rPr>
        <w:t xml:space="preserve">ностей, в системе электронного документооборота реализован процесс по созданию рабочего места, процесс рассылки кадровых документов. В 2023 году проведена работа по актуализации должностных регламентов государственных гражданских служащих Томской области. </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cs="Arial"/>
        </w:rPr>
      </w:pPr>
      <w:r>
        <w:rPr>
          <w:rFonts w:ascii="PT Astra Serif" w:hAnsi="PT Astra Serif"/>
        </w:rPr>
        <w:t xml:space="preserve">В течение 2023 года увеличена активность использования информ</w:t>
      </w:r>
      <w:r>
        <w:rPr>
          <w:rFonts w:ascii="PT Astra Serif" w:hAnsi="PT Astra Serif"/>
        </w:rPr>
        <w:t xml:space="preserve">ационного ресурса Hh.ru. Соблюдение регламента использования Hh.ru повысило «индекс вежливости» Администрации Томской области, что благоприятно отразилось на рейтинге ее бренда в качестве рекомендованного работодателя. В течение отчетного периода на сайте </w:t>
      </w:r>
      <w:r>
        <w:rPr>
          <w:rFonts w:ascii="PT Astra Serif" w:hAnsi="PT Astra Serif"/>
          <w:lang w:val="en-US"/>
        </w:rPr>
        <w:t xml:space="preserve">Hh</w:t>
      </w:r>
      <w:r>
        <w:rPr>
          <w:rFonts w:ascii="PT Astra Serif" w:hAnsi="PT Astra Serif"/>
        </w:rPr>
        <w:t xml:space="preserve">.</w:t>
      </w:r>
      <w:r>
        <w:rPr>
          <w:rFonts w:ascii="PT Astra Serif" w:hAnsi="PT Astra Serif"/>
          <w:lang w:val="en-US"/>
        </w:rPr>
        <w:t xml:space="preserve">ru</w:t>
      </w:r>
      <w:r>
        <w:rPr>
          <w:rFonts w:ascii="PT Astra Serif" w:hAnsi="PT Astra Serif"/>
        </w:rPr>
        <w:t xml:space="preserve"> опубликовано 146 объявлений о вакансиях в исполнительных органах Томской области (в 2022 году – 93 вакансии). Количество откликов составило 3339, отбор для первичной оценки прошел 671 человек (</w:t>
      </w:r>
      <w:r>
        <w:rPr>
          <w:rFonts w:ascii="PT Astra Serif" w:hAnsi="PT Astra Serif"/>
          <w:bCs/>
        </w:rPr>
        <w:t xml:space="preserve">20%</w:t>
      </w:r>
      <w:r>
        <w:rPr>
          <w:rFonts w:ascii="PT Astra Serif" w:hAnsi="PT Astra Serif"/>
        </w:rPr>
        <w:t xml:space="preserve"> откликнувшихся), из них часть приглашены для участия в конкурсах на замещение вакантных должностей и включение в кадровый резерв.</w:t>
      </w:r>
      <w:r>
        <w:rPr>
          <w:rFonts w:ascii="PT Astra Serif" w:hAnsi="PT Astra Serif" w:cs="Arial"/>
        </w:rPr>
      </w:r>
      <w:r>
        <w:rPr>
          <w:rFonts w:ascii="PT Astra Serif" w:hAnsi="PT Astra Serif" w:cs="Arial"/>
        </w:rPr>
      </w:r>
    </w:p>
    <w:p>
      <w:pPr>
        <w:pStyle w:val="1149"/>
        <w:ind w:firstLine="709"/>
        <w:jc w:val="both"/>
        <w:spacing w:before="0" w:beforeAutospacing="0" w:after="0" w:afterAutospacing="0"/>
        <w:rPr>
          <w:rFonts w:ascii="PT Astra Serif" w:hAnsi="PT Astra Serif"/>
        </w:rPr>
      </w:pPr>
      <w:r>
        <w:rPr>
          <w:rFonts w:ascii="PT Astra Serif" w:hAnsi="PT Astra Serif"/>
        </w:rPr>
        <w:t xml:space="preserve">Замещение вакантных должностей государственн</w:t>
      </w:r>
      <w:r>
        <w:rPr>
          <w:rFonts w:ascii="PT Astra Serif" w:hAnsi="PT Astra Serif"/>
        </w:rPr>
        <w:t xml:space="preserve">ой гражданской службы осуществлялось в условиях действия Федерального закона № 424-ФЗ «О внесении изменений в статьи 22 и 25.1 Федерального закона «О государственной гражданской службе Российской Федерации» (возможность назначения на должности без проведен</w:t>
      </w:r>
      <w:r>
        <w:rPr>
          <w:rFonts w:ascii="PT Astra Serif" w:hAnsi="PT Astra Serif"/>
        </w:rPr>
        <w:t xml:space="preserve">ия конкурсных процедур). Из 377 вакантных должностей государственной гражданской службы 241 (64%) замещены по указанным основаниям, 60 (16%) должностей замещены по результатам конкурса или из резервов Томской области, 76 (20%) замещены по иным основаниям. </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cs="Arial"/>
        </w:rPr>
      </w:pPr>
      <w:r>
        <w:rPr>
          <w:rFonts w:ascii="PT Astra Serif" w:hAnsi="PT Astra Serif"/>
        </w:rPr>
        <w:t xml:space="preserve">В кадровом резерве Томс</w:t>
      </w:r>
      <w:r>
        <w:rPr>
          <w:rFonts w:ascii="PT Astra Serif" w:hAnsi="PT Astra Serif"/>
        </w:rPr>
        <w:t xml:space="preserve">кой области на 01.01.2024 состояло 227 человек, в том числе для замещения должностей государственной гражданской службы высшей группы – 7 человек, для замещения должностей главной группы – 97 человек, для замещения должностей ведущей группы – 123 человека.</w:t>
      </w:r>
      <w:r>
        <w:rPr>
          <w:rFonts w:ascii="PT Astra Serif" w:hAnsi="PT Astra Serif" w:cs="Arial"/>
        </w:rPr>
      </w:r>
      <w:r>
        <w:rPr>
          <w:rFonts w:ascii="PT Astra Serif" w:hAnsi="PT Astra Serif" w:cs="Arial"/>
        </w:rPr>
      </w:r>
    </w:p>
    <w:p>
      <w:pPr>
        <w:pStyle w:val="1149"/>
        <w:ind w:firstLine="709"/>
        <w:jc w:val="both"/>
        <w:spacing w:before="0" w:beforeAutospacing="0" w:after="0" w:afterAutospacing="0"/>
        <w:rPr>
          <w:rFonts w:ascii="PT Astra Serif" w:hAnsi="PT Astra Serif" w:cs="Arial"/>
        </w:rPr>
      </w:pPr>
      <w:r>
        <w:rPr>
          <w:rFonts w:ascii="PT Astra Serif" w:hAnsi="PT Astra Serif"/>
        </w:rPr>
        <w:t xml:space="preserve">Продолжена работа по проведению аттестации и присвоению классных чинов государственным гражданским служащим Томской области.</w:t>
      </w:r>
      <w:r>
        <w:rPr>
          <w:rFonts w:ascii="PT Astra Serif" w:hAnsi="PT Astra Serif" w:cs="Arial"/>
        </w:rPr>
      </w:r>
      <w:r>
        <w:rPr>
          <w:rFonts w:ascii="PT Astra Serif" w:hAnsi="PT Astra Serif" w:cs="Arial"/>
        </w:rPr>
      </w:r>
    </w:p>
    <w:p>
      <w:pPr>
        <w:pStyle w:val="1149"/>
        <w:ind w:firstLine="708"/>
        <w:jc w:val="both"/>
        <w:spacing w:before="0" w:beforeAutospacing="0" w:after="0" w:afterAutospacing="0"/>
        <w:rPr>
          <w:rFonts w:ascii="PT Astra Serif" w:hAnsi="PT Astra Serif"/>
        </w:rPr>
      </w:pPr>
      <w:r>
        <w:rPr>
          <w:rFonts w:ascii="PT Astra Serif" w:hAnsi="PT Astra Serif"/>
        </w:rPr>
        <w:t xml:space="preserve">В 2023 году аттестация проведена в отношении 294 государственных гражданских служащих, из них 244 служащих признаны соответствующими замещаемой должности, 48</w:t>
      </w:r>
      <w:r>
        <w:rPr>
          <w:rFonts w:ascii="PT Astra Serif" w:hAnsi="PT Astra Serif"/>
        </w:rPr>
        <w:t xml:space="preserve"> </w:t>
      </w:r>
      <w:r>
        <w:rPr>
          <w:rFonts w:ascii="PT Astra Serif" w:hAnsi="PT Astra Serif" w:eastAsia="Calibri"/>
        </w:rPr>
        <w:t xml:space="preserve">–</w:t>
      </w:r>
      <w:r>
        <w:rPr>
          <w:rFonts w:ascii="PT Astra Serif" w:hAnsi="PT Astra Serif"/>
        </w:rPr>
        <w:t xml:space="preserve"> рекомендованы к включению в кадровый резерв в порядке должностного роста, </w:t>
      </w:r>
      <w:r>
        <w:rPr>
          <w:rFonts w:ascii="PT Astra Serif" w:hAnsi="PT Astra Serif"/>
        </w:rPr>
        <w:br/>
      </w:r>
      <w:r>
        <w:rPr>
          <w:rFonts w:ascii="PT Astra Serif" w:hAnsi="PT Astra Serif"/>
        </w:rPr>
        <w:t xml:space="preserve">2</w:t>
      </w:r>
      <w:r>
        <w:rPr>
          <w:rFonts w:ascii="PT Astra Serif" w:hAnsi="PT Astra Serif"/>
        </w:rPr>
        <w:t xml:space="preserve"> </w:t>
      </w:r>
      <w:r>
        <w:rPr>
          <w:rFonts w:ascii="PT Astra Serif" w:hAnsi="PT Astra Serif"/>
        </w:rPr>
        <w:t xml:space="preserve">–</w:t>
      </w:r>
      <w:r>
        <w:rPr>
          <w:rFonts w:ascii="PT Astra Serif" w:hAnsi="PT Astra Serif"/>
        </w:rPr>
        <w:t xml:space="preserve"> </w:t>
      </w:r>
      <w:r>
        <w:rPr>
          <w:rFonts w:ascii="PT Astra Serif" w:hAnsi="PT Astra Serif"/>
        </w:rPr>
        <w:t xml:space="preserve">признаны соответствующими замещаемой должности гражданской службы при условии получения дополнительного профессионального образования.</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rPr>
      </w:pPr>
      <w:r>
        <w:rPr>
          <w:rFonts w:ascii="PT Astra Serif" w:hAnsi="PT Astra Serif"/>
        </w:rPr>
        <w:t xml:space="preserve">Классные чины присвоены 581 государственному гражданскому служащему, из них в порядке поощрения классные чины присвоены 6 государственным гражданским служащим. </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cs="Arial"/>
        </w:rPr>
      </w:pPr>
      <w:r>
        <w:rPr>
          <w:rFonts w:ascii="PT Astra Serif" w:hAnsi="PT Astra Serif"/>
        </w:rPr>
        <w:t xml:space="preserve">В мероприятиях, направленных на профессиональное развитие государственных гражданских служащих, повышение их компетентности, в 2023 </w:t>
      </w:r>
      <w:r>
        <w:rPr>
          <w:rFonts w:ascii="PT Astra Serif" w:hAnsi="PT Astra Serif"/>
        </w:rPr>
        <w:t xml:space="preserve">году приняли участие 1 615 человек, в том числе 636 государственных гражданских служащих повысили квалификацию и прошли профессиональную переподготовку, 979 человек участвовали в иных мероприятиях (круглые столы, семинары, стажировки, федеральные проекты).</w:t>
      </w:r>
      <w:r>
        <w:rPr>
          <w:rFonts w:ascii="PT Astra Serif" w:hAnsi="PT Astra Serif" w:cs="Arial"/>
        </w:rPr>
      </w:r>
      <w:r>
        <w:rPr>
          <w:rFonts w:ascii="PT Astra Serif" w:hAnsi="PT Astra Serif" w:cs="Arial"/>
        </w:rPr>
      </w:r>
    </w:p>
    <w:p>
      <w:pPr>
        <w:pStyle w:val="1149"/>
        <w:ind w:firstLine="709"/>
        <w:jc w:val="both"/>
        <w:spacing w:before="0" w:beforeAutospacing="0" w:after="0" w:afterAutospacing="0"/>
        <w:rPr>
          <w:rFonts w:ascii="PT Astra Serif" w:hAnsi="PT Astra Serif"/>
        </w:rPr>
      </w:pPr>
      <w:r>
        <w:rPr>
          <w:rFonts w:ascii="PT Astra Serif" w:hAnsi="PT Astra Serif"/>
        </w:rPr>
        <w:t xml:space="preserve">Доля государственных гражданских служащих Томской области, принявших участие в мероприятиях по профессиональному развитию, составила в 20</w:t>
      </w:r>
      <w:r>
        <w:rPr>
          <w:rFonts w:ascii="PT Astra Serif" w:hAnsi="PT Astra Serif"/>
        </w:rPr>
        <w:t xml:space="preserve">23 году 74</w:t>
      </w:r>
      <w:r>
        <w:rPr>
          <w:rFonts w:ascii="PT Astra Serif" w:hAnsi="PT Astra Serif"/>
        </w:rPr>
        <w:t xml:space="preserve">% от общего</w:t>
      </w:r>
      <w:r>
        <w:rPr>
          <w:rFonts w:ascii="PT Astra Serif" w:hAnsi="PT Astra Serif"/>
        </w:rPr>
        <w:t xml:space="preserve"> количества</w:t>
      </w:r>
      <w:r>
        <w:rPr>
          <w:rFonts w:ascii="PT Astra Serif" w:hAnsi="PT Astra Serif"/>
        </w:rPr>
        <w:t xml:space="preserve">. В результате удовлетворены качеством обучения 96% опрошенных, 95% специалистов указали на возможность использовать полученные знания и умения на практике.</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cs="Arial"/>
        </w:rPr>
      </w:pPr>
      <w:r>
        <w:rPr>
          <w:rFonts w:ascii="PT Astra Serif" w:hAnsi="PT Astra Serif" w:cs="Arial"/>
        </w:rPr>
        <w:t xml:space="preserve">В 2023 году прошел финал конкурса «Лучший государственный гражданский служащий </w:t>
      </w:r>
      <w:r>
        <w:rPr>
          <w:rFonts w:ascii="PT Astra Serif" w:hAnsi="PT Astra Serif" w:cs="Arial"/>
        </w:rPr>
        <w:t xml:space="preserve">в 2022 году», в котором зарегистрировалось 35 сотрудников из 26 исполнительных органов Томской области и структурных подразделений Администрации Томской области. Успешно прошли отборочные этапы и стали финалистами 12 государственных служащих, победителями </w:t>
      </w:r>
      <w:r>
        <w:rPr>
          <w:rFonts w:ascii="PT Astra Serif" w:hAnsi="PT Astra Serif" w:eastAsia="Calibri"/>
        </w:rPr>
        <w:t xml:space="preserve">–</w:t>
      </w:r>
      <w:r>
        <w:rPr>
          <w:rFonts w:ascii="PT Astra Serif" w:hAnsi="PT Astra Serif" w:cs="Arial"/>
        </w:rPr>
        <w:t xml:space="preserve"> 6 государственных служащих в разных номинациях. Победители получили Благодарности Администрации Томской области и единовременные денежные премии.</w:t>
      </w:r>
      <w:r>
        <w:rPr>
          <w:rFonts w:ascii="PT Astra Serif" w:hAnsi="PT Astra Serif" w:cs="Arial"/>
        </w:rPr>
      </w:r>
      <w:r>
        <w:rPr>
          <w:rFonts w:ascii="PT Astra Serif" w:hAnsi="PT Astra Serif" w:cs="Arial"/>
        </w:rPr>
      </w:r>
    </w:p>
    <w:p>
      <w:pPr>
        <w:pStyle w:val="1149"/>
        <w:jc w:val="center"/>
        <w:spacing w:before="0" w:beforeAutospacing="0" w:after="0" w:afterAutospacing="0"/>
        <w:rPr>
          <w:rFonts w:ascii="PT Astra Serif" w:hAnsi="PT Astra Serif"/>
          <w:b/>
          <w:shd w:val="clear" w:color="auto" w:fill="eaf1dd"/>
        </w:rPr>
      </w:pPr>
      <w:r>
        <w:rPr>
          <w:rFonts w:ascii="PT Astra Serif" w:hAnsi="PT Astra Serif"/>
          <w:b/>
          <w:shd w:val="clear" w:color="auto" w:fill="eaf1dd"/>
        </w:rPr>
      </w:r>
      <w:r>
        <w:rPr>
          <w:rFonts w:ascii="PT Astra Serif" w:hAnsi="PT Astra Serif"/>
          <w:b/>
          <w:shd w:val="clear" w:color="auto" w:fill="eaf1dd"/>
        </w:rPr>
      </w:r>
      <w:r>
        <w:rPr>
          <w:rFonts w:ascii="PT Astra Serif" w:hAnsi="PT Astra Serif"/>
          <w:b/>
          <w:shd w:val="clear" w:color="auto" w:fill="eaf1dd"/>
        </w:rPr>
      </w:r>
    </w:p>
    <w:p>
      <w:pPr>
        <w:pStyle w:val="1149"/>
        <w:spacing w:before="0" w:beforeAutospacing="0" w:after="0" w:afterAutospacing="0"/>
        <w:shd w:val="clear" w:color="auto" w:fill="eaf1dd" w:themeFill="accent3" w:themeFillTint="33"/>
        <w:rPr>
          <w:rFonts w:ascii="PT Astra Serif" w:hAnsi="PT Astra Serif" w:cs="Arial"/>
          <w:b/>
        </w:rPr>
      </w:pPr>
      <w:r>
        <w:rPr>
          <w:rFonts w:ascii="PT Astra Serif" w:hAnsi="PT Astra Serif"/>
          <w:b/>
          <w:shd w:val="clear" w:color="auto" w:fill="eaf1dd"/>
        </w:rPr>
        <w:t xml:space="preserve">Развитие кадрового потенциала региона</w:t>
      </w:r>
      <w:r>
        <w:rPr>
          <w:rFonts w:ascii="PT Astra Serif" w:hAnsi="PT Astra Serif" w:cs="Arial"/>
          <w:b/>
        </w:rPr>
      </w:r>
      <w:r>
        <w:rPr>
          <w:rFonts w:ascii="PT Astra Serif" w:hAnsi="PT Astra Serif" w:cs="Arial"/>
          <w:b/>
        </w:rPr>
      </w:r>
    </w:p>
    <w:p>
      <w:pPr>
        <w:pStyle w:val="1149"/>
        <w:ind w:firstLine="709"/>
        <w:jc w:val="both"/>
        <w:spacing w:before="0" w:beforeAutospacing="0" w:after="0" w:afterAutospacing="0"/>
        <w:rPr>
          <w:rFonts w:ascii="PT Astra Serif" w:hAnsi="PT Astra Serif" w:cs="Arial"/>
        </w:rPr>
      </w:pPr>
      <w:r>
        <w:rPr>
          <w:rFonts w:ascii="PT Astra Serif" w:hAnsi="PT Astra Serif"/>
        </w:rPr>
        <w:t xml:space="preserve">В целях повышения качества руководящего состава системы государственного управления, местного самоуправления, а также подведомственных учреждений, предприятий в Томской области ведется работа по формированию и ис</w:t>
      </w:r>
      <w:r>
        <w:rPr>
          <w:rFonts w:ascii="PT Astra Serif" w:hAnsi="PT Astra Serif"/>
        </w:rPr>
        <w:t xml:space="preserve">пользованию Резерва управленческих кадров Томской области (далее – Резерв). Обновление состава осуществляется ежеквартально при включении в установленном порядке новых лиц в Резерв, а также в результате исключения резервистов по соответствующим основаниям.</w:t>
      </w:r>
      <w:r>
        <w:rPr>
          <w:rFonts w:ascii="PT Astra Serif" w:hAnsi="PT Astra Serif" w:cs="Arial"/>
        </w:rPr>
      </w:r>
      <w:r>
        <w:rPr>
          <w:rFonts w:ascii="PT Astra Serif" w:hAnsi="PT Astra Serif" w:cs="Arial"/>
        </w:rPr>
      </w:r>
    </w:p>
    <w:p>
      <w:pPr>
        <w:pStyle w:val="1149"/>
        <w:ind w:firstLine="709"/>
        <w:jc w:val="both"/>
        <w:spacing w:before="0" w:beforeAutospacing="0" w:after="0" w:afterAutospacing="0"/>
        <w:rPr>
          <w:rFonts w:ascii="PT Astra Serif" w:hAnsi="PT Astra Serif" w:cs="Arial"/>
        </w:rPr>
      </w:pPr>
      <w:r>
        <w:rPr>
          <w:rFonts w:ascii="PT Astra Serif" w:hAnsi="PT Astra Serif"/>
        </w:rPr>
        <w:t xml:space="preserve">В 2023 году в Резерв включены 74 человека, из них 4 человека </w:t>
      </w:r>
      <w:r>
        <w:rPr>
          <w:rFonts w:ascii="PT Astra Serif" w:hAnsi="PT Astra Serif" w:eastAsia="Calibri"/>
        </w:rPr>
        <w:t xml:space="preserve">–</w:t>
      </w:r>
      <w:r>
        <w:rPr>
          <w:rFonts w:ascii="PT Astra Serif" w:hAnsi="PT Astra Serif"/>
        </w:rPr>
        <w:t xml:space="preserve"> на должности руководителей  и заместителей руководителей исполнительных органов Томской области, структурных подразделений Администрации Томской области, 70 кандидатов </w:t>
      </w:r>
      <w:r>
        <w:rPr>
          <w:rFonts w:ascii="PT Astra Serif" w:hAnsi="PT Astra Serif" w:eastAsia="Calibri"/>
        </w:rPr>
        <w:t xml:space="preserve">–</w:t>
      </w:r>
      <w:r>
        <w:rPr>
          <w:rFonts w:ascii="PT Astra Serif" w:hAnsi="PT Astra Serif"/>
        </w:rPr>
        <w:t xml:space="preserve"> на должности руководителей учреждений, предприятий.</w:t>
      </w:r>
      <w:r>
        <w:rPr>
          <w:rFonts w:ascii="PT Astra Serif" w:hAnsi="PT Astra Serif" w:cs="Arial"/>
        </w:rPr>
      </w:r>
      <w:r>
        <w:rPr>
          <w:rFonts w:ascii="PT Astra Serif" w:hAnsi="PT Astra Serif" w:cs="Arial"/>
        </w:rPr>
      </w:r>
    </w:p>
    <w:p>
      <w:pPr>
        <w:pStyle w:val="1149"/>
        <w:ind w:firstLine="709"/>
        <w:jc w:val="both"/>
        <w:spacing w:before="0" w:beforeAutospacing="0" w:after="0" w:afterAutospacing="0"/>
        <w:rPr>
          <w:rFonts w:ascii="PT Astra Serif" w:hAnsi="PT Astra Serif" w:cs="Arial"/>
        </w:rPr>
      </w:pPr>
      <w:r>
        <w:rPr>
          <w:rFonts w:ascii="PT Astra Serif" w:hAnsi="PT Astra Serif"/>
        </w:rPr>
        <w:t xml:space="preserve">По итогам 2023 года на должности, входящие в структуру Резерва, назначены (избраны) 68 человек, из них 56 человек (82%) назначены (избраны) из Резерва.</w:t>
      </w:r>
      <w:r>
        <w:rPr>
          <w:rFonts w:ascii="PT Astra Serif" w:hAnsi="PT Astra Serif" w:cs="Arial"/>
        </w:rPr>
      </w:r>
      <w:r>
        <w:rPr>
          <w:rFonts w:ascii="PT Astra Serif" w:hAnsi="PT Astra Serif" w:cs="Arial"/>
        </w:rPr>
      </w:r>
    </w:p>
    <w:p>
      <w:pPr>
        <w:pStyle w:val="1149"/>
        <w:ind w:firstLine="709"/>
        <w:jc w:val="both"/>
        <w:spacing w:before="0" w:beforeAutospacing="0" w:after="0" w:afterAutospacing="0"/>
        <w:rPr>
          <w:rFonts w:ascii="PT Astra Serif" w:hAnsi="PT Astra Serif" w:cs="Arial"/>
        </w:rPr>
      </w:pPr>
      <w:r>
        <w:rPr>
          <w:rFonts w:ascii="PT Astra Serif" w:hAnsi="PT Astra Serif"/>
        </w:rPr>
        <w:t xml:space="preserve">Томская область продолжила</w:t>
      </w:r>
      <w:r>
        <w:rPr>
          <w:rFonts w:ascii="PT Astra Serif" w:hAnsi="PT Astra Serif"/>
        </w:rPr>
        <w:t xml:space="preserve"> участие в реализации Государственного плана подготовки управленческих кадров для организаций народного хозяйства Российской Федерации. В 2023 году обучение завершили 23 руководителя (13 человек обучились в Томском государственном университете, 10 человек </w:t>
      </w:r>
      <w:r>
        <w:rPr>
          <w:rFonts w:ascii="PT Astra Serif" w:hAnsi="PT Astra Serif" w:eastAsia="Calibri"/>
        </w:rPr>
        <w:t xml:space="preserve">–</w:t>
      </w:r>
      <w:r>
        <w:rPr>
          <w:rFonts w:ascii="PT Astra Serif" w:hAnsi="PT Astra Serif"/>
        </w:rPr>
        <w:t xml:space="preserve"> в Томском политехническом университете).</w:t>
      </w:r>
      <w:r>
        <w:rPr>
          <w:rFonts w:ascii="PT Astra Serif" w:hAnsi="PT Astra Serif" w:cs="Arial"/>
        </w:rPr>
      </w:r>
      <w:r>
        <w:rPr>
          <w:rFonts w:ascii="PT Astra Serif" w:hAnsi="PT Astra Serif" w:cs="Arial"/>
        </w:rPr>
      </w:r>
    </w:p>
    <w:p>
      <w:pPr>
        <w:pStyle w:val="1149"/>
        <w:jc w:val="both"/>
        <w:spacing w:before="0" w:beforeAutospacing="0" w:after="0" w:afterAutospacing="0"/>
        <w:rPr>
          <w:rFonts w:ascii="PT Astra Serif" w:hAnsi="PT Astra Serif"/>
          <w:shd w:val="clear" w:color="auto" w:fill="eaf1dd"/>
        </w:rPr>
      </w:pPr>
      <w:r>
        <w:rPr>
          <w:rFonts w:ascii="PT Astra Serif" w:hAnsi="PT Astra Serif"/>
          <w:shd w:val="clear" w:color="auto" w:fill="eaf1dd"/>
        </w:rPr>
      </w:r>
      <w:r>
        <w:rPr>
          <w:rFonts w:ascii="PT Astra Serif" w:hAnsi="PT Astra Serif"/>
          <w:shd w:val="clear" w:color="auto" w:fill="eaf1dd"/>
        </w:rPr>
      </w:r>
      <w:r>
        <w:rPr>
          <w:rFonts w:ascii="PT Astra Serif" w:hAnsi="PT Astra Serif"/>
          <w:shd w:val="clear" w:color="auto" w:fill="eaf1dd"/>
        </w:rPr>
      </w:r>
    </w:p>
    <w:p>
      <w:pPr>
        <w:pStyle w:val="1149"/>
        <w:spacing w:before="0" w:beforeAutospacing="0" w:after="0" w:afterAutospacing="0"/>
        <w:shd w:val="clear" w:color="auto" w:fill="eaf1dd" w:themeFill="accent3" w:themeFillTint="33"/>
        <w:rPr>
          <w:rFonts w:ascii="PT Astra Serif" w:hAnsi="PT Astra Serif" w:cs="Arial"/>
          <w:b/>
        </w:rPr>
      </w:pPr>
      <w:r>
        <w:rPr>
          <w:rFonts w:ascii="PT Astra Serif" w:hAnsi="PT Astra Serif"/>
          <w:b/>
          <w:shd w:val="clear" w:color="auto" w:fill="eaf1dd"/>
        </w:rPr>
        <w:t xml:space="preserve">Содействие развитию муниципальной службы</w:t>
      </w:r>
      <w:r>
        <w:rPr>
          <w:rFonts w:ascii="PT Astra Serif" w:hAnsi="PT Astra Serif" w:cs="Arial"/>
          <w:b/>
        </w:rPr>
      </w:r>
      <w:r>
        <w:rPr>
          <w:rFonts w:ascii="PT Astra Serif" w:hAnsi="PT Astra Serif" w:cs="Arial"/>
          <w:b/>
        </w:rPr>
      </w:r>
    </w:p>
    <w:p>
      <w:pPr>
        <w:pStyle w:val="1149"/>
        <w:ind w:firstLine="709"/>
        <w:jc w:val="both"/>
        <w:spacing w:before="0" w:beforeAutospacing="0" w:after="0" w:afterAutospacing="0"/>
        <w:rPr>
          <w:rFonts w:ascii="PT Astra Serif" w:hAnsi="PT Astra Serif" w:cs="Arial"/>
        </w:rPr>
      </w:pPr>
      <w:r>
        <w:rPr>
          <w:rFonts w:ascii="PT Astra Serif" w:hAnsi="PT Astra Serif"/>
        </w:rPr>
        <w:t xml:space="preserve">Достижение целей социально-экономического развития региона невозможно без подготовки квалиф</w:t>
      </w:r>
      <w:r>
        <w:rPr>
          <w:rFonts w:ascii="PT Astra Serif" w:hAnsi="PT Astra Serif"/>
        </w:rPr>
        <w:t xml:space="preserve">ицированных кадров. В 2023 году обеспечено непрерывное профессиональное развитие глав муниципальных образований и муниципальных служащих, которое позволяет создавать условия для получения необходимых знаний и умений, обмена актуальной информацией и опытом.</w:t>
      </w:r>
      <w:r>
        <w:rPr>
          <w:rFonts w:ascii="PT Astra Serif" w:hAnsi="PT Astra Serif" w:cs="Arial"/>
        </w:rPr>
      </w:r>
      <w:r>
        <w:rPr>
          <w:rFonts w:ascii="PT Astra Serif" w:hAnsi="PT Astra Serif" w:cs="Arial"/>
        </w:rPr>
      </w:r>
    </w:p>
    <w:p>
      <w:pPr>
        <w:pStyle w:val="1149"/>
        <w:ind w:firstLine="709"/>
        <w:jc w:val="both"/>
        <w:spacing w:before="0" w:beforeAutospacing="0" w:after="0" w:afterAutospacing="0"/>
        <w:rPr>
          <w:rFonts w:ascii="PT Astra Serif" w:hAnsi="PT Astra Serif"/>
        </w:rPr>
      </w:pPr>
      <w:r>
        <w:rPr>
          <w:rFonts w:ascii="PT Astra Serif" w:hAnsi="PT Astra Serif"/>
        </w:rPr>
        <w:t xml:space="preserve">В 2023 году приняли участие в мероприятиях по профессиональному развитию 879  муниципальных служащих, из них 547</w:t>
      </w:r>
      <w:r>
        <w:rPr>
          <w:rFonts w:ascii="PT Astra Serif" w:hAnsi="PT Astra Serif"/>
        </w:rPr>
        <w:t xml:space="preserve"> человек прошли обучение по программам дополнительного профессионального развития с выдачей документа о повышении квалификации установленного образца, в том числе 44 главы муниципальных образований Томской области, 332 человека приняли участие в семинарах.</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cs="Arial"/>
        </w:rPr>
      </w:pPr>
      <w:r>
        <w:rPr>
          <w:rFonts w:ascii="PT Astra Serif" w:hAnsi="PT Astra Serif"/>
        </w:rPr>
        <w:t xml:space="preserve">По результатам анализа анкет обратной связи удовлетворены качеством обучения 93% опрошенных, 96% специалистов указали на возможность использовать полученные знания и умения на практике.</w:t>
      </w:r>
      <w:r>
        <w:rPr>
          <w:rFonts w:ascii="PT Astra Serif" w:hAnsi="PT Astra Serif" w:cs="Arial"/>
        </w:rPr>
      </w:r>
      <w:r>
        <w:rPr>
          <w:rFonts w:ascii="PT Astra Serif" w:hAnsi="PT Astra Serif" w:cs="Arial"/>
        </w:rPr>
      </w:r>
    </w:p>
    <w:p>
      <w:pPr>
        <w:pStyle w:val="1149"/>
        <w:ind w:firstLine="709"/>
        <w:jc w:val="both"/>
        <w:spacing w:before="0" w:beforeAutospacing="0" w:after="0" w:afterAutospacing="0"/>
        <w:rPr>
          <w:rFonts w:ascii="PT Astra Serif" w:hAnsi="PT Astra Serif"/>
        </w:rPr>
      </w:pPr>
      <w:r>
        <w:rPr>
          <w:rFonts w:ascii="PT Astra Serif" w:hAnsi="PT Astra Serif"/>
        </w:rPr>
        <w:t xml:space="preserve">В 2023 году в конкурсе на звание «Лучший муниципальный служащий в Томской области» приняли участие 169 муниципальных служащих, проведены конкурсные испытания, 17 муниципальных служащих признаны победителями.  </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rPr>
      </w:pPr>
      <w:r>
        <w:rPr>
          <w:rFonts w:ascii="PT Astra Serif" w:hAnsi="PT Astra Serif"/>
        </w:rPr>
        <w:t xml:space="preserve">Продолжае</w:t>
      </w:r>
      <w:r>
        <w:rPr>
          <w:rFonts w:ascii="PT Astra Serif" w:hAnsi="PT Astra Serif"/>
        </w:rPr>
        <w:t xml:space="preserve">тся развитие дистанционных форм обучения для непрерывного и доступного обучения сотрудников органов местного самоуправления, в настоящее время разработаны и размещены на Портале дистанционного образования Администрации Томской области 8 электронных курсов.</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cs="Arial"/>
        </w:rPr>
      </w:pPr>
      <w:r>
        <w:rPr>
          <w:rFonts w:ascii="PT Astra Serif" w:hAnsi="PT Astra Serif" w:cs="Arial"/>
        </w:rPr>
      </w:r>
      <w:r>
        <w:rPr>
          <w:rFonts w:ascii="PT Astra Serif" w:hAnsi="PT Astra Serif" w:cs="Arial"/>
        </w:rPr>
      </w:r>
      <w:r>
        <w:rPr>
          <w:rFonts w:ascii="PT Astra Serif" w:hAnsi="PT Astra Serif" w:cs="Arial"/>
        </w:rPr>
      </w:r>
    </w:p>
    <w:p>
      <w:pPr>
        <w:pStyle w:val="1149"/>
        <w:ind w:firstLine="709"/>
        <w:jc w:val="both"/>
        <w:spacing w:before="0" w:beforeAutospacing="0" w:after="0" w:afterAutospacing="0"/>
        <w:rPr>
          <w:rFonts w:ascii="PT Astra Serif" w:hAnsi="PT Astra Serif" w:cs="Arial"/>
        </w:rPr>
      </w:pPr>
      <w:r>
        <w:rPr>
          <w:rFonts w:ascii="PT Astra Serif" w:hAnsi="PT Astra Serif" w:cs="Arial"/>
        </w:rPr>
      </w:r>
      <w:r>
        <w:rPr>
          <w:rFonts w:ascii="PT Astra Serif" w:hAnsi="PT Astra Serif" w:cs="Arial"/>
        </w:rPr>
      </w:r>
      <w:r>
        <w:rPr>
          <w:rFonts w:ascii="PT Astra Serif" w:hAnsi="PT Astra Serif" w:cs="Arial"/>
        </w:rPr>
      </w:r>
    </w:p>
    <w:p>
      <w:pPr>
        <w:pStyle w:val="1149"/>
        <w:spacing w:before="0" w:beforeAutospacing="0" w:after="0" w:afterAutospacing="0"/>
        <w:shd w:val="clear" w:color="auto" w:fill="eaf1dd" w:themeFill="accent3" w:themeFillTint="33"/>
        <w:rPr>
          <w:rFonts w:ascii="PT Astra Serif" w:hAnsi="PT Astra Serif"/>
          <w:b/>
          <w:shd w:val="clear" w:color="auto" w:fill="eaf1dd"/>
        </w:rPr>
      </w:pPr>
      <w:r>
        <w:rPr>
          <w:rFonts w:ascii="PT Astra Serif" w:hAnsi="PT Astra Serif"/>
          <w:b/>
          <w:shd w:val="clear" w:color="auto" w:fill="eaf1dd"/>
        </w:rPr>
        <w:t xml:space="preserve">Реализация наградной политики</w:t>
      </w:r>
      <w:r>
        <w:rPr>
          <w:rFonts w:ascii="PT Astra Serif" w:hAnsi="PT Astra Serif"/>
          <w:b/>
          <w:shd w:val="clear" w:color="auto" w:fill="eaf1dd"/>
        </w:rPr>
      </w:r>
      <w:r>
        <w:rPr>
          <w:rFonts w:ascii="PT Astra Serif" w:hAnsi="PT Astra Serif"/>
          <w:b/>
          <w:shd w:val="clear" w:color="auto" w:fill="eaf1dd"/>
        </w:rPr>
      </w:r>
    </w:p>
    <w:p>
      <w:pPr>
        <w:pStyle w:val="1149"/>
        <w:ind w:firstLine="709"/>
        <w:jc w:val="both"/>
        <w:spacing w:before="0" w:beforeAutospacing="0" w:after="0" w:afterAutospacing="0"/>
        <w:rPr>
          <w:rFonts w:ascii="PT Astra Serif" w:hAnsi="PT Astra Serif"/>
        </w:rPr>
      </w:pPr>
      <w:r>
        <w:rPr>
          <w:rFonts w:ascii="PT Astra Serif" w:hAnsi="PT Astra Serif"/>
        </w:rPr>
        <w:t xml:space="preserve">В 2023 году в системе наград Губернатора Томской области разработано и утверждено Положение о медали «За добровольческую деятельность».</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cs="Arial"/>
        </w:rPr>
      </w:pPr>
      <w:r>
        <w:rPr>
          <w:rFonts w:ascii="PT Astra Serif" w:hAnsi="PT Astra Serif"/>
        </w:rPr>
        <w:t xml:space="preserve">Комитетом наград подготовлено 15</w:t>
      </w:r>
      <w:r>
        <w:rPr>
          <w:rFonts w:ascii="PT Astra Serif" w:hAnsi="PT Astra Serif"/>
        </w:rPr>
        <w:t xml:space="preserve"> проектов законов Томской области, 79 проектов распоряжений Губернатора Томской области, 424 проекта распоряжений Администрации Томской области, в соответствии с которыми проведено более 3 000 награждений томичей и жителей области наградами разных уровней:</w:t>
      </w:r>
      <w:r>
        <w:rPr>
          <w:rFonts w:ascii="PT Astra Serif" w:hAnsi="PT Astra Serif" w:cs="Arial"/>
        </w:rPr>
      </w:r>
      <w:r>
        <w:rPr>
          <w:rFonts w:ascii="PT Astra Serif" w:hAnsi="PT Astra Serif" w:cs="Arial"/>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77 государственными наградами по Указу Президента Российской Федерации и поощрением Президента Российской Федерации;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4 знаками отличия «За заслуги перед Томской областью»;</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21 знаком</w:t>
      </w:r>
      <w:r>
        <w:rPr>
          <w:rFonts w:ascii="PT Astra Serif" w:hAnsi="PT Astra Serif" w:eastAsia="Times New Roman"/>
          <w:sz w:val="24"/>
          <w:szCs w:val="24"/>
          <w:lang w:eastAsia="ru-RU"/>
        </w:rPr>
        <w:t xml:space="preserve"> отличия «Родительская доблесть»;</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44 знаками отличия «За заслуги в сфере образования»;</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8 Почетными грамотами Томской области;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8 орденами «Томская слава»;</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93 медалями «За достижения»;</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13 медалями «За добровольческую деятельность»;</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102 знаками «Будущее Томской области»;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565 Почетными грамотами Администрации Томской области;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1 343 Благодарностями Администрации Томской области;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857 памятными адресами от имени Губернатора Томской области;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вручено 57 памятных подарков (наручные часы) от имени Губернатора Томской области.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49"/>
        <w:ind w:firstLine="709"/>
        <w:jc w:val="both"/>
        <w:spacing w:before="0" w:beforeAutospacing="0" w:after="0" w:afterAutospacing="0"/>
        <w:rPr>
          <w:rFonts w:ascii="PT Astra Serif" w:hAnsi="PT Astra Serif" w:cs="Arial"/>
        </w:rPr>
      </w:pPr>
      <w:r>
        <w:rPr>
          <w:rFonts w:ascii="PT Astra Serif" w:hAnsi="PT Astra Serif" w:cs="Arial"/>
        </w:rPr>
        <w:t xml:space="preserve"> </w:t>
      </w:r>
      <w:r>
        <w:rPr>
          <w:rFonts w:ascii="PT Astra Serif" w:hAnsi="PT Astra Serif" w:cs="Arial"/>
        </w:rPr>
      </w:r>
      <w:r>
        <w:rPr>
          <w:rFonts w:ascii="PT Astra Serif" w:hAnsi="PT Astra Serif" w:cs="Arial"/>
        </w:rPr>
      </w:r>
    </w:p>
    <w:p>
      <w:pPr>
        <w:jc w:val="both"/>
        <w:spacing w:after="0" w:line="240" w:lineRule="auto"/>
        <w:tabs>
          <w:tab w:val="left" w:pos="900" w:leader="none"/>
        </w:tabs>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rPr>
      </w:r>
      <w:r>
        <w:rPr>
          <w:rFonts w:ascii="PT Astra Serif" w:hAnsi="PT Astra Serif"/>
          <w:b/>
          <w:sz w:val="24"/>
          <w:szCs w:val="24"/>
        </w:rPr>
      </w:r>
    </w:p>
    <w:p>
      <w:pPr>
        <w:pStyle w:val="1149"/>
        <w:ind w:firstLine="709"/>
        <w:jc w:val="both"/>
        <w:spacing w:before="0" w:beforeAutospacing="0" w:after="0" w:afterAutospacing="0"/>
        <w:rPr>
          <w:rFonts w:ascii="PT Astra Serif" w:hAnsi="PT Astra Serif" w:cs="Arial"/>
        </w:rPr>
      </w:pPr>
      <w:r>
        <w:rPr>
          <w:rFonts w:ascii="PT Astra Serif" w:hAnsi="PT Astra Serif"/>
        </w:rPr>
        <w:t xml:space="preserve">1. Реализация проекта «Эффективный регион», направленного на повышение эффективности государственного управления, качества предоставления государственных услуг в Томской области.</w:t>
      </w:r>
      <w:r>
        <w:rPr>
          <w:rFonts w:ascii="PT Astra Serif" w:hAnsi="PT Astra Serif" w:cs="Arial"/>
        </w:rPr>
      </w:r>
      <w:r>
        <w:rPr>
          <w:rFonts w:ascii="PT Astra Serif" w:hAnsi="PT Astra Serif" w:cs="Arial"/>
        </w:rPr>
      </w:r>
    </w:p>
    <w:p>
      <w:pPr>
        <w:pStyle w:val="1149"/>
        <w:ind w:firstLine="709"/>
        <w:jc w:val="both"/>
        <w:spacing w:before="0" w:beforeAutospacing="0" w:after="0" w:afterAutospacing="0"/>
        <w:rPr>
          <w:rFonts w:ascii="PT Astra Serif" w:hAnsi="PT Astra Serif" w:cs="Arial"/>
        </w:rPr>
      </w:pPr>
      <w:r>
        <w:rPr>
          <w:rFonts w:ascii="PT Astra Serif" w:hAnsi="PT Astra Serif"/>
        </w:rPr>
        <w:t xml:space="preserve">2. Внедрение кл</w:t>
      </w:r>
      <w:r>
        <w:rPr>
          <w:rFonts w:ascii="PT Astra Serif" w:hAnsi="PT Astra Serif"/>
        </w:rPr>
        <w:t xml:space="preserve">иентоцентричного подхода в деятельность исполнительных органов Томской области с использованием современных технологий при осуществлении внутренних процессов в рамках внедрения Стандарта для внутреннего клиента федерального проекта «Государство для людей».</w:t>
      </w:r>
      <w:r>
        <w:rPr>
          <w:rFonts w:ascii="PT Astra Serif" w:hAnsi="PT Astra Serif" w:cs="Arial"/>
        </w:rPr>
      </w:r>
      <w:r>
        <w:rPr>
          <w:rFonts w:ascii="PT Astra Serif" w:hAnsi="PT Astra Serif" w:cs="Arial"/>
        </w:rPr>
      </w:r>
    </w:p>
    <w:p>
      <w:pPr>
        <w:pStyle w:val="1149"/>
        <w:ind w:firstLine="709"/>
        <w:jc w:val="both"/>
        <w:spacing w:before="0" w:beforeAutospacing="0" w:after="0" w:afterAutospacing="0"/>
        <w:rPr>
          <w:rFonts w:ascii="PT Astra Serif" w:hAnsi="PT Astra Serif" w:cs="Arial"/>
        </w:rPr>
      </w:pPr>
      <w:r>
        <w:rPr>
          <w:rFonts w:ascii="PT Astra Serif" w:hAnsi="PT Astra Serif"/>
        </w:rPr>
        <w:t xml:space="preserve">3. Развитие технологий активного поиска и привлечения на государственную гражданскую службу высокопрофессиональных кадров, способных решать актуальные задачи государственного управления.</w:t>
      </w:r>
      <w:r>
        <w:rPr>
          <w:rFonts w:ascii="PT Astra Serif" w:hAnsi="PT Astra Serif" w:cs="Arial"/>
        </w:rPr>
      </w:r>
      <w:r>
        <w:rPr>
          <w:rFonts w:ascii="PT Astra Serif" w:hAnsi="PT Astra Serif" w:cs="Arial"/>
        </w:rPr>
      </w:r>
    </w:p>
    <w:p>
      <w:pPr>
        <w:pStyle w:val="1149"/>
        <w:ind w:firstLine="709"/>
        <w:jc w:val="both"/>
        <w:spacing w:before="0" w:beforeAutospacing="0" w:after="0" w:afterAutospacing="0"/>
        <w:rPr>
          <w:rFonts w:ascii="PT Astra Serif" w:hAnsi="PT Astra Serif" w:cs="Arial"/>
        </w:rPr>
      </w:pPr>
      <w:r>
        <w:rPr>
          <w:rFonts w:ascii="PT Astra Serif" w:hAnsi="PT Astra Serif"/>
        </w:rPr>
        <w:t xml:space="preserve">4. Использование новых форм профессионального развития государственных гражданских служащих, в том числе в рамках Единого образовательного пространства СФО.</w:t>
      </w:r>
      <w:r>
        <w:rPr>
          <w:rFonts w:ascii="PT Astra Serif" w:hAnsi="PT Astra Serif" w:cs="Arial"/>
        </w:rPr>
      </w:r>
      <w:r>
        <w:rPr>
          <w:rFonts w:ascii="PT Astra Serif" w:hAnsi="PT Astra Serif" w:cs="Arial"/>
        </w:rPr>
      </w:r>
    </w:p>
    <w:p>
      <w:pPr>
        <w:ind w:firstLine="709"/>
        <w:jc w:val="both"/>
        <w:spacing w:after="0" w:line="240" w:lineRule="auto"/>
        <w:widowControl w:val="off"/>
        <w:tabs>
          <w:tab w:val="left" w:pos="0" w:leader="none"/>
          <w:tab w:val="left" w:pos="851" w:leader="none"/>
        </w:tabs>
        <w:rPr>
          <w:rFonts w:ascii="PT Astra Serif" w:hAnsi="PT Astra Serif"/>
          <w:sz w:val="24"/>
          <w:szCs w:val="24"/>
        </w:rPr>
      </w:pPr>
      <w:r>
        <w:rPr>
          <w:rFonts w:ascii="PT Astra Serif" w:hAnsi="PT Astra Serif"/>
          <w:sz w:val="24"/>
          <w:szCs w:val="24"/>
        </w:rPr>
        <w:t xml:space="preserve">5. Проведение конкурса на звание «Лучший государственный гражданский  служащий в Томской области в 2024 году», </w:t>
      </w:r>
      <w:r>
        <w:rPr>
          <w:rFonts w:ascii="PT Astra Serif" w:hAnsi="PT Astra Serif" w:eastAsia="PT Astra Serif"/>
          <w:sz w:val="24"/>
          <w:szCs w:val="24"/>
        </w:rPr>
        <w:t xml:space="preserve">выявление и поддержка муниципальных служащих, имеющих значительные достижения в области местного самоуправления.</w:t>
      </w:r>
      <w:r>
        <w:rPr>
          <w:rFonts w:ascii="PT Astra Serif" w:hAnsi="PT Astra Serif"/>
          <w:sz w:val="24"/>
          <w:szCs w:val="24"/>
        </w:rPr>
      </w:r>
      <w:r>
        <w:rPr>
          <w:rFonts w:ascii="PT Astra Serif" w:hAnsi="PT Astra Serif"/>
          <w:sz w:val="24"/>
          <w:szCs w:val="24"/>
        </w:rPr>
      </w:r>
    </w:p>
    <w:p>
      <w:pPr>
        <w:pStyle w:val="1149"/>
        <w:ind w:firstLine="709"/>
        <w:jc w:val="both"/>
        <w:spacing w:before="0" w:beforeAutospacing="0" w:after="0" w:afterAutospacing="0"/>
        <w:rPr>
          <w:rFonts w:ascii="PT Astra Serif" w:hAnsi="PT Astra Serif"/>
        </w:rPr>
      </w:pPr>
      <w:r>
        <w:rPr>
          <w:rFonts w:ascii="PT Astra Serif" w:hAnsi="PT Astra Serif"/>
        </w:rPr>
        <w:t xml:space="preserve">6. Участие в подготовке мероприятий по празднованию 80-летия Томской области в 2024 году.</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rPr>
      </w:pPr>
      <w:r>
        <w:rPr>
          <w:rFonts w:ascii="PT Astra Serif" w:hAnsi="PT Astra Serif"/>
        </w:rPr>
      </w:r>
      <w:r>
        <w:rPr>
          <w:rFonts w:ascii="PT Astra Serif" w:hAnsi="PT Astra Serif"/>
        </w:rPr>
      </w:r>
      <w:r>
        <w:rPr>
          <w:rFonts w:ascii="PT Astra Serif" w:hAnsi="PT Astra Serif"/>
        </w:rPr>
      </w:r>
    </w:p>
    <w:p>
      <w:pPr>
        <w:jc w:val="both"/>
        <w:spacing w:after="0" w:line="240" w:lineRule="auto"/>
        <w:shd w:val="clear" w:color="auto" w:fill="eaf1dd" w:themeFill="accent3" w:themeFillTint="33"/>
        <w:rPr>
          <w:rFonts w:ascii="PT Astra Serif" w:hAnsi="PT Astra Serif"/>
          <w:b/>
          <w:sz w:val="24"/>
          <w:szCs w:val="24"/>
        </w:rPr>
      </w:pPr>
      <w:r>
        <w:rPr>
          <w:rFonts w:ascii="PT Astra Serif" w:hAnsi="PT Astra Serif"/>
          <w:b/>
          <w:sz w:val="24"/>
          <w:szCs w:val="24"/>
        </w:rPr>
        <w:t xml:space="preserve">Реализация информационной политики</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размещено на интернет-портале Администрации Томской о</w:t>
      </w:r>
      <w:r>
        <w:rPr>
          <w:rFonts w:ascii="PT Astra Serif" w:hAnsi="PT Astra Serif"/>
          <w:sz w:val="24"/>
          <w:szCs w:val="24"/>
        </w:rPr>
        <w:t xml:space="preserve">бласти и направлено в СМИ более 5 тысяч пресс-релизов о работе и решениях исполнительных органов Томской области, развитии различных сфер региона. Ключевыми темами сообщений стали рабочие поездки и решения главы региона, реализация президентских национальн</w:t>
      </w:r>
      <w:r>
        <w:rPr>
          <w:rFonts w:ascii="PT Astra Serif" w:hAnsi="PT Astra Serif"/>
          <w:sz w:val="24"/>
          <w:szCs w:val="24"/>
        </w:rPr>
        <w:t xml:space="preserve">ых проектов, меры поддержки семей с детьми, модернизация системы здравоохранения, оказание медицинской помощи населению, сбор и отправка гуманитарной помощи военнослужащим в зону СВО, жителям Донбасса и Приазовского района, поддержка семей военнослужащих.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Во взаимодействии с АНО «Национальные приоритеты» обеспечено участие Томской области в федеральных информационных кампаниях по национальным проектам. В январе</w:t>
      </w:r>
      <w:r>
        <w:rPr>
          <w:rFonts w:ascii="PT Astra Serif" w:hAnsi="PT Astra Serif"/>
          <w:sz w:val="24"/>
          <w:szCs w:val="24"/>
        </w:rPr>
        <w:t xml:space="preserve"> </w:t>
      </w:r>
      <w:r>
        <w:rPr>
          <w:rFonts w:ascii="PT Astra Serif" w:hAnsi="PT Astra Serif" w:eastAsia="Calibri"/>
          <w:sz w:val="24"/>
          <w:szCs w:val="24"/>
        </w:rPr>
        <w:t xml:space="preserve">– </w:t>
      </w:r>
      <w:r>
        <w:rPr>
          <w:rFonts w:ascii="PT Astra Serif" w:hAnsi="PT Astra Serif"/>
          <w:sz w:val="24"/>
          <w:szCs w:val="24"/>
        </w:rPr>
        <w:t xml:space="preserve">марте реализована информационная кампания «Итоги национальных проектов 2022»; в феврале проведена информационная кампания «Сво</w:t>
      </w:r>
      <w:r>
        <w:rPr>
          <w:rFonts w:ascii="PT Astra Serif" w:hAnsi="PT Astra Serif"/>
          <w:sz w:val="24"/>
          <w:szCs w:val="24"/>
        </w:rPr>
        <w:t xml:space="preserve">е</w:t>
      </w:r>
      <w:r>
        <w:rPr>
          <w:rFonts w:ascii="PT Astra Serif" w:hAnsi="PT Astra Serif"/>
          <w:sz w:val="24"/>
          <w:szCs w:val="24"/>
        </w:rPr>
        <w:t xml:space="preserve"> дело», посвященная популяризации мер поддержки бизнеса в рамках национального проекта «Малое и среднее предпринимательство»; в марте</w:t>
      </w:r>
      <w:r>
        <w:rPr>
          <w:rFonts w:ascii="PT Astra Serif" w:hAnsi="PT Astra Serif"/>
          <w:sz w:val="24"/>
          <w:szCs w:val="24"/>
        </w:rPr>
        <w:t xml:space="preserve"> </w:t>
      </w:r>
      <w:r>
        <w:rPr>
          <w:rFonts w:ascii="PT Astra Serif" w:hAnsi="PT Astra Serif" w:eastAsia="Calibri"/>
          <w:sz w:val="24"/>
          <w:szCs w:val="24"/>
        </w:rPr>
        <w:t xml:space="preserve">– </w:t>
      </w:r>
      <w:r>
        <w:rPr>
          <w:rFonts w:ascii="PT Astra Serif" w:hAnsi="PT Astra Serif"/>
          <w:sz w:val="24"/>
          <w:szCs w:val="24"/>
        </w:rPr>
        <w:t xml:space="preserve">апреле обеспечено участие региона в федера</w:t>
      </w:r>
      <w:r>
        <w:rPr>
          <w:rFonts w:ascii="PT Astra Serif" w:hAnsi="PT Astra Serif"/>
          <w:sz w:val="24"/>
          <w:szCs w:val="24"/>
        </w:rPr>
        <w:t xml:space="preserve">льной информационной кампании «Что стоит за этим знаком», направленной на узнаваемость и популяризацию национальных проектов «Здравоохранение», «Культура», «Малое и среднее предпринимательство», «Наука и университеты», «Образование», «Цифровая экономика».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С марта 2023 года Томская область активно включилась в информационную кампанию всероссийского голосования за новые объекты благоустройства </w:t>
      </w:r>
      <w:r>
        <w:rPr>
          <w:rFonts w:ascii="PT Astra Serif" w:hAnsi="PT Astra Serif"/>
          <w:sz w:val="24"/>
          <w:szCs w:val="24"/>
        </w:rPr>
        <w:t xml:space="preserve">общественных территорий по федеральному проекту «Формирование комфортной городской среды» нацпроекта «Жилье и городская среда». В результате Томская область вошла в число регионов-лидеров голосования, участие в нем приняло более 240 тысяч жителей региона.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Обеспечена</w:t>
      </w:r>
      <w:r>
        <w:rPr>
          <w:rFonts w:ascii="PT Astra Serif" w:hAnsi="PT Astra Serif"/>
          <w:sz w:val="24"/>
          <w:szCs w:val="24"/>
        </w:rPr>
        <w:t xml:space="preserve"> широкая медиаподдержка Всероссийской ярмарки вакансий (апрель, июнь), направленной на содействие занятости в рамках национального проекта «Демография», федеральной информационной кампании по диспансеризации (май, август) в рамках нацпроекта «Демография».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Проведено широкое информирование о ходе ремонта и приведении в нормативное состояние дорог по национальному проекту «Безопасные качественные дороги», в июне</w:t>
      </w:r>
      <w:r>
        <w:rPr>
          <w:rFonts w:ascii="PT Astra Serif" w:hAnsi="PT Astra Serif"/>
          <w:sz w:val="24"/>
          <w:szCs w:val="24"/>
        </w:rPr>
        <w:t xml:space="preserve"> </w:t>
      </w:r>
      <w:r>
        <w:rPr>
          <w:rFonts w:ascii="PT Astra Serif" w:hAnsi="PT Astra Serif" w:eastAsia="Calibri"/>
          <w:sz w:val="24"/>
          <w:szCs w:val="24"/>
        </w:rPr>
        <w:t xml:space="preserve">– </w:t>
      </w:r>
      <w:r>
        <w:rPr>
          <w:rFonts w:ascii="PT Astra Serif" w:hAnsi="PT Astra Serif"/>
          <w:sz w:val="24"/>
          <w:szCs w:val="24"/>
        </w:rPr>
        <w:t xml:space="preserve">июле организована информационная кампания по национальному проекту «Международная кооперация и экспорт», в сентябре во взаимодействии с АНО «Национальные приоритеты» организован пресс-тур «Путешествие в науку. Томск: город науки и инноваций» по объектам</w:t>
      </w:r>
      <w:r>
        <w:rPr>
          <w:rFonts w:ascii="PT Astra Serif" w:hAnsi="PT Astra Serif"/>
          <w:sz w:val="24"/>
          <w:szCs w:val="24"/>
        </w:rPr>
        <w:t xml:space="preserve"> </w:t>
      </w:r>
      <w:r>
        <w:rPr>
          <w:rFonts w:ascii="PT Astra Serif" w:hAnsi="PT Astra Serif" w:eastAsia="Calibri"/>
          <w:sz w:val="24"/>
          <w:szCs w:val="24"/>
        </w:rPr>
        <w:t xml:space="preserve">– </w:t>
      </w:r>
      <w:r>
        <w:rPr>
          <w:rFonts w:ascii="PT Astra Serif" w:hAnsi="PT Astra Serif"/>
          <w:sz w:val="24"/>
          <w:szCs w:val="24"/>
        </w:rPr>
        <w:t xml:space="preserve">уч</w:t>
      </w:r>
      <w:r>
        <w:rPr>
          <w:rFonts w:ascii="PT Astra Serif" w:hAnsi="PT Astra Serif"/>
          <w:sz w:val="24"/>
          <w:szCs w:val="24"/>
        </w:rPr>
        <w:t xml:space="preserve">астникам национального проекта «Наука и университеты» с привлечением федеральных и томских СМИ; в ноябре Томская область присоединилась к федеральной информационной кампании «Финансовая поддержка семей с детьми» в рамках национального проекта «Демография».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Также организова</w:t>
      </w:r>
      <w:r>
        <w:rPr>
          <w:rFonts w:ascii="PT Astra Serif" w:hAnsi="PT Astra Serif"/>
          <w:sz w:val="24"/>
          <w:szCs w:val="24"/>
        </w:rPr>
        <w:t xml:space="preserve">но информационное сопровождение федерального проекта «Профессионалитет» и мероприятий национального проекта «Цифровая экономика», включая проекты «Код будущего», «Урок цифры», школьную олимпиаду «Безопасный интернет», Всероссийскую программу кибергигиены.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течение 2023 года широко освещалось строительство социально значимых объектов по национальным проектам: врачебных амбулаторий, новых фельдшерско-акушерских пунктов, ввод в эксплуатацию хирургического корпуса Томского областно</w:t>
      </w:r>
      <w:r>
        <w:rPr>
          <w:rFonts w:ascii="PT Astra Serif" w:hAnsi="PT Astra Serif"/>
          <w:sz w:val="24"/>
          <w:szCs w:val="24"/>
        </w:rPr>
        <w:t xml:space="preserve">го онкологического диспансера, создание модельных библиотек, оборудование мастерских в колледжах и техникумах, завершение благоустройства общественных пространств, открытие в сельских территориях новых спортивных площадок по проекту «Спорт — норма жизни».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Реализована широкая информационная кампания, посвяще</w:t>
      </w:r>
      <w:r>
        <w:rPr>
          <w:rFonts w:ascii="PT Astra Serif" w:hAnsi="PT Astra Serif"/>
          <w:sz w:val="24"/>
          <w:szCs w:val="24"/>
        </w:rPr>
        <w:t xml:space="preserve">нная Году педагога и наставника. На официальных интернет-ресурсах, в СМИ и социальных сетях вышло более 2,5 тысячи информационных сообщений; организованы сюжеты и интервью с педагогами, обеспечено освещение тематических мероприятий, форумов и конференций.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Совместно с федеральными телеканалами реализованы проекты, направленные на позиционирование Томской области в российском информационном пространстве. В сентябре на Общественном телевидении России (далее </w:t>
      </w:r>
      <w:r>
        <w:rPr>
          <w:rFonts w:ascii="PT Astra Serif" w:hAnsi="PT Astra Serif" w:eastAsia="Calibri"/>
          <w:sz w:val="24"/>
          <w:szCs w:val="24"/>
        </w:rPr>
        <w:t xml:space="preserve">–</w:t>
      </w:r>
      <w:r>
        <w:rPr>
          <w:rFonts w:ascii="PT Astra Serif" w:hAnsi="PT Astra Serif"/>
          <w:sz w:val="24"/>
          <w:szCs w:val="24"/>
        </w:rPr>
        <w:t xml:space="preserve"> ОТР) прошел День Томской области. Ведущие и журналисты ОТР рассказали о научном, экономическом, промышленном, культурном и ту</w:t>
      </w:r>
      <w:r>
        <w:rPr>
          <w:rFonts w:ascii="PT Astra Serif" w:hAnsi="PT Astra Serif"/>
          <w:sz w:val="24"/>
          <w:szCs w:val="24"/>
        </w:rPr>
        <w:t xml:space="preserve">ристическом потенциале Томской области, познакомили зрителей с историей и уникальной деревянной архитектурой Томска, природными богатствами сибирского края, обсудили с Губернатором Томской области В.В. Мазуром и экспертами достижения и возможности региона.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декабре организована работа в Томской области съемочных групп телеканала Совета Федерации «Вместе. РФ» и телеканала «Россия 24», в результате в</w:t>
      </w:r>
      <w:r>
        <w:rPr>
          <w:rFonts w:ascii="PT Astra Serif" w:hAnsi="PT Astra Serif"/>
          <w:sz w:val="24"/>
          <w:szCs w:val="24"/>
        </w:rPr>
        <w:t xml:space="preserve"> федеральном телеэфире представлены передовые разработки томских ученых, реализация проектов «Палеозой» и «Прорыв», успехи томских компаний в переработке дикоросов, рыбной и сельскохозяйственной продукции, работа передовых промышленных предприятий региона.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декабре на пресс-ко</w:t>
      </w:r>
      <w:r>
        <w:rPr>
          <w:rFonts w:ascii="PT Astra Serif" w:hAnsi="PT Astra Serif"/>
          <w:sz w:val="24"/>
          <w:szCs w:val="24"/>
        </w:rPr>
        <w:t xml:space="preserve">нференции в информационном агентстве ТАСС в Москве, посвященной итогам Дней Томской области в Совете Федерации, были представлены приоритеты социально-экономического развития и бюджетной политики региона, научно-технологического комплекса Томской области.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Значимой темой в региональном информационном</w:t>
      </w:r>
      <w:r>
        <w:rPr>
          <w:rFonts w:ascii="PT Astra Serif" w:hAnsi="PT Astra Serif"/>
          <w:sz w:val="24"/>
          <w:szCs w:val="24"/>
        </w:rPr>
        <w:t xml:space="preserve"> пространстве стала поддержка участников специальной военной операции, сбор и отправка гуманитарной помощи военнослужащим в зону СВО, жителям Донбасса и подшефного Приазовского района Запорожской области, чествование героев СВО, патриотическая акция «СВОя </w:t>
      </w:r>
      <w:r>
        <w:rPr>
          <w:rFonts w:ascii="PT Astra Serif" w:hAnsi="PT Astra Serif"/>
          <w:sz w:val="24"/>
          <w:szCs w:val="24"/>
        </w:rPr>
        <w:t xml:space="preserve">е</w:t>
      </w:r>
      <w:r>
        <w:rPr>
          <w:rFonts w:ascii="PT Astra Serif" w:hAnsi="PT Astra Serif"/>
          <w:sz w:val="24"/>
          <w:szCs w:val="24"/>
        </w:rPr>
        <w:t xml:space="preserve">лка» по отправке новогодних елей, игрушек, открыток и писем бойцам на передовую. В феврале телекомпания «Томское время» совместно с Администрацией Томской области провела благотворительный телемарафон «Вс</w:t>
      </w:r>
      <w:r>
        <w:rPr>
          <w:rFonts w:ascii="PT Astra Serif" w:hAnsi="PT Astra Serif"/>
          <w:sz w:val="24"/>
          <w:szCs w:val="24"/>
        </w:rPr>
        <w:t xml:space="preserve">е</w:t>
      </w:r>
      <w:r>
        <w:rPr>
          <w:rFonts w:ascii="PT Astra Serif" w:hAnsi="PT Astra Serif"/>
          <w:sz w:val="24"/>
          <w:szCs w:val="24"/>
        </w:rPr>
        <w:t xml:space="preserve"> для Победы». При поддержке Администрации Томской области редакция областного еженедельника «Томские новости» подготовила два спецвыпуска газеты «Все для Победы!», которые доставлены бойцам-томичам в зону СВО.</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Главным общественным и медийным событием 2023 года стало открытие в Мос</w:t>
      </w:r>
      <w:r>
        <w:rPr>
          <w:rFonts w:ascii="PT Astra Serif" w:hAnsi="PT Astra Serif"/>
          <w:sz w:val="24"/>
          <w:szCs w:val="24"/>
        </w:rPr>
        <w:t xml:space="preserve">кве международной выставки-форума «Россия» и проведение на выставке 18 ноября Дня Томской области. На сайте, в официальных сообществах и телеграм-канале Администрации Томской области публиковались новости и посты о выставке и работе стенда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12"/>
        <w:jc w:val="center"/>
        <w:spacing w:after="0" w:line="240" w:lineRule="auto"/>
        <w:rPr>
          <w:rFonts w:ascii="PT Astra Serif" w:hAnsi="PT Astra Serif"/>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PT Astra Serif" w:cs="PT Astra Serif"/>
          <w:b/>
          <w:sz w:val="24"/>
          <w:szCs w:val="24"/>
        </w:rPr>
        <w:t xml:space="preserve">Томская экспозиция, выполненная в концепции произведения выпускника Томского учительского института Александра Волкова «Волшебник Изумрудного города», по оценке посетителей выставки</w:t>
      </w:r>
      <w:r>
        <w:rPr>
          <w:rFonts w:ascii="PT Astra Serif" w:hAnsi="PT Astra Serif" w:eastAsia="PT Astra Serif" w:cs="PT Astra Serif"/>
          <w:b/>
          <w:sz w:val="24"/>
          <w:szCs w:val="24"/>
        </w:rPr>
        <w:t xml:space="preserve">,</w:t>
      </w:r>
      <w:r>
        <w:rPr>
          <w:rFonts w:ascii="PT Astra Serif" w:hAnsi="PT Astra Serif" w:eastAsia="PT Astra Serif" w:cs="PT Astra Serif"/>
          <w:b/>
          <w:sz w:val="24"/>
          <w:szCs w:val="24"/>
        </w:rPr>
        <w:t xml:space="preserve"> вошла в тройку лучших на ВДНХ</w:t>
      </w:r>
      <w:r>
        <w:rPr>
          <w:rFonts w:ascii="PT Astra Serif" w:hAnsi="PT Astra Serif"/>
          <w:sz w:val="24"/>
          <w:szCs w:val="24"/>
        </w:rPr>
      </w:r>
      <w:r>
        <w:rPr>
          <w:rFonts w:ascii="PT Astra Serif" w:hAnsi="PT Astra Serif"/>
          <w:sz w:val="24"/>
          <w:szCs w:val="24"/>
        </w:rPr>
      </w:r>
    </w:p>
    <w:p>
      <w:pPr>
        <w:ind w:firstLine="709"/>
        <w:jc w:val="center"/>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Обеспечено информационное сопровождение и </w:t>
      </w:r>
      <w:r>
        <w:rPr>
          <w:rFonts w:ascii="PT Astra Serif" w:hAnsi="PT Astra Serif"/>
          <w:sz w:val="24"/>
          <w:szCs w:val="24"/>
        </w:rPr>
        <w:t xml:space="preserve">освещение значимых событий и мероприятий: работа делегаций Томской области на Красноярском экономическом форуме и Петербургском международном экономическом форуме, прошедшей в Томске III Центральноазиатской конференции международного дискуссионного клуба «</w:t>
      </w:r>
      <w:r>
        <w:rPr>
          <w:rFonts w:ascii="PT Astra Serif" w:hAnsi="PT Astra Serif"/>
          <w:sz w:val="24"/>
          <w:szCs w:val="24"/>
        </w:rPr>
        <w:t xml:space="preserve">Валдай», Дней славянской письменности и культуры, визита делегации Томской области в Республику Беларусь, международного фестиваля народных ремесел «Праздник топора», международной выставки-форума «Россия», Дней Томской области в Совете Федерации и других.</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Подготовлено 333 публичных выступления Губернатора Томско</w:t>
      </w:r>
      <w:r>
        <w:rPr>
          <w:rFonts w:ascii="PT Astra Serif" w:hAnsi="PT Astra Serif"/>
          <w:sz w:val="24"/>
          <w:szCs w:val="24"/>
        </w:rPr>
        <w:t xml:space="preserve">й области. Обеспечено развитие и сопровождение официального телеграм-канала Губернатора Томской области Владимира Мазура и его страниц в социальных сетях «Одноклассники» и «ВКонтакте», официальных аккаунтов Администрации Томской области в социальных сетях </w:t>
      </w:r>
      <w:r>
        <w:rPr>
          <w:rFonts w:ascii="PT Astra Serif" w:hAnsi="PT Astra Serif"/>
          <w:sz w:val="24"/>
          <w:szCs w:val="24"/>
        </w:rPr>
        <w:t xml:space="preserve">«ВКонтакте» и «Одноклассники», мессенджерах Viber и Telegram. Суммарное количество пользователей, подписанных на аккаунты Губернатора Томской области, превысило 95 тысяч. Число подписчиков официальных пабликов Администрации Томской области за год выросло н</w:t>
      </w:r>
      <w:r>
        <w:rPr>
          <w:rFonts w:ascii="PT Astra Serif" w:hAnsi="PT Astra Serif"/>
          <w:sz w:val="24"/>
          <w:szCs w:val="24"/>
        </w:rPr>
        <w:t xml:space="preserve">а 17 тысяч и превысило 120 тыс.</w:t>
      </w:r>
      <w:r>
        <w:rPr>
          <w:rFonts w:ascii="PT Astra Serif" w:hAnsi="PT Astra Serif"/>
          <w:sz w:val="24"/>
          <w:szCs w:val="24"/>
        </w:rPr>
        <w:t xml:space="preserve"> человек. Контент в сообществах включает эксклюзивные фоторепортажи, видеоролики, текстовые трансляции и прямые эфиры.</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Организовано две </w:t>
      </w:r>
      <w:r>
        <w:rPr>
          <w:rFonts w:ascii="PT Astra Serif" w:hAnsi="PT Astra Serif"/>
          <w:sz w:val="24"/>
          <w:szCs w:val="24"/>
        </w:rPr>
        <w:t xml:space="preserve">прямые линии главы региона: в сентябре — в эфире телеканала «Томское время» и на личных страницах В.В. Мазура в социальных сетях «ВКонтакте» и «Одноклассники»; в декабре — в эф</w:t>
      </w:r>
      <w:r>
        <w:rPr>
          <w:rFonts w:ascii="PT Astra Serif" w:hAnsi="PT Astra Serif"/>
          <w:sz w:val="24"/>
          <w:szCs w:val="24"/>
        </w:rPr>
        <w:t xml:space="preserve">ире ГТРК «Томск» с подключением выездной студии телекомпании из Каргасокского района. Суммарное количество просмотров прямых линий губернатора на всех площадках составило 612 тысяч. Перед прямыми эфирами от жителей региона поступило около 4 тысяч вопросов.</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Совместно с Центром управления регио</w:t>
      </w:r>
      <w:r>
        <w:rPr>
          <w:rFonts w:ascii="PT Astra Serif" w:hAnsi="PT Astra Serif"/>
          <w:sz w:val="24"/>
          <w:szCs w:val="24"/>
        </w:rPr>
        <w:t xml:space="preserve">ном Томской области организовано два семинара-совещания по ведению страниц в социальных сетях для заместителей Губернатора Томской области, руководителей исполнительных органов Томской области и органов местного самоуправления, ответственных специалистов.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Продолжена работа по официальному опубликованию правовых актов. На интернет-портале правовой информации» (www.pr</w:t>
      </w:r>
      <w:r>
        <w:rPr>
          <w:rFonts w:ascii="PT Astra Serif" w:hAnsi="PT Astra Serif"/>
          <w:sz w:val="24"/>
          <w:szCs w:val="24"/>
          <w:lang w:val="en-US"/>
        </w:rPr>
        <w:t xml:space="preserve">a</w:t>
      </w:r>
      <w:r>
        <w:rPr>
          <w:rFonts w:ascii="PT Astra Serif" w:hAnsi="PT Astra Serif"/>
          <w:sz w:val="24"/>
          <w:szCs w:val="24"/>
        </w:rPr>
        <w:t xml:space="preserve">vo.gov.ru) опубликовано 2625 нормативных правовых актов Томской обл</w:t>
      </w:r>
      <w:r>
        <w:rPr>
          <w:rFonts w:ascii="PT Astra Serif" w:hAnsi="PT Astra Serif"/>
          <w:sz w:val="24"/>
          <w:szCs w:val="24"/>
        </w:rPr>
        <w:t xml:space="preserve">асти, в том числе 142 закона. На интернет-портале «Электронная Администрация Томской области» (tomsk.gov.ru) размещено 988 правовых актов и 129 документов иной официальной информации. Обеспечен выпуск сборников «Собрание законодательства Томской области». </w:t>
      </w:r>
      <w:r>
        <w:rPr>
          <w:rFonts w:ascii="PT Astra Serif" w:hAnsi="PT Astra Serif"/>
          <w:sz w:val="24"/>
          <w:szCs w:val="24"/>
        </w:rPr>
      </w:r>
      <w:r>
        <w:rPr>
          <w:rFonts w:ascii="PT Astra Serif" w:hAnsi="PT Astra Serif"/>
          <w:sz w:val="24"/>
          <w:szCs w:val="24"/>
        </w:rPr>
      </w:r>
    </w:p>
    <w:p>
      <w:pPr>
        <w:jc w:val="both"/>
        <w:spacing w:after="0" w:line="240" w:lineRule="auto"/>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both"/>
        <w:spacing w:after="0" w:line="240" w:lineRule="auto"/>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1. Информационное сопровождение </w:t>
      </w:r>
      <w:r>
        <w:rPr>
          <w:rFonts w:ascii="PT Astra Serif" w:hAnsi="PT Astra Serif" w:eastAsia="PT Astra Serif" w:cs="PT Astra Serif"/>
          <w:sz w:val="24"/>
          <w:szCs w:val="24"/>
        </w:rPr>
        <w:t xml:space="preserve">хода исполнения </w:t>
      </w:r>
      <w:r>
        <w:rPr>
          <w:rFonts w:ascii="PT Astra Serif" w:hAnsi="PT Astra Serif"/>
          <w:sz w:val="24"/>
          <w:szCs w:val="24"/>
        </w:rPr>
        <w:t xml:space="preserve">решений и поручений Президента </w:t>
      </w:r>
      <w:r>
        <w:rPr>
          <w:rFonts w:ascii="PT Astra Serif" w:hAnsi="PT Astra Serif"/>
          <w:sz w:val="24"/>
          <w:szCs w:val="24"/>
        </w:rPr>
        <w:t xml:space="preserve">Российской Федерации</w:t>
      </w:r>
      <w:r>
        <w:rPr>
          <w:rFonts w:ascii="PT Astra Serif" w:hAnsi="PT Astra Serif"/>
          <w:sz w:val="24"/>
          <w:szCs w:val="24"/>
        </w:rPr>
        <w:t xml:space="preserve"> и Губернатора Томской области; мероприятий Года семьи, реализации национальных проектов в регионе.</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2. Развитие и продвижение официальных аккаунтов Губернатора Томской области и Администрации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3. Информационная и методическая поддержка СМИ и представителей органов публичной власти, осуществляющих работу в социальных сетях.</w:t>
      </w:r>
      <w:r>
        <w:rPr>
          <w:rFonts w:ascii="PT Astra Serif" w:hAnsi="PT Astra Serif"/>
          <w:sz w:val="24"/>
          <w:szCs w:val="24"/>
        </w:rPr>
      </w:r>
      <w:r>
        <w:rPr>
          <w:rFonts w:ascii="PT Astra Serif" w:hAnsi="PT Astra Serif"/>
          <w:sz w:val="24"/>
          <w:szCs w:val="24"/>
        </w:rPr>
      </w:r>
    </w:p>
    <w:p>
      <w:pPr>
        <w:pStyle w:val="1149"/>
        <w:ind w:firstLine="709"/>
        <w:jc w:val="both"/>
        <w:spacing w:before="0" w:beforeAutospacing="0" w:after="0" w:afterAutospacing="0"/>
        <w:rPr>
          <w:rFonts w:ascii="PT Astra Serif" w:hAnsi="PT Astra Serif"/>
        </w:rPr>
      </w:pPr>
      <w:r>
        <w:rPr>
          <w:rFonts w:ascii="PT Astra Serif" w:hAnsi="PT Astra Serif"/>
        </w:rPr>
      </w:r>
      <w:r>
        <w:rPr>
          <w:rFonts w:ascii="PT Astra Serif" w:hAnsi="PT Astra Serif"/>
        </w:rPr>
      </w:r>
      <w:r>
        <w:rPr>
          <w:rFonts w:ascii="PT Astra Serif" w:hAnsi="PT Astra Serif"/>
        </w:rPr>
      </w:r>
    </w:p>
    <w:p>
      <w:pPr>
        <w:jc w:val="both"/>
        <w:spacing w:after="0" w:line="240" w:lineRule="auto"/>
        <w:shd w:val="clear" w:color="auto" w:fill="eaf1dd" w:themeFill="accent3" w:themeFillTint="33"/>
        <w:rPr>
          <w:rFonts w:ascii="PT Astra Serif" w:hAnsi="PT Astra Serif" w:eastAsia="Calibri"/>
          <w:b/>
          <w:sz w:val="24"/>
          <w:szCs w:val="24"/>
        </w:rPr>
      </w:pPr>
      <w:r>
        <w:rPr>
          <w:rFonts w:ascii="PT Astra Serif" w:hAnsi="PT Astra Serif" w:eastAsia="Calibri"/>
          <w:b/>
          <w:sz w:val="24"/>
          <w:szCs w:val="24"/>
        </w:rPr>
        <w:t xml:space="preserve">Проектная деятельность</w:t>
      </w:r>
      <w:r>
        <w:rPr>
          <w:rFonts w:ascii="PT Astra Serif" w:hAnsi="PT Astra Serif" w:eastAsia="Calibri"/>
          <w:b/>
          <w:sz w:val="24"/>
          <w:szCs w:val="24"/>
        </w:rPr>
      </w:r>
      <w:r>
        <w:rPr>
          <w:rFonts w:ascii="PT Astra Serif" w:hAnsi="PT Astra Serif" w:eastAsia="Calibri"/>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соответствии с Указом Президента Российской Федерации от 07.05.2018 № 204 «О национальных целях и стратегических задачах развития Российской Федерации на период до 2024 года» и Указом Президента Р</w:t>
      </w:r>
      <w:r>
        <w:rPr>
          <w:rFonts w:ascii="PT Astra Serif" w:hAnsi="PT Astra Serif"/>
          <w:sz w:val="24"/>
          <w:szCs w:val="24"/>
        </w:rPr>
        <w:t xml:space="preserve">оссийской </w:t>
      </w:r>
      <w:r>
        <w:rPr>
          <w:rFonts w:ascii="PT Astra Serif" w:hAnsi="PT Astra Serif"/>
          <w:sz w:val="24"/>
          <w:szCs w:val="24"/>
        </w:rPr>
        <w:t xml:space="preserve">Ф</w:t>
      </w:r>
      <w:r>
        <w:rPr>
          <w:rFonts w:ascii="PT Astra Serif" w:hAnsi="PT Astra Serif"/>
          <w:sz w:val="24"/>
          <w:szCs w:val="24"/>
        </w:rPr>
        <w:t xml:space="preserve">едерации</w:t>
      </w:r>
      <w:r>
        <w:rPr>
          <w:rFonts w:ascii="PT Astra Serif" w:hAnsi="PT Astra Serif"/>
          <w:sz w:val="24"/>
          <w:szCs w:val="24"/>
        </w:rPr>
        <w:t xml:space="preserve"> от 21.07.2020 № 474 «О национальных целях развития Российской Федерац</w:t>
      </w:r>
      <w:r>
        <w:rPr>
          <w:rFonts w:ascii="PT Astra Serif" w:hAnsi="PT Astra Serif"/>
          <w:sz w:val="24"/>
          <w:szCs w:val="24"/>
        </w:rPr>
        <w:t xml:space="preserve">ии на период до 2030 года» регион продолжил участвовать в реализации 12 национальных проектов. Исполнительными органами Томской области реализовалось 54 региональных проекта, обеспечивающих достижение целей, показателей и результатов национальных проектов.</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в регионе</w:t>
      </w:r>
      <w:r>
        <w:rPr>
          <w:rFonts w:ascii="PT Astra Serif" w:hAnsi="PT Astra Serif"/>
          <w:sz w:val="24"/>
          <w:szCs w:val="24"/>
        </w:rPr>
        <w:t xml:space="preserve"> разработаны и утверждены два новых региональных проекта «Повышение доступности туристических продуктов в Томской области» и «Развитие туристической инфраструктуры в Томской области» в рамках 13-го национального проекта «Туризм и индустрия гостеприимства».</w:t>
      </w:r>
      <w:r>
        <w:rPr>
          <w:rFonts w:ascii="PT Astra Serif" w:hAnsi="PT Astra Serif"/>
          <w:sz w:val="24"/>
          <w:szCs w:val="24"/>
        </w:rPr>
        <w:t xml:space="preserve"> В 2024 году Томская область приступит к реализации мероприятий 14-го национального проекта </w:t>
      </w:r>
      <w:r>
        <w:rPr>
          <w:rFonts w:ascii="PT Astra Serif" w:hAnsi="PT Astra Serif"/>
          <w:bCs/>
          <w:sz w:val="24"/>
          <w:szCs w:val="24"/>
        </w:rPr>
        <w:t xml:space="preserve">«Беспилотные авиационные системы».</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12"/>
        <w:jc w:val="center"/>
        <w:spacing w:after="0" w:line="240" w:lineRule="auto"/>
        <w:rPr>
          <w:rFonts w:ascii="PT Astra Serif" w:hAnsi="PT Astra Serif" w:eastAsia="PT Astra Serif" w:cs="PT Astra Serif"/>
          <w:b/>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PT Astra Serif" w:cs="PT Astra Serif"/>
          <w:b/>
          <w:sz w:val="24"/>
          <w:szCs w:val="24"/>
        </w:rPr>
        <w:t xml:space="preserve">На исполнение национальных проектов в отчетном году направлено </w:t>
      </w:r>
      <w:r>
        <w:rPr>
          <w:rFonts w:ascii="PT Astra Serif" w:hAnsi="PT Astra Serif" w:eastAsia="PT Astra Serif" w:cs="PT Astra Serif"/>
          <w:b/>
          <w:sz w:val="24"/>
          <w:szCs w:val="24"/>
        </w:rPr>
      </w:r>
      <w:r>
        <w:rPr>
          <w:rFonts w:ascii="PT Astra Serif" w:hAnsi="PT Astra Serif" w:eastAsia="PT Astra Serif" w:cs="PT Astra Serif"/>
          <w:b/>
          <w:sz w:val="24"/>
          <w:szCs w:val="24"/>
        </w:rPr>
      </w:r>
    </w:p>
    <w:p>
      <w:pPr>
        <w:ind w:firstLine="12"/>
        <w:jc w:val="center"/>
        <w:spacing w:after="0" w:line="240" w:lineRule="auto"/>
        <w:rPr>
          <w:rFonts w:ascii="PT Astra Serif" w:hAnsi="PT Astra Serif"/>
          <w:sz w:val="24"/>
          <w:szCs w:val="24"/>
        </w:rPr>
        <w:pBdr>
          <w:top w:val="single" w:color="00B050" w:sz="4" w:space="1"/>
          <w:left w:val="single" w:color="00B050" w:sz="4" w:space="4"/>
          <w:bottom w:val="single" w:color="00B050" w:sz="4" w:space="1"/>
          <w:right w:val="single" w:color="00B050" w:sz="4" w:space="4"/>
        </w:pBdr>
      </w:pPr>
      <w:r>
        <w:rPr>
          <w:rFonts w:ascii="PT Astra Serif" w:hAnsi="PT Astra Serif" w:eastAsia="PT Astra Serif" w:cs="PT Astra Serif"/>
          <w:b/>
          <w:sz w:val="24"/>
          <w:szCs w:val="24"/>
        </w:rPr>
        <w:t xml:space="preserve">16,3 </w:t>
      </w:r>
      <w:r>
        <w:rPr>
          <w:rFonts w:ascii="PT Astra Serif" w:hAnsi="PT Astra Serif" w:eastAsia="PT Astra Serif" w:cs="PT Astra Serif"/>
          <w:b/>
          <w:sz w:val="24"/>
          <w:szCs w:val="24"/>
        </w:rPr>
        <w:t xml:space="preserve">млрд </w:t>
      </w:r>
      <w:r>
        <w:rPr>
          <w:rFonts w:ascii="PT Astra Serif" w:hAnsi="PT Astra Serif" w:eastAsia="PT Astra Serif" w:cs="PT Astra Serif"/>
          <w:b/>
          <w:sz w:val="24"/>
          <w:szCs w:val="24"/>
        </w:rPr>
        <w:t xml:space="preserve">рублей</w:t>
      </w:r>
      <w:r>
        <w:rPr>
          <w:rFonts w:ascii="PT Astra Serif" w:hAnsi="PT Astra Serif"/>
          <w:sz w:val="24"/>
          <w:szCs w:val="24"/>
        </w:rPr>
      </w:r>
      <w:r>
        <w:rPr>
          <w:rFonts w:ascii="PT Astra Serif" w:hAnsi="PT Astra Serif"/>
          <w:sz w:val="24"/>
          <w:szCs w:val="24"/>
        </w:rPr>
      </w:r>
    </w:p>
    <w:p>
      <w:pPr>
        <w:ind w:firstLine="709"/>
        <w:jc w:val="center"/>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Региональным проектным офисом (далее – проектный офис) осуществляется общая координация проектной де</w:t>
      </w:r>
      <w:r>
        <w:rPr>
          <w:rFonts w:ascii="PT Astra Serif" w:hAnsi="PT Astra Serif"/>
          <w:sz w:val="24"/>
          <w:szCs w:val="24"/>
        </w:rPr>
        <w:t xml:space="preserve">ятельности, мониторинг и анализ реализации региональных проектов, межведомственное взаимодействие и методологическое сопровождение проектной деятельности в исполнительных органах Томской области и в структурных подразделениях Администрации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отчетном году фокус внимания направлен на уровень достижен</w:t>
      </w:r>
      <w:r>
        <w:rPr>
          <w:rFonts w:ascii="PT Astra Serif" w:hAnsi="PT Astra Serif"/>
          <w:sz w:val="24"/>
          <w:szCs w:val="24"/>
        </w:rPr>
        <w:t xml:space="preserve">ия основных параметров региональных проектов. Для повышения качества управления реализацией мероприятий проектов используется система мониторинга и анализа нацпроектов ГАС «Управление», что позволяет одновременно мониторить бюджетную составляющую и достиже</w:t>
      </w:r>
      <w:r>
        <w:rPr>
          <w:rFonts w:ascii="PT Astra Serif" w:hAnsi="PT Astra Serif"/>
          <w:sz w:val="24"/>
          <w:szCs w:val="24"/>
        </w:rPr>
        <w:t xml:space="preserve">ние конечных показателей, в том числе</w:t>
      </w:r>
      <w:r>
        <w:rPr>
          <w:rFonts w:ascii="PT Astra Serif" w:hAnsi="PT Astra Serif"/>
          <w:sz w:val="24"/>
          <w:szCs w:val="24"/>
        </w:rPr>
        <w:t xml:space="preserve"> контрольные события. Также проводились выездные мероприятия на объекты капитального строительства, осуществлялось информационное сопровождение региональных проектов (в том числе брендирование результатов в рамках  реализации нацпроектов).</w:t>
      </w:r>
      <w:r>
        <w:rPr>
          <w:rFonts w:ascii="PT Astra Serif" w:hAnsi="PT Astra Serif"/>
          <w:sz w:val="24"/>
          <w:szCs w:val="24"/>
        </w:rPr>
      </w:r>
      <w:r>
        <w:rPr>
          <w:rFonts w:ascii="PT Astra Serif" w:hAnsi="PT Astra Serif"/>
          <w:sz w:val="24"/>
          <w:szCs w:val="24"/>
        </w:rPr>
      </w:r>
    </w:p>
    <w:p>
      <w:pPr>
        <w:pStyle w:val="1149"/>
        <w:ind w:firstLine="709"/>
        <w:jc w:val="both"/>
        <w:spacing w:before="0" w:beforeAutospacing="0" w:after="0" w:afterAutospacing="0"/>
        <w:rPr>
          <w:rFonts w:ascii="PT Astra Serif" w:hAnsi="PT Astra Serif"/>
        </w:rPr>
      </w:pPr>
      <w:r>
        <w:rPr>
          <w:rFonts w:ascii="PT Astra Serif" w:hAnsi="PT Astra Serif"/>
        </w:rPr>
      </w:r>
      <w:r>
        <w:rPr>
          <w:rFonts w:ascii="PT Astra Serif" w:hAnsi="PT Astra Serif"/>
        </w:rPr>
      </w:r>
      <w:r>
        <w:rPr>
          <w:rFonts w:ascii="PT Astra Serif" w:hAnsi="PT Astra Serif"/>
        </w:rPr>
      </w:r>
    </w:p>
    <w:p>
      <w:pPr>
        <w:jc w:val="both"/>
        <w:spacing w:after="0" w:line="240" w:lineRule="auto"/>
        <w:shd w:val="clear" w:color="auto" w:fill="eaf1dd" w:themeFill="accent3" w:themeFillTint="33"/>
        <w:rPr>
          <w:rFonts w:ascii="PT Astra Serif" w:hAnsi="PT Astra Serif"/>
          <w:b/>
          <w:sz w:val="24"/>
          <w:szCs w:val="24"/>
        </w:rPr>
      </w:pPr>
      <w:r>
        <w:rPr>
          <w:rFonts w:ascii="PT Astra Serif" w:hAnsi="PT Astra Serif" w:eastAsia="Calibri"/>
          <w:b/>
          <w:sz w:val="24"/>
          <w:szCs w:val="24"/>
        </w:rPr>
        <w:t xml:space="preserve">Содействие развитию институтов гражданского общества</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целях развития институтов гражданского общества на территории Томской области в 2023 году 22 социально ориентированных некоммерч</w:t>
      </w:r>
      <w:r>
        <w:rPr>
          <w:rFonts w:ascii="PT Astra Serif" w:hAnsi="PT Astra Serif"/>
          <w:sz w:val="24"/>
          <w:szCs w:val="24"/>
        </w:rPr>
        <w:t xml:space="preserve">еских организаций получили субсидии, направленные на поддержку проектов в области науки, образования, просвещения, проектов в области социальной поддержки и социальной защиты людей, проекты в области здравоохранения, профилактики и охраны здоровья граждан,</w:t>
      </w:r>
      <w:r>
        <w:rPr>
          <w:rFonts w:ascii="PT Astra Serif" w:hAnsi="PT Astra Serif"/>
          <w:sz w:val="24"/>
          <w:szCs w:val="24"/>
        </w:rPr>
        <w:t xml:space="preserve"> пропаганды здорового образа жизни, поддержку и развитие способностей и талантов у детей и молодежи и создание условий для воспитания гармонично развитой и социально ответственной личности. Более 60 проектов получили гранты из средств федерального бюджета.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Один из ключевых институтов гражданского общества региона – Общественная палата Томской области, которая ежегодно проводит мероприятия (круглые столы, общественные слушания, публичные обсуждения,</w:t>
      </w:r>
      <w:r>
        <w:rPr>
          <w:rFonts w:ascii="PT Astra Serif" w:hAnsi="PT Astra Serif"/>
          <w:sz w:val="24"/>
          <w:szCs w:val="24"/>
        </w:rPr>
        <w:t xml:space="preserve"> заседания комиссий и совета), посвященные социально значимым проблемам региона. В 2023 году проведено не менее 50 мероприятий. В аппарат Общественной палаты поступило 6 обращений граждан, а также 22 проекта федеральных законов для общественной экспертизы.</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Члены Общественной палаты – руководители крупных организаций с первых дней специальной военной операции направляли гуманитарную и материальную помощь от своих организаций и</w:t>
      </w:r>
      <w:r>
        <w:rPr>
          <w:rFonts w:ascii="PT Astra Serif" w:hAnsi="PT Astra Serif"/>
          <w:sz w:val="24"/>
          <w:szCs w:val="24"/>
        </w:rPr>
        <w:t xml:space="preserve"> коллективов. Другие члены палаты активно участвовали в сборе и доставке гуманитарных грузов, а также проводили мероприятия, посвященные вопросам сохранения памяти, формирования уважения к воевавшим в годы Великой Отечественной войны и в других конфликтах.</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С кон</w:t>
      </w:r>
      <w:r>
        <w:rPr>
          <w:rFonts w:ascii="PT Astra Serif" w:hAnsi="PT Astra Serif"/>
          <w:sz w:val="24"/>
          <w:szCs w:val="24"/>
        </w:rPr>
        <w:t xml:space="preserve">ца 2023 года в Общественной палате организована работа Регионального общественного штаба по наблюдению за выборами Президента Российской Федерации. Задача штаба – подготовка общественных наблюдателей, обеспечение открытости и прозрачности хода голосования.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Члены Общественной палаты принимали участие в работе различных комиссий, рабочих групп, а также входили в состав общественных советов при исполнительных органах Томской области. Общее количество мероприятий с участием членов палаты составило более 150.</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shd w:val="clear" w:color="auto" w:fill="eaf1dd" w:themeFill="accent3" w:themeFillTint="33"/>
        <w:rPr>
          <w:rFonts w:ascii="PT Astra Serif" w:hAnsi="PT Astra Serif" w:eastAsia="Calibri"/>
          <w:b/>
          <w:sz w:val="24"/>
          <w:szCs w:val="24"/>
        </w:rPr>
      </w:pPr>
      <w:r>
        <w:rPr>
          <w:rFonts w:ascii="PT Astra Serif" w:hAnsi="PT Astra Serif" w:eastAsia="Calibri"/>
          <w:b/>
          <w:sz w:val="24"/>
          <w:szCs w:val="24"/>
        </w:rPr>
        <w:t xml:space="preserve">Содействие укреплению межнационального и межконфессионального согласия</w:t>
      </w:r>
      <w:r>
        <w:rPr>
          <w:rFonts w:ascii="PT Astra Serif" w:hAnsi="PT Astra Serif" w:eastAsia="Calibri"/>
          <w:b/>
          <w:sz w:val="24"/>
          <w:szCs w:val="24"/>
        </w:rPr>
      </w:r>
      <w:r>
        <w:rPr>
          <w:rFonts w:ascii="PT Astra Serif" w:hAnsi="PT Astra Serif" w:eastAsia="Calibri"/>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конфликтные ситуации в межконфессиональной и внутриконфессиональной среде, вышедшие в публичную сферу, не зафиксированы.</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Инициативы и действия религиозных организаций и их представителей, неоднозначно воспринимаемые в обществе, в 2023 году не выявлены.</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На системной основе в Томской области</w:t>
      </w:r>
      <w:r>
        <w:rPr>
          <w:rFonts w:ascii="PT Astra Serif" w:hAnsi="PT Astra Serif"/>
          <w:sz w:val="24"/>
          <w:szCs w:val="24"/>
        </w:rPr>
        <w:t xml:space="preserve"> организована оценка ситуации в сфере межнациональных и межконфессиональных отношений с использованием государственной информационной системы мониторинга в сфере межнациональных и межконфессиональных отношений и раннего предупреждения конфликтных ситуаций.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На региональном уровне на контроль выставлено порядка 45 тем постоянного наблюдения, отработано более 300 дайджестов событий. Признаков этноконфессиональных конфликтов не выявлено.</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Полученна</w:t>
      </w:r>
      <w:r>
        <w:rPr>
          <w:rFonts w:ascii="PT Astra Serif" w:hAnsi="PT Astra Serif"/>
          <w:sz w:val="24"/>
          <w:szCs w:val="24"/>
        </w:rPr>
        <w:t xml:space="preserve">я посредством мониторинга информация о вызовах и угрозах в этноконфессиональной сфере после соответствующего анализа и обобщения рассматривается на заседаниях консультативно-совещательных органов по вопросам межнациональных и межконфессиональных отношений.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конце 2023 года подведены результаты социологических исследований на тему «Состояние этноконфессиональных отношений в Томской области», в которых приняли </w:t>
      </w:r>
      <w:r>
        <w:rPr>
          <w:rFonts w:ascii="PT Astra Serif" w:hAnsi="PT Astra Serif"/>
          <w:sz w:val="24"/>
          <w:szCs w:val="24"/>
        </w:rPr>
        <w:t xml:space="preserve">участие </w:t>
      </w:r>
      <w:r>
        <w:rPr>
          <w:rFonts w:ascii="PT Astra Serif" w:hAnsi="PT Astra Serif"/>
          <w:sz w:val="24"/>
          <w:szCs w:val="24"/>
        </w:rPr>
        <w:t xml:space="preserve">более 700 жителей Томской обла</w:t>
      </w:r>
      <w:r>
        <w:rPr>
          <w:rFonts w:ascii="PT Astra Serif" w:hAnsi="PT Astra Serif"/>
          <w:sz w:val="24"/>
          <w:szCs w:val="24"/>
        </w:rPr>
        <w:t xml:space="preserve">сти из 15 муниципальных образований. Доля граждан, положительно или нейтрально оценивающих состояние межнациональных отношений в регионе, составляет 92,1%. Доля граждан, положительно оценивающих состояние межрелигиозных отношений в регионе, составляет 96%.</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состоялось 2 заседания Координационного совета по межнациональным и межрелигиозным отношениям, на которых обсуждались вопросы межнациональных отношений и миграционной политики.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целях недопущения конфликтных ситуаций на межнациональной и межрелигиозной основе с представителями национально-культурных и религиозных объединений организован регулярный диалог, проводятся индивидуальные рабочие встречи и совместные совещания.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Для лидеров национально-культурных объединений Томской области в течение года были организованы рабочие совещания с участием УМВД России по Томской области о разъяснении изменений в миграционном законодательстве и профилактике правонарушений.</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Регулярно оказывается орг</w:t>
      </w:r>
      <w:r>
        <w:rPr>
          <w:rFonts w:ascii="PT Astra Serif" w:hAnsi="PT Astra Serif" w:eastAsia="Calibri"/>
          <w:sz w:val="24"/>
          <w:szCs w:val="24"/>
        </w:rPr>
        <w:t xml:space="preserve">анизационная, методическая, информационная и иная поддержка в проведении мероприятий, приуроченных к государственным праздникам и памятным датам в истории России, а также иным культурно-просветительским, спортивным событиям: «Кирилло-Мефодиевские чтения», </w:t>
      </w:r>
      <w:r>
        <w:rPr>
          <w:rFonts w:ascii="PT Astra Serif" w:hAnsi="PT Astra Serif"/>
          <w:sz w:val="24"/>
          <w:szCs w:val="24"/>
        </w:rPr>
        <w:t xml:space="preserve">Макариевские образовательные чтения</w:t>
      </w:r>
      <w:r>
        <w:rPr>
          <w:rFonts w:ascii="PT Astra Serif" w:hAnsi="PT Astra Serif" w:eastAsia="Calibri"/>
          <w:sz w:val="24"/>
          <w:szCs w:val="24"/>
        </w:rPr>
        <w:t xml:space="preserve">, </w:t>
      </w:r>
      <w:r>
        <w:rPr>
          <w:rFonts w:ascii="PT Astra Serif" w:hAnsi="PT Astra Serif"/>
          <w:sz w:val="24"/>
          <w:szCs w:val="24"/>
        </w:rPr>
        <w:t xml:space="preserve">Форум с международным участием «Сибирь – территория диалога» </w:t>
      </w:r>
      <w:r>
        <w:rPr>
          <w:rFonts w:ascii="PT Astra Serif" w:hAnsi="PT Astra Serif" w:eastAsia="Calibri"/>
          <w:sz w:val="24"/>
          <w:szCs w:val="24"/>
        </w:rPr>
        <w:t xml:space="preserve">и т.д.</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Томской области организовано комплексное информационное сопровождение мероприятий государственной национальной политики: разрабатывались социальные видеоролики, на официальных сайтах исполнительных органов Томской</w:t>
      </w:r>
      <w:r>
        <w:rPr>
          <w:rFonts w:ascii="PT Astra Serif" w:hAnsi="PT Astra Serif"/>
          <w:sz w:val="24"/>
          <w:szCs w:val="24"/>
        </w:rPr>
        <w:t xml:space="preserve"> области размещались пресс-релизы, анонсы мероприятий, изготавливались сюжеты, тематические передачи, проводились пресс-конференции, выпускались статьи в региональных и местных СМИ. За прошедший год подготовлено более 1500 единиц информационных материалов.</w:t>
      </w:r>
      <w:r>
        <w:rPr>
          <w:rFonts w:ascii="PT Astra Serif" w:hAnsi="PT Astra Serif"/>
          <w:sz w:val="24"/>
          <w:szCs w:val="24"/>
        </w:rPr>
      </w:r>
      <w:r>
        <w:rPr>
          <w:rFonts w:ascii="PT Astra Serif" w:hAnsi="PT Astra Serif"/>
          <w:sz w:val="24"/>
          <w:szCs w:val="24"/>
        </w:rPr>
      </w:r>
    </w:p>
    <w:p>
      <w:pPr>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1. Проведение Конкурса по предоставлению субсидий социально ориентированным некоммерческим организациям в рамках собстве</w:t>
      </w:r>
      <w:r>
        <w:rPr>
          <w:rFonts w:ascii="PT Astra Serif" w:hAnsi="PT Astra Serif"/>
          <w:sz w:val="24"/>
          <w:szCs w:val="24"/>
        </w:rPr>
        <w:t xml:space="preserve">нных средств в размере 12,7 млн</w:t>
      </w:r>
      <w:r>
        <w:rPr>
          <w:rFonts w:ascii="PT Astra Serif" w:hAnsi="PT Astra Serif"/>
          <w:sz w:val="24"/>
          <w:szCs w:val="24"/>
        </w:rPr>
        <w:t xml:space="preserve"> рублей и предоставленного гранта Президента Российской Федерации в размере 12,7 млн рублей на развитие гражданского общества.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2. Сохранение положительной динамики развития этноконфессиональных отношений на территории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3. Проведение мероприятий, направленных на укрепление единства российской нации и социокультурную адаптацию иностранных граждан на территории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4. Поддержка экономического и социального развития коренных малочисленных народов Севера, Сибири и Дальнего Востока Российской Федерации, проживающих на территории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5. Проведение мероприятий</w:t>
      </w:r>
      <w:r>
        <w:rPr>
          <w:rFonts w:ascii="PT Astra Serif" w:hAnsi="PT Astra Serif"/>
          <w:sz w:val="24"/>
          <w:szCs w:val="24"/>
        </w:rPr>
        <w:t xml:space="preserve">,</w:t>
      </w:r>
      <w:r>
        <w:rPr>
          <w:rFonts w:ascii="PT Astra Serif" w:hAnsi="PT Astra Serif"/>
          <w:sz w:val="24"/>
          <w:szCs w:val="24"/>
        </w:rPr>
        <w:t xml:space="preserve"> направленных на развитие российского казачества на территории Томской области.</w:t>
      </w:r>
      <w:r>
        <w:rPr>
          <w:rFonts w:ascii="PT Astra Serif" w:hAnsi="PT Astra Serif"/>
          <w:sz w:val="24"/>
          <w:szCs w:val="24"/>
        </w:rPr>
      </w:r>
      <w:r>
        <w:rPr>
          <w:rFonts w:ascii="PT Astra Serif" w:hAnsi="PT Astra Serif"/>
          <w:sz w:val="24"/>
          <w:szCs w:val="24"/>
        </w:rPr>
      </w:r>
    </w:p>
    <w:p>
      <w:pPr>
        <w:pStyle w:val="1149"/>
        <w:ind w:firstLine="709"/>
        <w:jc w:val="both"/>
        <w:spacing w:before="0" w:beforeAutospacing="0" w:after="0" w:afterAutospacing="0"/>
        <w:rPr>
          <w:rFonts w:ascii="PT Astra Serif" w:hAnsi="PT Astra Serif"/>
        </w:rPr>
      </w:pPr>
      <w:r>
        <w:rPr>
          <w:rFonts w:ascii="PT Astra Serif" w:hAnsi="PT Astra Serif"/>
        </w:rPr>
      </w:r>
      <w:r>
        <w:rPr>
          <w:rFonts w:ascii="PT Astra Serif" w:hAnsi="PT Astra Serif"/>
        </w:rPr>
      </w:r>
      <w:r>
        <w:rPr>
          <w:rFonts w:ascii="PT Astra Serif" w:hAnsi="PT Astra Serif"/>
        </w:rPr>
      </w:r>
    </w:p>
    <w:p>
      <w:pPr>
        <w:spacing w:after="0" w:line="240" w:lineRule="auto"/>
        <w:shd w:val="clear" w:color="auto" w:fill="eaf1dd" w:themeFill="accent3" w:themeFillTint="33"/>
        <w:tabs>
          <w:tab w:val="left" w:pos="0" w:leader="none"/>
        </w:tabs>
        <w:rPr>
          <w:rFonts w:ascii="PT Astra Serif" w:hAnsi="PT Astra Serif" w:eastAsia="Times New Roman"/>
          <w:b/>
          <w:sz w:val="24"/>
          <w:szCs w:val="24"/>
        </w:rPr>
      </w:pPr>
      <w:r>
        <w:rPr>
          <w:rFonts w:ascii="PT Astra Serif" w:hAnsi="PT Astra Serif"/>
          <w:b/>
          <w:sz w:val="24"/>
          <w:szCs w:val="24"/>
        </w:rPr>
        <w:t xml:space="preserve">Развитие правовой грамотности населения</w:t>
      </w:r>
      <w:r>
        <w:rPr>
          <w:rFonts w:ascii="PT Astra Serif" w:hAnsi="PT Astra Serif" w:eastAsia="Times New Roman"/>
          <w:b/>
          <w:sz w:val="24"/>
          <w:szCs w:val="24"/>
        </w:rPr>
      </w:r>
      <w:r>
        <w:rPr>
          <w:rFonts w:ascii="PT Astra Serif" w:hAnsi="PT Astra Serif" w:eastAsia="Times New Roman"/>
          <w:b/>
          <w:sz w:val="24"/>
          <w:szCs w:val="24"/>
        </w:rPr>
      </w:r>
    </w:p>
    <w:p>
      <w:pPr>
        <w:pStyle w:val="1165"/>
        <w:ind w:firstLine="709"/>
        <w:jc w:val="both"/>
        <w:rPr>
          <w:color w:val="auto"/>
        </w:rPr>
      </w:pPr>
      <w:r>
        <w:rPr>
          <w:color w:val="auto"/>
        </w:rPr>
        <w:t xml:space="preserve">В целях повышения правовой грамотности населения на территории Томской области на официальном сайте Администрации Томской области в </w:t>
      </w:r>
      <w:r>
        <w:rPr>
          <w:rFonts w:eastAsia="Times New Roman"/>
        </w:rPr>
        <w:t xml:space="preserve">сети Интернет</w:t>
      </w:r>
      <w:r>
        <w:rPr>
          <w:color w:val="auto"/>
        </w:rPr>
        <w:t xml:space="preserve"> https://www.tomsk.gov.ru, а также на сайте Областного государственного казенного учреждения «Государственное юридическое бюро по Томской области» </w:t>
      </w:r>
      <w:r>
        <w:rPr>
          <w:color w:val="auto"/>
        </w:rPr>
        <w:t xml:space="preserve">в </w:t>
      </w:r>
      <w:r>
        <w:rPr>
          <w:color w:val="auto"/>
        </w:rPr>
        <w:t xml:space="preserve">сети Интернет</w:t>
      </w:r>
      <w:r>
        <w:rPr>
          <w:color w:val="auto"/>
        </w:rPr>
        <w:t xml:space="preserve"> http://гюбто.рф размещается соответствующая информация. </w:t>
      </w:r>
      <w:r>
        <w:rPr>
          <w:color w:val="auto"/>
        </w:rPr>
      </w:r>
      <w:r>
        <w:rPr>
          <w:color w:val="auto"/>
        </w:rPr>
      </w:r>
    </w:p>
    <w:p>
      <w:pPr>
        <w:pStyle w:val="1165"/>
        <w:ind w:firstLine="709"/>
        <w:jc w:val="both"/>
        <w:rPr>
          <w:color w:val="auto"/>
        </w:rPr>
      </w:pPr>
      <w:r>
        <w:rPr>
          <w:color w:val="auto"/>
        </w:rPr>
        <w:t xml:space="preserve">По телефону </w:t>
      </w:r>
      <w:r>
        <w:rPr>
          <w:color w:val="auto"/>
        </w:rPr>
        <w:t xml:space="preserve">горячей линии оказываются консультации по правовым вопросам</w:t>
      </w:r>
      <w:r>
        <w:rPr>
          <w:color w:val="auto"/>
        </w:rPr>
        <w:t xml:space="preserve"> для граждан. Также </w:t>
      </w:r>
      <w:r>
        <w:rPr>
          <w:color w:val="auto"/>
        </w:rPr>
        <w:t xml:space="preserve">горячие линии для населения созданы в отдельных исполнительных органах Томской области и Областном государственном казенном учреждении «Государственное юридическое бюро по Томской области». </w:t>
      </w:r>
      <w:r>
        <w:rPr>
          <w:color w:val="auto"/>
        </w:rPr>
      </w:r>
      <w:r>
        <w:rPr>
          <w:color w:val="auto"/>
        </w:rPr>
      </w:r>
    </w:p>
    <w:p>
      <w:pPr>
        <w:pStyle w:val="1165"/>
        <w:ind w:firstLine="709"/>
        <w:jc w:val="both"/>
        <w:rPr>
          <w:color w:val="auto"/>
        </w:rPr>
      </w:pPr>
      <w:r>
        <w:rPr>
          <w:color w:val="auto"/>
        </w:rPr>
        <w:t xml:space="preserve">На базе ТОУНБ им. А.С. Пушкина проведено 4 лекции для населения по актуальным правовым вопросам: </w:t>
      </w:r>
      <w:r>
        <w:rPr>
          <w:color w:val="auto"/>
        </w:rPr>
      </w:r>
      <w:r>
        <w:rPr>
          <w:color w:val="auto"/>
        </w:rPr>
      </w:r>
    </w:p>
    <w:p>
      <w:pPr>
        <w:pStyle w:val="1165"/>
        <w:ind w:firstLine="709"/>
        <w:jc w:val="both"/>
        <w:rPr>
          <w:color w:val="auto"/>
        </w:rPr>
      </w:pPr>
      <w:r>
        <w:rPr>
          <w:rFonts w:eastAsia="Calibri"/>
        </w:rPr>
        <w:t xml:space="preserve">–</w:t>
      </w:r>
      <w:r>
        <w:rPr>
          <w:color w:val="auto"/>
        </w:rPr>
        <w:t xml:space="preserve"> «Защита прав потребителей» (с приглашением в качестве докладчиков представителей Управления Роспотребнадзора по Томской области); </w:t>
      </w:r>
      <w:r>
        <w:rPr>
          <w:color w:val="auto"/>
        </w:rPr>
      </w:r>
      <w:r>
        <w:rPr>
          <w:color w:val="auto"/>
        </w:rPr>
      </w:r>
    </w:p>
    <w:p>
      <w:pPr>
        <w:pStyle w:val="1165"/>
        <w:ind w:firstLine="709"/>
        <w:jc w:val="both"/>
        <w:rPr>
          <w:color w:val="auto"/>
        </w:rPr>
      </w:pPr>
      <w:r>
        <w:rPr>
          <w:rFonts w:eastAsia="Calibri"/>
        </w:rPr>
        <w:t xml:space="preserve">–</w:t>
      </w:r>
      <w:r>
        <w:rPr>
          <w:color w:val="auto"/>
        </w:rPr>
        <w:t xml:space="preserve"> «Наследование» (с приглашением нотариуса Томской областной нотариальной палаты); </w:t>
      </w:r>
      <w:r>
        <w:rPr>
          <w:color w:val="auto"/>
        </w:rPr>
      </w:r>
      <w:r>
        <w:rPr>
          <w:color w:val="auto"/>
        </w:rPr>
      </w:r>
    </w:p>
    <w:p>
      <w:pPr>
        <w:pStyle w:val="1165"/>
        <w:ind w:firstLine="709"/>
        <w:jc w:val="both"/>
        <w:rPr>
          <w:color w:val="auto"/>
        </w:rPr>
      </w:pPr>
      <w:r>
        <w:rPr>
          <w:rFonts w:eastAsia="Calibri"/>
        </w:rPr>
        <w:t xml:space="preserve">–</w:t>
      </w:r>
      <w:r>
        <w:rPr>
          <w:color w:val="auto"/>
        </w:rPr>
        <w:t xml:space="preserve"> «Вакцинация» (с приглашением внештатного специалиста по инфекционным болезням Департамента здравоохранения Томской области); </w:t>
      </w:r>
      <w:r>
        <w:rPr>
          <w:color w:val="auto"/>
        </w:rPr>
      </w:r>
      <w:r>
        <w:rPr>
          <w:color w:val="auto"/>
        </w:rPr>
      </w:r>
    </w:p>
    <w:p>
      <w:pPr>
        <w:pStyle w:val="1165"/>
        <w:ind w:firstLine="709"/>
        <w:jc w:val="both"/>
        <w:rPr>
          <w:color w:val="auto"/>
        </w:rPr>
      </w:pPr>
      <w:r>
        <w:rPr>
          <w:rFonts w:eastAsia="Calibri"/>
        </w:rPr>
        <w:t xml:space="preserve">–</w:t>
      </w:r>
      <w:r>
        <w:rPr>
          <w:color w:val="auto"/>
        </w:rPr>
        <w:t xml:space="preserve"> «Актуальные вопросы пенсионного законодательства. Финансовые мошенничества» (с приглашением сотрудника ОСФР по Томской области и эксперта Отделения Томск Банка России). </w:t>
      </w:r>
      <w:r>
        <w:rPr>
          <w:color w:val="auto"/>
        </w:rPr>
      </w:r>
      <w:r>
        <w:rPr>
          <w:color w:val="auto"/>
        </w:rPr>
      </w:r>
    </w:p>
    <w:p>
      <w:pPr>
        <w:pStyle w:val="1165"/>
        <w:ind w:firstLine="709"/>
        <w:jc w:val="both"/>
        <w:rPr>
          <w:color w:val="auto"/>
        </w:rPr>
      </w:pPr>
      <w:r>
        <w:rPr>
          <w:color w:val="auto"/>
        </w:rPr>
        <w:t xml:space="preserve">Указанные лекции транслируются в режиме видеоконференции в муниципальные образования Томской области. </w:t>
      </w:r>
      <w:r>
        <w:rPr>
          <w:color w:val="auto"/>
        </w:rPr>
      </w:r>
      <w:r>
        <w:rPr>
          <w:color w:val="auto"/>
        </w:rPr>
      </w:r>
    </w:p>
    <w:p>
      <w:pPr>
        <w:pStyle w:val="1149"/>
        <w:ind w:firstLine="709"/>
        <w:jc w:val="both"/>
        <w:spacing w:before="0" w:beforeAutospacing="0" w:after="0" w:afterAutospacing="0"/>
        <w:rPr>
          <w:rFonts w:ascii="PT Astra Serif" w:hAnsi="PT Astra Serif"/>
        </w:rPr>
      </w:pPr>
      <w:r>
        <w:rPr>
          <w:rFonts w:ascii="PT Astra Serif" w:hAnsi="PT Astra Serif"/>
        </w:rPr>
      </w:r>
      <w:r>
        <w:rPr>
          <w:rFonts w:ascii="PT Astra Serif" w:hAnsi="PT Astra Serif"/>
        </w:rPr>
      </w:r>
      <w:r>
        <w:rPr>
          <w:rFonts w:ascii="PT Astra Serif" w:hAnsi="PT Astra Serif"/>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Перспективная задача:</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49"/>
        <w:ind w:firstLine="709"/>
        <w:jc w:val="both"/>
        <w:spacing w:before="0" w:beforeAutospacing="0" w:after="0" w:afterAutospacing="0"/>
        <w:rPr>
          <w:rFonts w:ascii="PT Astra Serif" w:hAnsi="PT Astra Serif"/>
        </w:rPr>
      </w:pPr>
      <w:r>
        <w:rPr>
          <w:rFonts w:ascii="PT Astra Serif" w:hAnsi="PT Astra Serif"/>
        </w:rPr>
        <w:t xml:space="preserve">Проведение мероприятий (в том числе лекционных), направленных на правовое просвещение населения Томской области.</w:t>
      </w:r>
      <w:r>
        <w:rPr>
          <w:rFonts w:ascii="PT Astra Serif" w:hAnsi="PT Astra Serif"/>
        </w:rPr>
      </w:r>
      <w:r>
        <w:rPr>
          <w:rFonts w:ascii="PT Astra Serif" w:hAnsi="PT Astra Serif"/>
        </w:rPr>
      </w:r>
    </w:p>
    <w:p>
      <w:pPr>
        <w:pStyle w:val="1149"/>
        <w:ind w:firstLine="709"/>
        <w:jc w:val="both"/>
        <w:spacing w:before="0" w:beforeAutospacing="0" w:after="0" w:afterAutospacing="0"/>
        <w:rPr>
          <w:rFonts w:ascii="PT Astra Serif" w:hAnsi="PT Astra Serif"/>
        </w:rPr>
      </w:pPr>
      <w:r>
        <w:rPr>
          <w:rFonts w:ascii="PT Astra Serif" w:hAnsi="PT Astra Serif"/>
        </w:rPr>
      </w:r>
      <w:r>
        <w:rPr>
          <w:rFonts w:ascii="PT Astra Serif" w:hAnsi="PT Astra Serif"/>
        </w:rPr>
      </w:r>
      <w:r>
        <w:rPr>
          <w:rFonts w:ascii="PT Astra Serif" w:hAnsi="PT Astra Serif"/>
        </w:rPr>
      </w:r>
    </w:p>
    <w:p>
      <w:pPr>
        <w:jc w:val="both"/>
        <w:spacing w:after="0" w:line="240" w:lineRule="auto"/>
        <w:shd w:val="clear" w:color="auto" w:fill="eaf1dd" w:themeFill="accent3" w:themeFillTint="33"/>
        <w:rPr>
          <w:rFonts w:ascii="PT Astra Serif" w:hAnsi="PT Astra Serif"/>
          <w:b/>
          <w:sz w:val="24"/>
          <w:szCs w:val="24"/>
        </w:rPr>
      </w:pPr>
      <w:r>
        <w:rPr>
          <w:rFonts w:ascii="PT Astra Serif" w:hAnsi="PT Astra Serif"/>
          <w:b/>
          <w:sz w:val="24"/>
          <w:szCs w:val="24"/>
        </w:rPr>
        <w:t xml:space="preserve">Муниципальное управление</w:t>
      </w:r>
      <w:r>
        <w:rPr>
          <w:rFonts w:ascii="PT Astra Serif" w:hAnsi="PT Astra Serif"/>
          <w:b/>
          <w:sz w:val="24"/>
          <w:szCs w:val="24"/>
        </w:rPr>
      </w:r>
      <w:r>
        <w:rPr>
          <w:rFonts w:ascii="PT Astra Serif" w:hAnsi="PT Astra Serif"/>
          <w:b/>
          <w:sz w:val="24"/>
          <w:szCs w:val="24"/>
        </w:rPr>
      </w:r>
    </w:p>
    <w:p>
      <w:pPr>
        <w:ind w:firstLine="567"/>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Одним из основных критериев оценки населением эффективности деятел</w:t>
      </w:r>
      <w:r>
        <w:rPr>
          <w:rFonts w:ascii="PT Astra Serif" w:hAnsi="PT Astra Serif" w:eastAsia="PT Astra Serif" w:cs="PT Astra Serif"/>
          <w:sz w:val="24"/>
          <w:szCs w:val="24"/>
        </w:rPr>
        <w:t xml:space="preserve">ьности органов местного самоуправления является мнение граждан, их удовлетворенность различными аспектами деятельности должностных лиц муниципальных образований Томской области. Оценка населением деятельности органов местного самоуправления формируется из </w:t>
      </w:r>
      <w:r>
        <w:rPr>
          <w:rFonts w:ascii="PT Astra Serif" w:hAnsi="PT Astra Serif" w:eastAsia="PT Astra Serif" w:cs="PT Astra Serif"/>
          <w:sz w:val="24"/>
          <w:szCs w:val="24"/>
        </w:rPr>
        <w:t xml:space="preserve">оценки качества предоставляемых муниципальных услуг в различных сферах (образование, создание условий для занятия физической культурой и спортом, оказание жилищно-коммунальных услуг и пр.), а также из оценки деятельности руководителя исполнительной власти.</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567"/>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По результатам проведенного в 2023 году социологического исследования</w:t>
      </w: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t xml:space="preserve"> среднеобластной уровень удовлетворенности населения деятельностью органов местного самоуправления муниципальных образований Томской области составил 45,59% от количества опрошенных респондентов, что выше уровня 2022 года на 3,68 процентного пункта.</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567"/>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Удовлетворенность</w:t>
      </w:r>
      <w:r>
        <w:rPr>
          <w:rFonts w:ascii="PT Astra Serif" w:hAnsi="PT Astra Serif" w:eastAsia="Calibri"/>
          <w:sz w:val="24"/>
          <w:szCs w:val="24"/>
        </w:rPr>
        <w:t xml:space="preserve"> </w:t>
      </w:r>
      <w:r>
        <w:rPr>
          <w:rFonts w:ascii="PT Astra Serif" w:hAnsi="PT Astra Serif" w:eastAsia="PT Astra Serif" w:cs="PT Astra Serif"/>
          <w:sz w:val="24"/>
          <w:szCs w:val="24"/>
        </w:rPr>
        <w:t xml:space="preserve">населения деятельностью органов местного самоуправления муниципальных образований Томской области последние пять лет остается на уровне от 40% до 45%.</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567"/>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jc w:val="center"/>
        <w:spacing w:after="0" w:line="240" w:lineRule="auto"/>
        <w:rPr>
          <w:rFonts w:ascii="PT Astra Serif" w:hAnsi="PT Astra Serif" w:eastAsia="PT Astra Serif" w:cs="PT Astra Serif"/>
          <w:sz w:val="24"/>
          <w:szCs w:val="24"/>
        </w:rPr>
      </w:pPr>
      <w:r>
        <w:rPr>
          <w:rFonts w:ascii="PT Astra Serif" w:hAnsi="PT Astra Serif" w:eastAsia="Calibri"/>
          <w:sz w:val="24"/>
          <w:szCs w:val="24"/>
          <w:lang w:eastAsia="ru-RU"/>
        </w:rPr>
        <mc:AlternateContent>
          <mc:Choice Requires="wpg">
            <w:drawing>
              <wp:inline xmlns:wp="http://schemas.openxmlformats.org/drawingml/2006/wordprocessingDrawing" distT="0" distB="0" distL="0" distR="0">
                <wp:extent cx="5177790" cy="1733550"/>
                <wp:effectExtent l="0" t="0" r="3810" b="0"/>
                <wp:docPr id="53" name="Рисунок 31"/>
                <wp:cNvGraphicFramePr/>
                <a:graphic xmlns:a="http://schemas.openxmlformats.org/drawingml/2006/main">
                  <a:graphicData uri="http://schemas.openxmlformats.org/drawingml/2006/picture">
                    <pic:pic xmlns:pic="http://schemas.openxmlformats.org/drawingml/2006/picture">
                      <pic:nvPicPr>
                        <pic:cNvPr id="0" name="Диаграмма 23"/>
                        <pic:cNvPicPr>
                          <a:picLocks noChangeArrowheads="1"/>
                        </pic:cNvPicPr>
                        <pic:nvPr/>
                      </pic:nvPicPr>
                      <pic:blipFill>
                        <a:blip r:embed="rId51"/>
                        <a:stretch/>
                      </pic:blipFill>
                      <pic:spPr bwMode="auto">
                        <a:xfrm>
                          <a:off x="0" y="0"/>
                          <a:ext cx="5177789" cy="173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07.70pt;height:136.50pt;mso-wrap-distance-left:0.00pt;mso-wrap-distance-top:0.00pt;mso-wrap-distance-right:0.00pt;mso-wrap-distance-bottom:0.00pt;" stroked="f">
                <v:path textboxrect="0,0,0,0"/>
                <v:imagedata r:id="rId51" o:title=""/>
              </v:shape>
            </w:pict>
          </mc:Fallback>
        </mc:AlternateConten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567"/>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jc w:val="center"/>
        <w:spacing w:after="0" w:line="240" w:lineRule="auto"/>
        <w:rPr>
          <w:rStyle w:val="1164"/>
          <w:rFonts w:ascii="PT Astra Serif" w:hAnsi="PT Astra Serif"/>
          <w:sz w:val="24"/>
          <w:szCs w:val="24"/>
        </w:rPr>
      </w:pPr>
      <w:r>
        <w:rPr>
          <w:rStyle w:val="1164"/>
          <w:rFonts w:ascii="PT Astra Serif" w:hAnsi="PT Astra Serif"/>
          <w:sz w:val="24"/>
          <w:szCs w:val="24"/>
        </w:rPr>
        <w:t xml:space="preserve">Рисунок 1</w:t>
      </w:r>
      <w:r>
        <w:rPr>
          <w:rStyle w:val="1164"/>
          <w:rFonts w:ascii="PT Astra Serif" w:hAnsi="PT Astra Serif"/>
          <w:sz w:val="24"/>
          <w:szCs w:val="24"/>
        </w:rPr>
        <w:t xml:space="preserve">5</w:t>
      </w:r>
      <w:r>
        <w:rPr>
          <w:rStyle w:val="1164"/>
          <w:rFonts w:ascii="PT Astra Serif" w:hAnsi="PT Astra Serif"/>
          <w:sz w:val="24"/>
          <w:szCs w:val="24"/>
        </w:rPr>
        <w:t xml:space="preserve"> – Динамика показателя «Удовлетворенность населения деятельностью органов местного самоуправления муниципальных образований Томской области»</w:t>
      </w:r>
      <w:r>
        <w:rPr>
          <w:rStyle w:val="1164"/>
          <w:rFonts w:ascii="PT Astra Serif" w:hAnsi="PT Astra Serif"/>
          <w:sz w:val="24"/>
          <w:szCs w:val="24"/>
        </w:rPr>
        <w:br/>
        <w:t xml:space="preserve">за 2019 - 2023 годы</w:t>
      </w:r>
      <w:r>
        <w:rPr>
          <w:rStyle w:val="1164"/>
          <w:rFonts w:ascii="PT Astra Serif" w:hAnsi="PT Astra Serif"/>
          <w:sz w:val="24"/>
          <w:szCs w:val="24"/>
        </w:rPr>
      </w:r>
      <w:r>
        <w:rPr>
          <w:rStyle w:val="1164"/>
          <w:rFonts w:ascii="PT Astra Serif" w:hAnsi="PT Astra Serif"/>
          <w:sz w:val="24"/>
          <w:szCs w:val="24"/>
        </w:rPr>
      </w:r>
    </w:p>
    <w:p>
      <w:pPr>
        <w:ind w:firstLine="567"/>
        <w:jc w:val="both"/>
        <w:spacing w:after="0" w:line="240" w:lineRule="auto"/>
        <w:rPr>
          <w:rFonts w:ascii="PT Astra Serif" w:hAnsi="PT Astra Serif" w:eastAsia="PT Astra Serif" w:cs="PT Astra Serif"/>
          <w:sz w:val="24"/>
          <w:szCs w:val="24"/>
        </w:rPr>
      </w:pPr>
      <w:r>
        <w:rPr>
          <w:rStyle w:val="1164"/>
          <w:rFonts w:ascii="PT Astra Serif" w:hAnsi="PT Astra Serif"/>
          <w:sz w:val="24"/>
          <w:szCs w:val="24"/>
        </w:rPr>
        <w:t xml:space="preserve">Относительная стабильность </w:t>
      </w:r>
      <w:r>
        <w:rPr>
          <w:rFonts w:ascii="PT Astra Serif" w:hAnsi="PT Astra Serif" w:eastAsia="PT Astra Serif" w:cs="PT Astra Serif"/>
          <w:sz w:val="24"/>
          <w:szCs w:val="24"/>
        </w:rPr>
        <w:t xml:space="preserve">и удержание показателя на уровне 40 и более процентов обусловлено прежде всего достижением конкретных результатов совместной </w:t>
      </w:r>
      <w:r>
        <w:rPr>
          <w:rFonts w:ascii="PT Astra Serif" w:hAnsi="PT Astra Serif" w:eastAsia="PT Astra Serif" w:cs="PT Astra Serif"/>
          <w:sz w:val="24"/>
          <w:szCs w:val="24"/>
        </w:rPr>
        <w:t xml:space="preserve">работы </w:t>
      </w:r>
      <w:r>
        <w:rPr>
          <w:rFonts w:ascii="PT Astra Serif" w:hAnsi="PT Astra Serif" w:eastAsia="PT Astra Serif" w:cs="PT Astra Serif"/>
          <w:sz w:val="24"/>
          <w:szCs w:val="24"/>
        </w:rPr>
        <w:t xml:space="preserve">исполнительных органов Томской области и органов местного самоуправления. </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567"/>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Следует отметить значительное улучшение качества жизни населения муниципаль</w:t>
      </w:r>
      <w:r>
        <w:rPr>
          <w:rFonts w:ascii="PT Astra Serif" w:hAnsi="PT Astra Serif" w:eastAsia="PT Astra Serif" w:cs="PT Astra Serif"/>
          <w:sz w:val="24"/>
          <w:szCs w:val="24"/>
        </w:rPr>
        <w:t xml:space="preserve">ных образований во всех сферах, в том числе в сфере образования, в сфере организации физической культуры и спорта, в культурной жизни, ЖКХ, транспорта и пр. Созданы условия, обеспечивающие благоприятные возможности для становления и развития субъектов МСП.</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567"/>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2022</w:t>
      </w:r>
      <w:r>
        <w:rPr>
          <w:rFonts w:ascii="PT Astra Serif" w:hAnsi="PT Astra Serif" w:eastAsia="PT Astra Serif" w:cs="PT Astra Serif"/>
          <w:sz w:val="24"/>
          <w:szCs w:val="24"/>
        </w:rPr>
        <w:t xml:space="preserve"> </w:t>
      </w:r>
      <w:r>
        <w:rPr>
          <w:rFonts w:ascii="PT Astra Serif" w:hAnsi="PT Astra Serif" w:eastAsia="Calibri"/>
          <w:sz w:val="24"/>
          <w:szCs w:val="24"/>
        </w:rPr>
        <w:t xml:space="preserve">– </w:t>
      </w:r>
      <w:r>
        <w:rPr>
          <w:rFonts w:ascii="PT Astra Serif" w:hAnsi="PT Astra Serif" w:eastAsia="PT Astra Serif" w:cs="PT Astra Serif"/>
          <w:sz w:val="24"/>
          <w:szCs w:val="24"/>
        </w:rPr>
        <w:t xml:space="preserve">2023 годах многие показатели, характеризующие социально-эконмическое развитие муниципальных образований, дос</w:t>
      </w:r>
      <w:r>
        <w:rPr>
          <w:rFonts w:ascii="PT Astra Serif" w:hAnsi="PT Astra Serif" w:eastAsia="PT Astra Serif" w:cs="PT Astra Serif"/>
          <w:sz w:val="24"/>
          <w:szCs w:val="24"/>
        </w:rPr>
        <w:t xml:space="preserve">тигли «доковидного» уровня, также наблюдается рост значений ряда показателей. В 2023 году исполнительными органами Томской области и органами местного самоуправления оказаны существенные меры поддержки гражданам, призванным в рамках частичной мобилизации, </w:t>
      </w:r>
      <w:r>
        <w:rPr>
          <w:rFonts w:ascii="PT Astra Serif" w:hAnsi="PT Astra Serif" w:eastAsia="PT Astra Serif" w:cs="PT Astra Serif"/>
          <w:sz w:val="24"/>
          <w:szCs w:val="24"/>
        </w:rPr>
        <w:br/>
      </w:r>
      <w:r>
        <w:rPr>
          <w:rFonts w:ascii="PT Astra Serif" w:hAnsi="PT Astra Serif" w:eastAsia="PT Astra Serif" w:cs="PT Astra Serif"/>
          <w:sz w:val="24"/>
          <w:szCs w:val="24"/>
        </w:rPr>
        <w:t xml:space="preserve">военнослужащим </w:t>
      </w: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участникам СВО на Украине, а также членам их семей. Все это так или иначе оказало влияние на результаты социологического исследования. </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567"/>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Благодаря слаженной совместной работе исполнительн</w:t>
      </w:r>
      <w:r>
        <w:rPr>
          <w:rFonts w:ascii="PT Astra Serif" w:hAnsi="PT Astra Serif" w:eastAsia="PT Astra Serif" w:cs="PT Astra Serif"/>
          <w:sz w:val="24"/>
          <w:szCs w:val="24"/>
        </w:rPr>
        <w:t xml:space="preserve">ых</w:t>
      </w:r>
      <w:r>
        <w:rPr>
          <w:rFonts w:ascii="PT Astra Serif" w:hAnsi="PT Astra Serif" w:eastAsia="PT Astra Serif" w:cs="PT Astra Serif"/>
          <w:sz w:val="24"/>
          <w:szCs w:val="24"/>
        </w:rPr>
        <w:t xml:space="preserve"> органов Томской области и органов местного самоуправления наблюдается положительная динамика и в ситуации, связанной с удовлетворенностью качеством предоставления муниципальных услуг среди жителей Томской области.</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567"/>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По результатам проведенного в 2023 году социологического исследования среднеобластной уровень удовлетворенности населения</w:t>
      </w:r>
      <w:r>
        <w:rPr>
          <w:rFonts w:ascii="PT Astra Serif" w:hAnsi="PT Astra Serif" w:eastAsia="Calibri"/>
          <w:sz w:val="24"/>
          <w:szCs w:val="24"/>
        </w:rPr>
        <w:t xml:space="preserve"> </w:t>
      </w:r>
      <w:r>
        <w:rPr>
          <w:rFonts w:ascii="PT Astra Serif" w:hAnsi="PT Astra Serif" w:eastAsia="PT Astra Serif" w:cs="PT Astra Serif"/>
          <w:sz w:val="24"/>
          <w:szCs w:val="24"/>
        </w:rPr>
        <w:t xml:space="preserve">качеством предоставления муниципальных услуг составил 46,32% от количества опрошенных респондентов, что на 2,73 процентного пункта выше уровня 2022 года, показатель практически достиг уровня 2019 года.</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567"/>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jc w:val="center"/>
        <w:spacing w:after="0" w:line="240" w:lineRule="auto"/>
        <w:rPr>
          <w:rFonts w:ascii="PT Astra Serif" w:hAnsi="PT Astra Serif" w:eastAsia="PT Astra Serif" w:cs="PT Astra Serif"/>
          <w:sz w:val="24"/>
          <w:szCs w:val="24"/>
        </w:rPr>
      </w:pPr>
      <w:r>
        <w:rPr>
          <w:rFonts w:ascii="PT Astra Serif" w:hAnsi="PT Astra Serif" w:eastAsia="Calibri"/>
          <w:sz w:val="24"/>
          <w:szCs w:val="24"/>
          <w:lang w:eastAsia="ru-RU"/>
        </w:rPr>
        <mc:AlternateContent>
          <mc:Choice Requires="wpg">
            <w:drawing>
              <wp:inline xmlns:wp="http://schemas.openxmlformats.org/drawingml/2006/wordprocessingDrawing" distT="0" distB="0" distL="0" distR="0">
                <wp:extent cx="5201285" cy="1805305"/>
                <wp:effectExtent l="0" t="0" r="0" b="4445"/>
                <wp:docPr id="54" name="Рисунок 30"/>
                <wp:cNvGraphicFramePr/>
                <a:graphic xmlns:a="http://schemas.openxmlformats.org/drawingml/2006/main">
                  <a:graphicData uri="http://schemas.openxmlformats.org/drawingml/2006/picture">
                    <pic:pic xmlns:pic="http://schemas.openxmlformats.org/drawingml/2006/picture">
                      <pic:nvPicPr>
                        <pic:cNvPr id="0" name="Диаграмма 26"/>
                        <pic:cNvPicPr>
                          <a:picLocks noChangeArrowheads="1"/>
                        </pic:cNvPicPr>
                        <pic:nvPr/>
                      </pic:nvPicPr>
                      <pic:blipFill>
                        <a:blip r:embed="rId52"/>
                        <a:stretch/>
                      </pic:blipFill>
                      <pic:spPr bwMode="auto">
                        <a:xfrm>
                          <a:off x="0" y="0"/>
                          <a:ext cx="5201285" cy="1805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09.55pt;height:142.15pt;mso-wrap-distance-left:0.00pt;mso-wrap-distance-top:0.00pt;mso-wrap-distance-right:0.00pt;mso-wrap-distance-bottom:0.00pt;" stroked="f">
                <v:path textboxrect="0,0,0,0"/>
                <v:imagedata r:id="rId52" o:title=""/>
              </v:shape>
            </w:pict>
          </mc:Fallback>
        </mc:AlternateConten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567"/>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jc w:val="center"/>
        <w:spacing w:after="0" w:line="240" w:lineRule="auto"/>
        <w:rPr>
          <w:rStyle w:val="1164"/>
          <w:rFonts w:ascii="PT Astra Serif" w:hAnsi="PT Astra Serif"/>
          <w:sz w:val="24"/>
          <w:szCs w:val="24"/>
        </w:rPr>
      </w:pPr>
      <w:r>
        <w:rPr>
          <w:rStyle w:val="1164"/>
          <w:rFonts w:ascii="PT Astra Serif" w:hAnsi="PT Astra Serif"/>
          <w:sz w:val="24"/>
          <w:szCs w:val="24"/>
        </w:rPr>
        <w:t xml:space="preserve">Рисунок 1</w:t>
      </w:r>
      <w:r>
        <w:rPr>
          <w:rStyle w:val="1164"/>
          <w:rFonts w:ascii="PT Astra Serif" w:hAnsi="PT Astra Serif"/>
          <w:sz w:val="24"/>
          <w:szCs w:val="24"/>
        </w:rPr>
        <w:t xml:space="preserve">6</w:t>
      </w:r>
      <w:r>
        <w:rPr>
          <w:rStyle w:val="1164"/>
          <w:rFonts w:ascii="PT Astra Serif" w:hAnsi="PT Astra Serif"/>
          <w:sz w:val="24"/>
          <w:szCs w:val="24"/>
        </w:rPr>
        <w:t xml:space="preserve"> – Динамика показателя «Удовлетворенность населения качеством предоставления муниципальных услуг» за 2019 </w:t>
      </w:r>
      <w:r>
        <w:rPr>
          <w:rFonts w:ascii="PT Astra Serif" w:hAnsi="PT Astra Serif" w:eastAsia="Calibri"/>
          <w:sz w:val="24"/>
          <w:szCs w:val="24"/>
        </w:rPr>
        <w:t xml:space="preserve">–</w:t>
      </w:r>
      <w:r>
        <w:rPr>
          <w:rStyle w:val="1164"/>
          <w:rFonts w:ascii="PT Astra Serif" w:hAnsi="PT Astra Serif"/>
          <w:sz w:val="24"/>
          <w:szCs w:val="24"/>
        </w:rPr>
        <w:t xml:space="preserve"> 2023 годы</w:t>
      </w:r>
      <w:r>
        <w:rPr>
          <w:rStyle w:val="1164"/>
          <w:rFonts w:ascii="PT Astra Serif" w:hAnsi="PT Astra Serif"/>
          <w:sz w:val="24"/>
          <w:szCs w:val="24"/>
        </w:rPr>
      </w:r>
      <w:r>
        <w:rPr>
          <w:rStyle w:val="1164"/>
          <w:rFonts w:ascii="PT Astra Serif" w:hAnsi="PT Astra Serif"/>
          <w:sz w:val="24"/>
          <w:szCs w:val="24"/>
        </w:rPr>
      </w:r>
    </w:p>
    <w:p>
      <w:pPr>
        <w:ind w:firstLine="567"/>
        <w:jc w:val="both"/>
        <w:spacing w:after="0" w:line="240" w:lineRule="auto"/>
        <w:rPr>
          <w:rFonts w:eastAsia="PT Astra Serif" w:cs="PT Astra Serif"/>
        </w:rPr>
      </w:pPr>
      <w:r>
        <w:rPr>
          <w:rFonts w:eastAsia="PT Astra Serif" w:cs="PT Astra Serif"/>
        </w:rPr>
      </w:r>
      <w:r>
        <w:rPr>
          <w:rFonts w:eastAsia="PT Astra Serif" w:cs="PT Astra Serif"/>
        </w:rPr>
      </w:r>
      <w:r>
        <w:rPr>
          <w:rFonts w:eastAsia="PT Astra Serif" w:cs="PT Astra Serif"/>
        </w:rPr>
      </w:r>
    </w:p>
    <w:p>
      <w:pPr>
        <w:ind w:firstLine="567"/>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На значение вышеуказанных показателей влияют следующие факторы:</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567"/>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 меры, принимаемые органами местного самоуправления по созданию и приведению в надл</w:t>
      </w:r>
      <w:r>
        <w:rPr>
          <w:rFonts w:ascii="PT Astra Serif" w:hAnsi="PT Astra Serif" w:eastAsia="PT Astra Serif" w:cs="PT Astra Serif"/>
          <w:sz w:val="24"/>
          <w:szCs w:val="24"/>
        </w:rPr>
        <w:t xml:space="preserve">ежащее состояние инфраструктуры на территориях муниципальных образований Томской области (модернизация, капитальный ремонт объектов ЖКХ, ремонт дорог, строительство новых и ремонт существующих дошкольных, общеобразовательных, культурных учреждений и т.д.);</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567"/>
        <w:jc w:val="both"/>
        <w:spacing w:after="0" w:line="240" w:lineRule="auto"/>
        <w:rPr>
          <w:rFonts w:ascii="PT Astra Serif" w:hAnsi="PT Astra Serif" w:eastAsia="PT Astra Serif" w:cs="PT Astra Serif"/>
          <w:sz w:val="24"/>
          <w:szCs w:val="24"/>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создание условий для обеспечения населения доступной информацией, создание комфортной обстановки для потребителей, заказчиков услуг, учет их запросов;</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567"/>
        <w:jc w:val="both"/>
        <w:spacing w:after="0" w:line="240" w:lineRule="auto"/>
        <w:rPr>
          <w:rFonts w:ascii="PT Astra Serif" w:hAnsi="PT Astra Serif" w:eastAsia="PT Astra Serif" w:cs="PT Astra Serif"/>
          <w:sz w:val="24"/>
          <w:szCs w:val="24"/>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снижение количества людей, которым приходится для получения услуги посещать многие кабинеты, учреждения;</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567"/>
        <w:jc w:val="both"/>
        <w:spacing w:after="0" w:line="240" w:lineRule="auto"/>
        <w:rPr>
          <w:rFonts w:ascii="PT Astra Serif" w:hAnsi="PT Astra Serif" w:eastAsia="PT Astra Serif" w:cs="PT Astra Serif"/>
          <w:sz w:val="24"/>
          <w:szCs w:val="24"/>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уменьшение количества жалоб на плохие условия ведения приема.</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contextualSpacing/>
        <w:ind w:firstLine="567"/>
        <w:jc w:val="both"/>
        <w:spacing w:after="0" w:line="240" w:lineRule="auto"/>
        <w:tabs>
          <w:tab w:val="left" w:pos="567" w:leader="none"/>
          <w:tab w:val="left" w:pos="993" w:leader="none"/>
        </w:tabs>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1. </w:t>
      </w:r>
      <w:r>
        <w:rPr>
          <w:rFonts w:ascii="PT Astra Serif" w:hAnsi="PT Astra Serif" w:eastAsia="PT Astra Serif" w:cs="PT Astra Serif"/>
          <w:sz w:val="24"/>
          <w:szCs w:val="24"/>
        </w:rPr>
        <w:t xml:space="preserve">Оказание информационной и инструментальной поддержки деятельности органов местного самоуправления муниципальных образований Томской области в вопросах мониторинга эффективности и результативности деятельности.</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contextualSpacing/>
        <w:ind w:firstLine="567"/>
        <w:jc w:val="both"/>
        <w:spacing w:after="0" w:line="240" w:lineRule="auto"/>
        <w:tabs>
          <w:tab w:val="left" w:pos="567" w:leader="none"/>
          <w:tab w:val="left" w:pos="993" w:leader="none"/>
        </w:tabs>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2. Проведение мероприятий, посвященных Дню местного самоуправления, с привлечением представителей всех муниципальных образований Томской области, в том числе лиц, находящихся на заслуженном отдыхе. </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contextualSpacing/>
        <w:ind w:firstLine="567"/>
        <w:jc w:val="both"/>
        <w:spacing w:after="0" w:line="240" w:lineRule="auto"/>
        <w:tabs>
          <w:tab w:val="left" w:pos="567" w:leader="none"/>
          <w:tab w:val="left" w:pos="993" w:leader="none"/>
        </w:tabs>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3. Сокращение числа населения, переезжающего из сельской местности, посредством продолжения работы по развитию инфраструктуры, создания новых рабочих мест, создания условий для привлечения молодых специалистов</w:t>
      </w:r>
      <w:r>
        <w:rPr>
          <w:rFonts w:ascii="PT Astra Serif" w:hAnsi="PT Astra Serif" w:eastAsia="Calibri"/>
          <w:sz w:val="24"/>
          <w:szCs w:val="24"/>
        </w:rPr>
        <w:t xml:space="preserve"> </w:t>
      </w:r>
      <w:r>
        <w:rPr>
          <w:rFonts w:ascii="PT Astra Serif" w:hAnsi="PT Astra Serif" w:eastAsia="PT Astra Serif" w:cs="PT Astra Serif"/>
          <w:sz w:val="24"/>
          <w:szCs w:val="24"/>
        </w:rPr>
        <w:t xml:space="preserve">бюджетной сферы (реализация программы «Бюджетный дом», повышение уровня доходов специалистов на местах, в том числе работников органов местного самоуправления). </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contextualSpacing/>
        <w:ind w:left="1647"/>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jc w:val="both"/>
        <w:spacing w:after="0" w:line="240" w:lineRule="auto"/>
        <w:rPr>
          <w:rFonts w:ascii="PT Astra Serif" w:hAnsi="PT Astra Serif"/>
          <w:b/>
          <w:sz w:val="24"/>
          <w:szCs w:val="24"/>
        </w:rPr>
      </w:pPr>
      <w:r>
        <w:rPr>
          <w:rFonts w:ascii="PT Astra Serif" w:hAnsi="PT Astra Serif"/>
          <w:b/>
          <w:sz w:val="24"/>
          <w:szCs w:val="24"/>
          <w:shd w:val="clear" w:color="auto" w:fill="eaf1dd" w:themeFill="accent3" w:themeFillTint="33"/>
        </w:rPr>
        <w:t xml:space="preserve">Взаимодействие с федеральными исполнительными органами</w:t>
      </w:r>
      <w:r>
        <w:rPr>
          <w:rFonts w:ascii="PT Astra Serif" w:hAnsi="PT Astra Serif"/>
          <w:b/>
          <w:sz w:val="24"/>
          <w:szCs w:val="24"/>
        </w:rPr>
      </w:r>
      <w:r>
        <w:rPr>
          <w:rFonts w:ascii="PT Astra Serif" w:hAnsi="PT Astra Serif"/>
          <w:b/>
          <w:sz w:val="24"/>
          <w:szCs w:val="24"/>
        </w:rPr>
      </w:r>
    </w:p>
    <w:p>
      <w:pPr>
        <w:pStyle w:val="1166"/>
        <w:ind w:firstLine="540"/>
        <w:jc w:val="both"/>
        <w:rPr>
          <w:rFonts w:ascii="PT Astra Serif" w:hAnsi="PT Astra Serif"/>
          <w:sz w:val="24"/>
          <w:szCs w:val="24"/>
        </w:rPr>
      </w:pPr>
      <w:r>
        <w:rPr>
          <w:rFonts w:ascii="PT Astra Serif" w:hAnsi="PT Astra Serif"/>
          <w:sz w:val="24"/>
          <w:szCs w:val="24"/>
        </w:rPr>
        <w:t xml:space="preserve">В течение 2023 года велась постоянная работа по подготовке, организации и проведению встреч Губернатора Томской области, должностных лиц Администрации Томской области с представителями Администрации Президента Росс</w:t>
      </w:r>
      <w:r>
        <w:rPr>
          <w:rFonts w:ascii="PT Astra Serif" w:hAnsi="PT Astra Serif"/>
          <w:sz w:val="24"/>
          <w:szCs w:val="24"/>
        </w:rPr>
        <w:t xml:space="preserve">ийской Федерации, членами Правительства Российской Федерации, депутатами Государственной Думы, сенаторами Совета Федерации, федеральными министрами, руководителями государственных корпораций и общественных организаций, инвесторами, представителями бизнеса.</w:t>
      </w:r>
      <w:r>
        <w:rPr>
          <w:rFonts w:ascii="PT Astra Serif" w:hAnsi="PT Astra Serif"/>
          <w:sz w:val="24"/>
          <w:szCs w:val="24"/>
        </w:rPr>
      </w:r>
      <w:r>
        <w:rPr>
          <w:rFonts w:ascii="PT Astra Serif" w:hAnsi="PT Astra Serif"/>
          <w:sz w:val="24"/>
          <w:szCs w:val="24"/>
        </w:rPr>
      </w:r>
    </w:p>
    <w:p>
      <w:pPr>
        <w:pStyle w:val="1166"/>
        <w:ind w:firstLine="540"/>
        <w:jc w:val="both"/>
        <w:rPr>
          <w:rFonts w:ascii="PT Astra Serif" w:hAnsi="PT Astra Serif"/>
          <w:sz w:val="24"/>
          <w:szCs w:val="24"/>
        </w:rPr>
      </w:pPr>
      <w:r>
        <w:rPr>
          <w:rFonts w:ascii="PT Astra Serif" w:hAnsi="PT Astra Serif"/>
          <w:sz w:val="24"/>
          <w:szCs w:val="24"/>
        </w:rPr>
        <w:t xml:space="preserve">Представительством </w:t>
      </w:r>
      <w:r>
        <w:rPr>
          <w:rStyle w:val="1164"/>
          <w:rFonts w:ascii="PT Astra Serif" w:hAnsi="PT Astra Serif"/>
          <w:sz w:val="24"/>
          <w:szCs w:val="24"/>
        </w:rPr>
        <w:t xml:space="preserve">Томской области при Правительстве Российской Федерации (далее – Представительство) </w:t>
      </w:r>
      <w:r>
        <w:rPr>
          <w:rFonts w:ascii="PT Astra Serif" w:hAnsi="PT Astra Serif"/>
          <w:sz w:val="24"/>
          <w:szCs w:val="24"/>
        </w:rPr>
        <w:t xml:space="preserve">представлены интересы Томской области на совещаниях, встречах, форумах, выставках. </w:t>
      </w:r>
      <w:r>
        <w:rPr>
          <w:rFonts w:ascii="PT Astra Serif" w:hAnsi="PT Astra Serif"/>
          <w:sz w:val="24"/>
          <w:szCs w:val="24"/>
        </w:rPr>
        <w:t xml:space="preserve">Среди наиболее значимых и масштабных мероприятий – Петербургский международный экономический форум, Второй саммит «Экономический и гуманитарный форум Россия – Африка», форум «Сильные идеи для нового времени», постоянное взаимодействие с фондом Росконгресс.</w:t>
      </w:r>
      <w:r>
        <w:rPr>
          <w:rFonts w:ascii="PT Astra Serif" w:hAnsi="PT Astra Serif"/>
          <w:sz w:val="24"/>
          <w:szCs w:val="24"/>
        </w:rPr>
      </w:r>
      <w:r>
        <w:rPr>
          <w:rFonts w:ascii="PT Astra Serif" w:hAnsi="PT Astra Serif"/>
          <w:sz w:val="24"/>
          <w:szCs w:val="24"/>
        </w:rPr>
      </w:r>
    </w:p>
    <w:p>
      <w:pPr>
        <w:pStyle w:val="1166"/>
        <w:ind w:firstLine="540"/>
        <w:jc w:val="both"/>
        <w:rPr>
          <w:rFonts w:ascii="PT Astra Serif" w:hAnsi="PT Astra Serif"/>
          <w:sz w:val="24"/>
          <w:szCs w:val="24"/>
        </w:rPr>
      </w:pPr>
      <w:r>
        <w:rPr>
          <w:rFonts w:ascii="PT Astra Serif" w:hAnsi="PT Astra Serif"/>
          <w:sz w:val="24"/>
          <w:szCs w:val="24"/>
        </w:rPr>
        <w:t xml:space="preserve">Представительство активно взаимодействовало с Аппаратом полномочного представителя Президента Российской Федерации в Сибирском федеральном округе, представительствами всех сибирских регионов. </w:t>
      </w:r>
      <w:r>
        <w:rPr>
          <w:rFonts w:ascii="PT Astra Serif" w:hAnsi="PT Astra Serif"/>
          <w:sz w:val="24"/>
          <w:szCs w:val="24"/>
        </w:rPr>
      </w:r>
      <w:r>
        <w:rPr>
          <w:rFonts w:ascii="PT Astra Serif" w:hAnsi="PT Astra Serif"/>
          <w:sz w:val="24"/>
          <w:szCs w:val="24"/>
        </w:rPr>
      </w:r>
    </w:p>
    <w:p>
      <w:pPr>
        <w:pStyle w:val="1166"/>
        <w:ind w:firstLine="540"/>
        <w:jc w:val="both"/>
        <w:rPr>
          <w:rFonts w:ascii="PT Astra Serif" w:hAnsi="PT Astra Serif"/>
          <w:sz w:val="24"/>
          <w:szCs w:val="24"/>
        </w:rPr>
      </w:pPr>
      <w:r>
        <w:rPr>
          <w:rFonts w:ascii="PT Astra Serif" w:hAnsi="PT Astra Serif"/>
          <w:sz w:val="24"/>
          <w:szCs w:val="24"/>
        </w:rPr>
        <w:t xml:space="preserve">В течение 2023 года оказывалось содействие в реализации наградной политики на территории Томской области</w:t>
      </w:r>
      <w:r>
        <w:rPr>
          <w:rFonts w:ascii="PT Astra Serif" w:hAnsi="PT Astra Serif"/>
          <w:sz w:val="24"/>
          <w:szCs w:val="24"/>
        </w:rPr>
        <w:t xml:space="preserve">,</w:t>
      </w:r>
      <w:r>
        <w:rPr>
          <w:rFonts w:ascii="PT Astra Serif" w:hAnsi="PT Astra Serif"/>
          <w:sz w:val="24"/>
          <w:szCs w:val="24"/>
        </w:rPr>
        <w:t xml:space="preserve"> организовывалось получение государственных наград, знаков отличия, почетных званий и благодарностей федеральных министерств и ведомств, общественных организаций и обеспечивалась доставка наградных материалов в Томск. </w:t>
      </w:r>
      <w:r>
        <w:rPr>
          <w:rFonts w:ascii="PT Astra Serif" w:hAnsi="PT Astra Serif"/>
          <w:sz w:val="24"/>
          <w:szCs w:val="24"/>
        </w:rPr>
      </w:r>
      <w:r>
        <w:rPr>
          <w:rFonts w:ascii="PT Astra Serif" w:hAnsi="PT Astra Serif"/>
          <w:sz w:val="24"/>
          <w:szCs w:val="24"/>
        </w:rPr>
      </w:r>
    </w:p>
    <w:p>
      <w:pPr>
        <w:pStyle w:val="1166"/>
        <w:ind w:firstLine="540"/>
        <w:jc w:val="both"/>
        <w:rPr>
          <w:rFonts w:ascii="PT Astra Serif" w:hAnsi="PT Astra Serif"/>
          <w:sz w:val="24"/>
          <w:szCs w:val="24"/>
        </w:rPr>
      </w:pPr>
      <w:r>
        <w:rPr>
          <w:rFonts w:ascii="PT Astra Serif" w:hAnsi="PT Astra Serif"/>
          <w:sz w:val="24"/>
          <w:szCs w:val="24"/>
        </w:rPr>
        <w:t xml:space="preserve">Оказывалась поддержка ком</w:t>
      </w:r>
      <w:r>
        <w:rPr>
          <w:rFonts w:ascii="PT Astra Serif" w:hAnsi="PT Astra Serif"/>
          <w:sz w:val="24"/>
          <w:szCs w:val="24"/>
        </w:rPr>
        <w:t xml:space="preserve">андированным в Москву сотрудникам Администрации Томской области, включающая транспортное сопровождение, организацию в Представительстве деловых встреч и переговоров, участие в совещаниях в режиме ВКС, подготовку информационных и презентационных материалов.</w:t>
      </w:r>
      <w:r>
        <w:rPr>
          <w:rFonts w:ascii="PT Astra Serif" w:hAnsi="PT Astra Serif"/>
          <w:sz w:val="24"/>
          <w:szCs w:val="24"/>
        </w:rPr>
      </w:r>
      <w:r>
        <w:rPr>
          <w:rFonts w:ascii="PT Astra Serif" w:hAnsi="PT Astra Serif"/>
          <w:sz w:val="24"/>
          <w:szCs w:val="24"/>
        </w:rPr>
      </w:r>
    </w:p>
    <w:p>
      <w:pPr>
        <w:pStyle w:val="1166"/>
        <w:ind w:firstLine="540"/>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числе реализованных социально значимых проектов и мероприятий 2023 года:</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pStyle w:val="1166"/>
        <w:ind w:firstLine="540"/>
        <w:jc w:val="both"/>
        <w:rPr>
          <w:rFonts w:ascii="PT Astra Serif" w:hAnsi="PT Astra Serif"/>
          <w:strike/>
          <w:sz w:val="24"/>
          <w:szCs w:val="24"/>
          <w:shd w:val="clear" w:color="auto" w:fill="ffffff"/>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w:t>
      </w:r>
      <w:r>
        <w:rPr>
          <w:rFonts w:ascii="PT Astra Serif" w:hAnsi="PT Astra Serif"/>
          <w:sz w:val="24"/>
          <w:szCs w:val="24"/>
          <w:shd w:val="clear" w:color="auto" w:fill="ffffff"/>
        </w:rPr>
        <w:t xml:space="preserve">подготовка к участию Томской области в работе Международной выставки-форума «Россия» (далее – МВФ «Россия);</w:t>
      </w:r>
      <w:r>
        <w:rPr>
          <w:rFonts w:ascii="PT Astra Serif" w:hAnsi="PT Astra Serif"/>
          <w:strike/>
          <w:sz w:val="24"/>
          <w:szCs w:val="24"/>
          <w:shd w:val="clear" w:color="auto" w:fill="ffffff"/>
        </w:rPr>
      </w:r>
      <w:r>
        <w:rPr>
          <w:rFonts w:ascii="PT Astra Serif" w:hAnsi="PT Astra Serif"/>
          <w:strike/>
          <w:sz w:val="24"/>
          <w:szCs w:val="24"/>
          <w:shd w:val="clear" w:color="auto" w:fill="ffffff"/>
        </w:rPr>
      </w:r>
    </w:p>
    <w:p>
      <w:pPr>
        <w:pStyle w:val="1166"/>
        <w:ind w:firstLine="540"/>
        <w:jc w:val="both"/>
        <w:rPr>
          <w:rFonts w:ascii="PT Astra Serif" w:hAnsi="PT Astra Serif"/>
          <w:strike/>
          <w:sz w:val="24"/>
          <w:szCs w:val="24"/>
          <w:shd w:val="clear" w:color="auto" w:fill="ffffff"/>
        </w:rPr>
      </w:pPr>
      <w:r>
        <w:rPr>
          <w:rFonts w:ascii="PT Astra Serif" w:hAnsi="PT Astra Serif" w:eastAsia="Calibri"/>
          <w:sz w:val="24"/>
          <w:szCs w:val="24"/>
        </w:rPr>
        <w:t xml:space="preserve">–</w:t>
      </w:r>
      <w:r>
        <w:rPr>
          <w:rFonts w:ascii="PT Astra Serif" w:hAnsi="PT Astra Serif"/>
          <w:sz w:val="24"/>
          <w:szCs w:val="24"/>
          <w:shd w:val="clear" w:color="auto" w:fill="ffffff"/>
        </w:rPr>
        <w:t xml:space="preserve"> подготовка выставки-презентации к проведению Дней Томской области в Совете Федерации 11</w:t>
      </w:r>
      <w:r>
        <w:rPr>
          <w:rFonts w:ascii="PT Astra Serif" w:hAnsi="PT Astra Serif"/>
          <w:sz w:val="24"/>
          <w:szCs w:val="24"/>
          <w:shd w:val="clear" w:color="auto" w:fill="ffffff"/>
        </w:rPr>
        <w:t xml:space="preserve"> </w:t>
      </w:r>
      <w:r>
        <w:rPr>
          <w:rFonts w:ascii="PT Astra Serif" w:hAnsi="PT Astra Serif" w:eastAsia="Calibri"/>
          <w:sz w:val="24"/>
          <w:szCs w:val="24"/>
        </w:rPr>
        <w:t xml:space="preserve">–</w:t>
      </w:r>
      <w:r>
        <w:rPr>
          <w:rFonts w:ascii="PT Astra Serif" w:hAnsi="PT Astra Serif"/>
          <w:sz w:val="24"/>
          <w:szCs w:val="24"/>
          <w:shd w:val="clear" w:color="auto" w:fill="ffffff"/>
        </w:rPr>
        <w:t xml:space="preserve"> </w:t>
      </w:r>
      <w:r>
        <w:rPr>
          <w:rFonts w:ascii="PT Astra Serif" w:hAnsi="PT Astra Serif"/>
          <w:sz w:val="24"/>
          <w:szCs w:val="24"/>
          <w:shd w:val="clear" w:color="auto" w:fill="ffffff"/>
        </w:rPr>
        <w:t xml:space="preserve">13 декабря 2023 г</w:t>
      </w:r>
      <w:r>
        <w:rPr>
          <w:rFonts w:ascii="PT Astra Serif" w:hAnsi="PT Astra Serif"/>
          <w:sz w:val="24"/>
          <w:szCs w:val="24"/>
          <w:shd w:val="clear" w:color="auto" w:fill="ffffff"/>
        </w:rPr>
        <w:t xml:space="preserve">ода</w:t>
      </w:r>
      <w:r>
        <w:rPr>
          <w:rFonts w:ascii="PT Astra Serif" w:hAnsi="PT Astra Serif"/>
          <w:sz w:val="24"/>
          <w:szCs w:val="24"/>
          <w:shd w:val="clear" w:color="auto" w:fill="ffffff"/>
        </w:rPr>
        <w:t xml:space="preserve">;</w:t>
      </w:r>
      <w:r>
        <w:rPr>
          <w:rFonts w:ascii="PT Astra Serif" w:hAnsi="PT Astra Serif"/>
          <w:strike/>
          <w:sz w:val="24"/>
          <w:szCs w:val="24"/>
          <w:shd w:val="clear" w:color="auto" w:fill="ffffff"/>
        </w:rPr>
      </w:r>
      <w:r>
        <w:rPr>
          <w:rFonts w:ascii="PT Astra Serif" w:hAnsi="PT Astra Serif"/>
          <w:strike/>
          <w:sz w:val="24"/>
          <w:szCs w:val="24"/>
          <w:shd w:val="clear" w:color="auto" w:fill="ffffff"/>
        </w:rPr>
      </w:r>
    </w:p>
    <w:p>
      <w:pPr>
        <w:ind w:firstLine="540"/>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проведение при поддержке Губернатора Томской области встреч для привлечения в Томскую область по программе «Дом за рубль» инвесторов из других регионов, по итогам которых Агентство реноваций архитектурного наследия «Интеллект» приобрело и пр</w:t>
      </w:r>
      <w:r>
        <w:rPr>
          <w:rFonts w:ascii="PT Astra Serif" w:hAnsi="PT Astra Serif"/>
          <w:sz w:val="24"/>
          <w:szCs w:val="24"/>
        </w:rPr>
        <w:t xml:space="preserve">иступило к реставрации 5 домов;</w:t>
      </w:r>
      <w:r>
        <w:rPr>
          <w:rFonts w:ascii="PT Astra Serif" w:hAnsi="PT Astra Serif"/>
          <w:sz w:val="24"/>
          <w:szCs w:val="24"/>
        </w:rPr>
      </w:r>
      <w:r>
        <w:rPr>
          <w:rFonts w:ascii="PT Astra Serif" w:hAnsi="PT Astra Serif"/>
          <w:sz w:val="24"/>
          <w:szCs w:val="24"/>
        </w:rPr>
      </w:r>
    </w:p>
    <w:p>
      <w:pPr>
        <w:ind w:firstLine="540"/>
        <w:jc w:val="both"/>
        <w:spacing w:after="0" w:line="240" w:lineRule="auto"/>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развитие международных и межрегиональных связей; </w:t>
      </w:r>
      <w:r>
        <w:rPr>
          <w:rFonts w:ascii="PT Astra Serif" w:hAnsi="PT Astra Serif" w:cs="Arial"/>
          <w:sz w:val="24"/>
          <w:szCs w:val="24"/>
          <w:shd w:val="clear" w:color="auto" w:fill="ffffff"/>
        </w:rPr>
        <w:t xml:space="preserve">активная работа по поддержке бойцов, мобилизованных из Томской области, и членов их семей, включающая в себя посещение раненых бойцов в госпиталях г. Москвы, </w:t>
      </w:r>
      <w:r>
        <w:rPr>
          <w:rFonts w:ascii="PT Astra Serif" w:hAnsi="PT Astra Serif"/>
          <w:sz w:val="24"/>
          <w:szCs w:val="24"/>
          <w:shd w:val="clear" w:color="auto" w:fill="ffffff"/>
        </w:rPr>
        <w:t xml:space="preserve">выявление потребностей, </w:t>
      </w:r>
      <w:r>
        <w:rPr>
          <w:rFonts w:ascii="PT Astra Serif" w:hAnsi="PT Astra Serif" w:cs="Arial"/>
          <w:sz w:val="24"/>
          <w:szCs w:val="24"/>
          <w:shd w:val="clear" w:color="auto" w:fill="ffffff"/>
        </w:rPr>
        <w:t xml:space="preserve">оказание всесторонней помощи родственникам, для детей военнослужащих </w:t>
      </w:r>
      <w:r>
        <w:rPr>
          <w:rFonts w:ascii="PT Astra Serif" w:hAnsi="PT Astra Serif"/>
          <w:sz w:val="24"/>
          <w:szCs w:val="24"/>
          <w:shd w:val="clear" w:color="auto" w:fill="ffffff"/>
        </w:rPr>
        <w:t xml:space="preserve">была </w:t>
      </w:r>
      <w:r>
        <w:rPr>
          <w:rFonts w:ascii="PT Astra Serif" w:hAnsi="PT Astra Serif" w:cs="Arial"/>
          <w:sz w:val="24"/>
          <w:szCs w:val="24"/>
          <w:shd w:val="clear" w:color="auto" w:fill="ffffff"/>
        </w:rPr>
        <w:t xml:space="preserve">организова</w:t>
      </w:r>
      <w:r>
        <w:rPr>
          <w:rFonts w:ascii="PT Astra Serif" w:hAnsi="PT Astra Serif"/>
          <w:sz w:val="24"/>
          <w:szCs w:val="24"/>
          <w:shd w:val="clear" w:color="auto" w:fill="ffffff"/>
        </w:rPr>
        <w:t xml:space="preserve">на</w:t>
      </w:r>
      <w:r>
        <w:rPr>
          <w:rFonts w:ascii="PT Astra Serif" w:hAnsi="PT Astra Serif" w:cs="Arial"/>
          <w:sz w:val="24"/>
          <w:szCs w:val="24"/>
          <w:shd w:val="clear" w:color="auto" w:fill="ffffff"/>
        </w:rPr>
        <w:t xml:space="preserve"> экскурси</w:t>
      </w:r>
      <w:r>
        <w:rPr>
          <w:rFonts w:ascii="PT Astra Serif" w:hAnsi="PT Astra Serif"/>
          <w:sz w:val="24"/>
          <w:szCs w:val="24"/>
          <w:shd w:val="clear" w:color="auto" w:fill="ffffff"/>
        </w:rPr>
        <w:t xml:space="preserve">я</w:t>
      </w:r>
      <w:r>
        <w:rPr>
          <w:rFonts w:ascii="PT Astra Serif" w:hAnsi="PT Astra Serif" w:cs="Arial"/>
          <w:sz w:val="24"/>
          <w:szCs w:val="24"/>
          <w:shd w:val="clear" w:color="auto" w:fill="ffffff"/>
        </w:rPr>
        <w:t xml:space="preserve"> по Москве, посещение </w:t>
      </w:r>
      <w:r>
        <w:rPr>
          <w:rFonts w:ascii="PT Astra Serif" w:hAnsi="PT Astra Serif"/>
          <w:sz w:val="24"/>
          <w:szCs w:val="24"/>
        </w:rPr>
        <w:t xml:space="preserve">елки Мэра Москвы.</w:t>
      </w:r>
      <w:r>
        <w:rPr>
          <w:rFonts w:ascii="PT Astra Serif" w:hAnsi="PT Astra Serif"/>
          <w:sz w:val="24"/>
          <w:szCs w:val="24"/>
        </w:rPr>
      </w:r>
      <w:r>
        <w:rPr>
          <w:rFonts w:ascii="PT Astra Serif" w:hAnsi="PT Astra Serif"/>
          <w:sz w:val="24"/>
          <w:szCs w:val="24"/>
        </w:rPr>
      </w:r>
    </w:p>
    <w:p>
      <w:pPr>
        <w:pStyle w:val="1166"/>
        <w:ind w:firstLine="540"/>
        <w:jc w:val="both"/>
        <w:rPr>
          <w:rFonts w:ascii="PT Astra Serif" w:hAnsi="PT Astra Serif"/>
          <w:sz w:val="24"/>
          <w:szCs w:val="24"/>
        </w:rPr>
      </w:pPr>
      <w:r>
        <w:rPr>
          <w:rFonts w:ascii="PT Astra Serif" w:hAnsi="PT Astra Serif"/>
          <w:sz w:val="24"/>
          <w:szCs w:val="24"/>
        </w:rPr>
        <w:t xml:space="preserve">Продолжено взаимодействие с НП «Томское землячество в г. Москве», работа по патриотическому воспитанию молодежи, чествованию памяти выдающихся томич</w:t>
      </w:r>
      <w:r>
        <w:rPr>
          <w:rFonts w:ascii="PT Astra Serif" w:hAnsi="PT Astra Serif"/>
          <w:sz w:val="24"/>
          <w:szCs w:val="24"/>
        </w:rPr>
        <w:t xml:space="preserve">ей. В 2023 году состоялось торжественное открытие памятника Почетному гражданину Томской области Е.К. Лигачеву, а также участие в праздничных мероприятиях в Холм-Жирковском районе Смоленской области, приуроченных к 40-летию открытия Мемориального комплекса</w:t>
      </w:r>
      <w:r>
        <w:rPr>
          <w:rFonts w:ascii="PT Astra Serif" w:hAnsi="PT Astra Serif"/>
          <w:bCs/>
          <w:sz w:val="24"/>
          <w:szCs w:val="24"/>
        </w:rPr>
        <w:t xml:space="preserve"> воинам</w:t>
      </w:r>
      <w:r>
        <w:rPr>
          <w:rFonts w:ascii="PT Astra Serif" w:hAnsi="PT Astra Serif"/>
          <w:bCs/>
          <w:sz w:val="24"/>
          <w:szCs w:val="24"/>
        </w:rPr>
        <w:t xml:space="preserve"> </w:t>
      </w:r>
      <w:r>
        <w:rPr>
          <w:rFonts w:ascii="PT Astra Serif" w:hAnsi="PT Astra Serif" w:eastAsia="Calibri"/>
          <w:sz w:val="24"/>
          <w:szCs w:val="24"/>
        </w:rPr>
        <w:t xml:space="preserve">– </w:t>
      </w:r>
      <w:r>
        <w:rPr>
          <w:rFonts w:ascii="PT Astra Serif" w:hAnsi="PT Astra Serif"/>
          <w:bCs/>
          <w:sz w:val="24"/>
          <w:szCs w:val="24"/>
        </w:rPr>
        <w:t xml:space="preserve">сибирякам 166-й стрелковой дивизии и партизанам Вадинского края.</w:t>
      </w:r>
      <w:r>
        <w:rPr>
          <w:rFonts w:ascii="PT Astra Serif" w:hAnsi="PT Astra Serif"/>
          <w:sz w:val="24"/>
          <w:szCs w:val="24"/>
        </w:rPr>
      </w:r>
      <w:r>
        <w:rPr>
          <w:rFonts w:ascii="PT Astra Serif" w:hAnsi="PT Astra Serif"/>
          <w:sz w:val="24"/>
          <w:szCs w:val="24"/>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both"/>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Перспективная задача:</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66"/>
        <w:ind w:firstLine="540"/>
        <w:jc w:val="both"/>
        <w:rPr>
          <w:rFonts w:ascii="PT Astra Serif" w:hAnsi="PT Astra Serif" w:cs="Times New Roman"/>
          <w:sz w:val="24"/>
          <w:szCs w:val="24"/>
        </w:rPr>
      </w:pPr>
      <w:r>
        <w:rPr>
          <w:rFonts w:ascii="PT Astra Serif" w:hAnsi="PT Astra Serif" w:cs="Times New Roman"/>
          <w:sz w:val="24"/>
          <w:szCs w:val="24"/>
        </w:rPr>
        <w:t xml:space="preserve">Взаимодействие с федеральными органами власти, госкорпорациями, представителями деловых кругов и бизнеса, направленное на социально-экономическое развитие, увеличение туристического потока, повышение инвестиционной привлекательности Томской области.</w:t>
      </w:r>
      <w:r>
        <w:rPr>
          <w:rFonts w:ascii="PT Astra Serif" w:hAnsi="PT Astra Serif" w:cs="Times New Roman"/>
          <w:sz w:val="24"/>
          <w:szCs w:val="24"/>
        </w:rPr>
      </w:r>
      <w:r>
        <w:rPr>
          <w:rFonts w:ascii="PT Astra Serif" w:hAnsi="PT Astra Serif" w:cs="Times New Roman"/>
          <w:sz w:val="24"/>
          <w:szCs w:val="24"/>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sectPr>
          <w:footnotePr/>
          <w:endnotePr/>
          <w:type w:val="nextPage"/>
          <w:pgSz w:w="11906" w:h="16838" w:orient="portrait"/>
          <w:pgMar w:top="1134" w:right="850" w:bottom="1134" w:left="1701" w:header="708" w:footer="708" w:gutter="0"/>
          <w:cols w:num="1" w:sep="0" w:space="708" w:equalWidth="1"/>
          <w:docGrid w:linePitch="360"/>
        </w:sect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32"/>
        <w:outlineLvl w:val="0"/>
      </w:pPr>
      <w:r/>
      <w:bookmarkStart w:id="31" w:name="_Toc134630420"/>
      <w:r>
        <w:t xml:space="preserve">ПРИЛОЖЕНИЯ</w:t>
      </w:r>
      <w:bookmarkEnd w:id="31"/>
      <w:r/>
      <w:r/>
    </w:p>
    <w:p>
      <w:pPr>
        <w:ind w:firstLine="709"/>
        <w:jc w:val="both"/>
        <w:spacing w:after="0" w:line="240" w:lineRule="auto"/>
        <w:tabs>
          <w:tab w:val="left" w:pos="993" w:leader="none"/>
          <w:tab w:val="left" w:pos="4962" w:leader="none"/>
        </w:tabs>
        <w:rPr>
          <w:rFonts w:ascii="PT Astra Serif" w:hAnsi="PT Astra Serif" w:eastAsia="Calibri"/>
          <w:b/>
          <w:sz w:val="24"/>
          <w:szCs w:val="24"/>
        </w:rPr>
      </w:pPr>
      <w:r>
        <w:rPr>
          <w:rFonts w:ascii="PT Astra Serif" w:hAnsi="PT Astra Serif" w:eastAsia="Calibri"/>
          <w:b/>
          <w:sz w:val="24"/>
          <w:szCs w:val="24"/>
        </w:rPr>
      </w:r>
      <w:r>
        <w:rPr>
          <w:rFonts w:ascii="PT Astra Serif" w:hAnsi="PT Astra Serif" w:eastAsia="Calibri"/>
          <w:b/>
          <w:sz w:val="24"/>
          <w:szCs w:val="24"/>
        </w:rPr>
      </w:r>
      <w:r>
        <w:rPr>
          <w:rFonts w:ascii="PT Astra Serif" w:hAnsi="PT Astra Serif" w:eastAsia="Calibri"/>
          <w:b/>
          <w:sz w:val="24"/>
          <w:szCs w:val="24"/>
        </w:rPr>
      </w:r>
    </w:p>
    <w:p>
      <w:pPr>
        <w:pStyle w:val="1167"/>
        <w:outlineLvl w:val="1"/>
      </w:pPr>
      <w:r/>
      <w:bookmarkStart w:id="32" w:name="_Toc134630421"/>
      <w:r>
        <w:t xml:space="preserve">Приложение № 1</w:t>
      </w:r>
      <w:bookmarkEnd w:id="32"/>
      <w:r/>
      <w:r/>
    </w:p>
    <w:p>
      <w:pPr>
        <w:jc w:val="right"/>
        <w:spacing w:after="0" w:line="240" w:lineRule="auto"/>
        <w:tabs>
          <w:tab w:val="left" w:pos="993" w:leader="none"/>
          <w:tab w:val="left" w:pos="4962" w:leader="none"/>
        </w:tabs>
        <w:rPr>
          <w:rFonts w:ascii="PT Astra Serif" w:hAnsi="PT Astra Serif" w:eastAsia="Calibri"/>
          <w:b/>
          <w:sz w:val="24"/>
          <w:szCs w:val="24"/>
        </w:rPr>
      </w:pPr>
      <w:r>
        <w:rPr>
          <w:rFonts w:ascii="PT Astra Serif" w:hAnsi="PT Astra Serif" w:eastAsia="Calibri"/>
          <w:b/>
          <w:sz w:val="24"/>
          <w:szCs w:val="24"/>
        </w:rPr>
      </w:r>
      <w:r>
        <w:rPr>
          <w:rFonts w:ascii="PT Astra Serif" w:hAnsi="PT Astra Serif" w:eastAsia="Calibri"/>
          <w:b/>
          <w:sz w:val="24"/>
          <w:szCs w:val="24"/>
        </w:rPr>
      </w:r>
      <w:r>
        <w:rPr>
          <w:rFonts w:ascii="PT Astra Serif" w:hAnsi="PT Astra Serif" w:eastAsia="Calibri"/>
          <w:b/>
          <w:sz w:val="24"/>
          <w:szCs w:val="24"/>
        </w:rPr>
      </w:r>
    </w:p>
    <w:p>
      <w:pPr>
        <w:jc w:val="center"/>
        <w:spacing w:after="0" w:line="240" w:lineRule="auto"/>
        <w:tabs>
          <w:tab w:val="left" w:pos="0" w:leader="none"/>
        </w:tabs>
        <w:rPr>
          <w:rFonts w:ascii="PT Astra Serif" w:hAnsi="PT Astra Serif" w:eastAsia="Times New Roman" w:cs="Calibri"/>
          <w:b/>
          <w:bCs/>
          <w:sz w:val="24"/>
          <w:szCs w:val="24"/>
          <w:lang w:eastAsia="ru-RU"/>
        </w:rPr>
      </w:pPr>
      <w:r>
        <w:rPr>
          <w:rFonts w:ascii="PT Astra Serif" w:hAnsi="PT Astra Serif" w:eastAsia="Times New Roman" w:cs="Calibri"/>
          <w:b/>
          <w:bCs/>
          <w:sz w:val="24"/>
          <w:szCs w:val="24"/>
          <w:lang w:eastAsia="ru-RU"/>
        </w:rPr>
        <w:t xml:space="preserve">Показатели социально-экономического развития  Томской области </w:t>
      </w:r>
      <w:r>
        <w:rPr>
          <w:rFonts w:ascii="PT Astra Serif" w:hAnsi="PT Astra Serif" w:eastAsia="Times New Roman" w:cs="Calibri"/>
          <w:b/>
          <w:bCs/>
          <w:sz w:val="24"/>
          <w:szCs w:val="24"/>
          <w:lang w:eastAsia="ru-RU"/>
        </w:rPr>
        <w:br/>
        <w:t xml:space="preserve">за 2021 – 2023 годы </w:t>
      </w:r>
      <w:r>
        <w:rPr>
          <w:rFonts w:ascii="PT Astra Serif" w:hAnsi="PT Astra Serif" w:eastAsia="Times New Roman" w:cs="Calibri"/>
          <w:b/>
          <w:bCs/>
          <w:sz w:val="24"/>
          <w:szCs w:val="24"/>
          <w:lang w:eastAsia="ru-RU"/>
        </w:rPr>
        <w:br/>
        <w:t xml:space="preserve"> (в сравнении с показателями Сибирского федерального округа и России)</w:t>
      </w:r>
      <w:r>
        <w:rPr>
          <w:rFonts w:ascii="PT Astra Serif" w:hAnsi="PT Astra Serif" w:eastAsia="Times New Roman" w:cs="Calibri"/>
          <w:b/>
          <w:bCs/>
          <w:sz w:val="24"/>
          <w:szCs w:val="24"/>
          <w:lang w:eastAsia="ru-RU"/>
        </w:rPr>
      </w:r>
      <w:r>
        <w:rPr>
          <w:rFonts w:ascii="PT Astra Serif" w:hAnsi="PT Astra Serif" w:eastAsia="Times New Roman" w:cs="Calibri"/>
          <w:b/>
          <w:bCs/>
          <w:sz w:val="24"/>
          <w:szCs w:val="24"/>
          <w:lang w:eastAsia="ru-RU"/>
        </w:rPr>
      </w:r>
    </w:p>
    <w:p>
      <w:pPr>
        <w:jc w:val="center"/>
        <w:spacing w:after="0" w:line="240" w:lineRule="auto"/>
        <w:tabs>
          <w:tab w:val="left" w:pos="0"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tbl>
      <w:tblPr>
        <w:tblW w:w="9513" w:type="dxa"/>
        <w:tblInd w:w="9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1858"/>
        <w:gridCol w:w="1375"/>
        <w:gridCol w:w="1137"/>
        <w:gridCol w:w="1214"/>
        <w:gridCol w:w="1188"/>
        <w:gridCol w:w="1465"/>
        <w:gridCol w:w="1276"/>
      </w:tblGrid>
      <w:tr>
        <w:tblPrEx/>
        <w:trPr>
          <w:trHeight w:val="623"/>
          <w:tblHeader/>
        </w:trPr>
        <w:tc>
          <w:tcPr>
            <w:shd w:val="clear" w:color="000000" w:fill="f2f2f2"/>
            <w:tcW w:w="1858" w:type="dxa"/>
            <w:vAlign w:val="center"/>
            <w:textDirection w:val="lrTb"/>
            <w:noWrap w:val="false"/>
          </w:tcPr>
          <w:p>
            <w:pPr>
              <w:jc w:val="cente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Наименование</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000000" w:fill="f2f2f2"/>
            <w:tcW w:w="1375" w:type="dxa"/>
            <w:vAlign w:val="center"/>
            <w:textDirection w:val="lrTb"/>
            <w:noWrap w:val="false"/>
          </w:tcPr>
          <w:p>
            <w:pPr>
              <w:jc w:val="cente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Единица измерения</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000000" w:fill="f2f2f2"/>
            <w:tcW w:w="1137" w:type="dxa"/>
            <w:vAlign w:val="center"/>
            <w:textDirection w:val="lrTb"/>
            <w:noWrap w:val="false"/>
          </w:tcPr>
          <w:p>
            <w:pPr>
              <w:jc w:val="cente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2021 г.</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000000" w:fill="f2f2f2"/>
            <w:tcW w:w="1214" w:type="dxa"/>
            <w:vAlign w:val="center"/>
            <w:textDirection w:val="lrTb"/>
            <w:noWrap w:val="false"/>
          </w:tcPr>
          <w:p>
            <w:pPr>
              <w:jc w:val="cente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2022 г.</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000000" w:fill="f2f2f2"/>
            <w:tcW w:w="1188" w:type="dxa"/>
            <w:vAlign w:val="center"/>
            <w:textDirection w:val="lrTb"/>
            <w:noWrap w:val="false"/>
          </w:tcPr>
          <w:p>
            <w:pPr>
              <w:jc w:val="cente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2023 г.</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ИФО </w:t>
            </w:r>
            <w:r>
              <w:rPr>
                <w:rFonts w:ascii="PT Astra Serif" w:hAnsi="PT Astra Serif" w:eastAsia="Times New Roman" w:cs="Calibri"/>
                <w:sz w:val="20"/>
                <w:szCs w:val="20"/>
                <w:lang w:eastAsia="ru-RU"/>
              </w:rPr>
              <w:t xml:space="preserve">(накопитель</w:t>
            </w:r>
            <w:r>
              <w:rPr>
                <w:rFonts w:ascii="PT Astra Serif" w:hAnsi="PT Astra Serif" w:eastAsia="Times New Roman" w:cs="Calibri"/>
                <w:sz w:val="20"/>
                <w:szCs w:val="20"/>
                <w:lang w:eastAsia="ru-RU"/>
              </w:rPr>
              <w:t xml:space="preserve">-</w:t>
            </w:r>
            <w:r>
              <w:rPr>
                <w:rFonts w:ascii="PT Astra Serif" w:hAnsi="PT Astra Serif" w:eastAsia="Times New Roman" w:cs="Calibri"/>
                <w:sz w:val="20"/>
                <w:szCs w:val="20"/>
                <w:lang w:eastAsia="ru-RU"/>
              </w:rPr>
              <w:t xml:space="preserve">ным итогом) 2023 год к 2020 году, в %</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000000" w:fill="f2f2f2"/>
            <w:tcW w:w="1276" w:type="dxa"/>
            <w:vAlign w:val="center"/>
            <w:textDirection w:val="lrTb"/>
            <w:noWrap w:val="false"/>
          </w:tcPr>
          <w:p>
            <w:pPr>
              <w:jc w:val="cente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Темп роста </w:t>
            </w:r>
            <w:r>
              <w:rPr>
                <w:rFonts w:ascii="PT Astra Serif" w:hAnsi="PT Astra Serif" w:eastAsia="Times New Roman" w:cs="Calibri"/>
                <w:sz w:val="20"/>
                <w:szCs w:val="20"/>
                <w:lang w:eastAsia="ru-RU"/>
              </w:rPr>
              <w:t xml:space="preserve">2023 год к 2021 году, в %</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r>
      <w:tr>
        <w:tblPrEx/>
        <w:trPr>
          <w:trHeight w:val="315"/>
        </w:trPr>
        <w:tc>
          <w:tcPr>
            <w:gridSpan w:val="7"/>
            <w:shd w:val="clear" w:color="000000" w:fill="b8cce4"/>
            <w:tcW w:w="9513" w:type="dxa"/>
            <w:vAlign w:val="center"/>
            <w:textDirection w:val="lrTb"/>
            <w:noWrap w:val="false"/>
          </w:tcPr>
          <w:p>
            <w:pPr>
              <w:jc w:val="cente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ВРП (ВВП)</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r>
      <w:tr>
        <w:tblPrEx/>
        <w:trPr>
          <w:trHeight w:val="91"/>
        </w:trPr>
        <w:tc>
          <w:tcPr>
            <w:shd w:val="clear" w:color="auto" w:fill="auto"/>
            <w:tcW w:w="1858" w:type="dxa"/>
            <w:vAlign w:val="center"/>
            <w:vMerge w:val="restart"/>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Томская область</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млрд</w:t>
            </w: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t xml:space="preserve">рублей</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723,2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809,6</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853,2*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118,0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157"/>
        </w:trPr>
        <w:tc>
          <w:tcPr>
            <w:tcW w:w="1858" w:type="dxa"/>
            <w:vAlign w:val="center"/>
            <w:vMerge w:val="continue"/>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в % к пред. году</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103,4</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100,2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100,5*</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104,1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shd w:val="clear" w:color="auto" w:fill="auto"/>
            <w:tcW w:w="1858" w:type="dxa"/>
            <w:vAlign w:val="center"/>
            <w:vMerge w:val="restart"/>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Россия</w:t>
            </w:r>
            <w:r>
              <w:rPr>
                <w:rFonts w:ascii="PT Astra Serif" w:hAnsi="PT Astra Serif" w:eastAsia="Times New Roman" w:cs="Calibri"/>
                <w:sz w:val="20"/>
                <w:szCs w:val="20"/>
                <w:lang w:eastAsia="ru-RU"/>
              </w:rPr>
              <w:t xml:space="preserve"> </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млрд </w:t>
            </w:r>
            <w:r>
              <w:rPr>
                <w:rFonts w:ascii="PT Astra Serif" w:hAnsi="PT Astra Serif" w:eastAsia="Times New Roman" w:cs="Calibri"/>
                <w:sz w:val="20"/>
                <w:szCs w:val="20"/>
                <w:lang w:eastAsia="ru-RU"/>
              </w:rPr>
              <w:t xml:space="preserve">рублей</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135 773,8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155 350,4</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171 041,0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126,0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tcW w:w="1858" w:type="dxa"/>
            <w:vAlign w:val="center"/>
            <w:vMerge w:val="continue"/>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в % к пред. году</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105,9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98,8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103,6</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108,4</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315"/>
        </w:trPr>
        <w:tc>
          <w:tcPr>
            <w:gridSpan w:val="7"/>
            <w:shd w:val="clear" w:color="000000" w:fill="b8cce4"/>
            <w:tcW w:w="9513" w:type="dxa"/>
            <w:vAlign w:val="center"/>
            <w:textDirection w:val="lrTb"/>
            <w:noWrap w:val="false"/>
          </w:tcPr>
          <w:p>
            <w:pPr>
              <w:jc w:val="cente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Продукция промышленности</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r>
      <w:tr>
        <w:tblPrEx/>
        <w:trPr>
          <w:trHeight w:val="91"/>
        </w:trPr>
        <w:tc>
          <w:tcPr>
            <w:shd w:val="clear" w:color="auto" w:fill="auto"/>
            <w:tcW w:w="1858" w:type="dxa"/>
            <w:vAlign w:val="center"/>
            <w:vMerge w:val="restart"/>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Томская область</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млрд</w:t>
            </w: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t xml:space="preserve">рублей</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502,2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547,1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601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119,7</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tcW w:w="1858" w:type="dxa"/>
            <w:vAlign w:val="center"/>
            <w:vMerge w:val="continue"/>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в % к пред. году</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106,3</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97,8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106,0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shd w:val="clear" w:color="auto" w:fill="auto"/>
            <w:tcW w:w="1858" w:type="dxa"/>
            <w:vAlign w:val="center"/>
            <w:vMerge w:val="restart"/>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СФО</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млрд </w:t>
            </w:r>
            <w:r>
              <w:rPr>
                <w:rFonts w:ascii="PT Astra Serif" w:hAnsi="PT Astra Serif" w:eastAsia="Times New Roman" w:cs="Calibri"/>
                <w:sz w:val="20"/>
                <w:szCs w:val="20"/>
                <w:lang w:eastAsia="ru-RU"/>
              </w:rPr>
              <w:t xml:space="preserve">рублей</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10476,1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11136,7</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11248,5</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107,4</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tcW w:w="1858" w:type="dxa"/>
            <w:vAlign w:val="center"/>
            <w:vMerge w:val="continue"/>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в % к пред. году</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102,9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101,1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98,6</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102,6</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shd w:val="clear" w:color="auto" w:fill="auto"/>
            <w:tcW w:w="1858" w:type="dxa"/>
            <w:vAlign w:val="center"/>
            <w:vMerge w:val="restart"/>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Россия</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млрд</w:t>
            </w: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t xml:space="preserve">рублей</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94888,2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102659,4</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107340,4</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113,1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tcW w:w="1858" w:type="dxa"/>
            <w:vAlign w:val="center"/>
            <w:vMerge w:val="continue"/>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в % к пред. году</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106,3</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100,7</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103,5</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110,8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315"/>
        </w:trPr>
        <w:tc>
          <w:tcPr>
            <w:gridSpan w:val="7"/>
            <w:shd w:val="clear" w:color="000000" w:fill="dbe5f1"/>
            <w:tcW w:w="9513" w:type="dxa"/>
            <w:vAlign w:val="center"/>
            <w:textDirection w:val="lrTb"/>
            <w:noWrap w:val="false"/>
          </w:tcPr>
          <w:p>
            <w:pPr>
              <w:jc w:val="cente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Продукция сельского хозяйства</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r>
      <w:tr>
        <w:tblPrEx/>
        <w:trPr>
          <w:trHeight w:val="91"/>
        </w:trPr>
        <w:tc>
          <w:tcPr>
            <w:shd w:val="clear" w:color="auto" w:fill="auto"/>
            <w:tcW w:w="1858" w:type="dxa"/>
            <w:vAlign w:val="center"/>
            <w:vMerge w:val="restart"/>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Томская область</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млрд</w:t>
            </w: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t xml:space="preserve">рублей</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39,1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44,3</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42,8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109,5</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tcW w:w="1858" w:type="dxa"/>
            <w:vAlign w:val="center"/>
            <w:vMerge w:val="continue"/>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в % к пред. году</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99,8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103,2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94,1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96,9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shd w:val="clear" w:color="auto" w:fill="auto"/>
            <w:tcW w:w="1858" w:type="dxa"/>
            <w:vAlign w:val="center"/>
            <w:vMerge w:val="restart"/>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СФО</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млрд </w:t>
            </w:r>
            <w:r>
              <w:rPr>
                <w:rFonts w:ascii="PT Astra Serif" w:hAnsi="PT Astra Serif" w:eastAsia="Times New Roman" w:cs="Calibri"/>
                <w:sz w:val="20"/>
                <w:szCs w:val="20"/>
                <w:lang w:eastAsia="ru-RU"/>
              </w:rPr>
              <w:t xml:space="preserve">рублей</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869,2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912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830,3</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ce6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95,5</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tcW w:w="1858" w:type="dxa"/>
            <w:vAlign w:val="center"/>
            <w:vMerge w:val="continue"/>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в % к пред. году</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107,2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103,6</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92,3</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102,5</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shd w:val="clear" w:color="auto" w:fill="auto"/>
            <w:tcW w:w="1858" w:type="dxa"/>
            <w:vAlign w:val="center"/>
            <w:vMerge w:val="restart"/>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Россия</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млрд</w:t>
            </w: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t xml:space="preserve">рублей</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7672,9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8568,2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8341,3</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108,7</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tcW w:w="1858" w:type="dxa"/>
            <w:vAlign w:val="center"/>
            <w:vMerge w:val="continue"/>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в % к пред. году</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99,3</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111,3</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99,7</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110,2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315"/>
        </w:trPr>
        <w:tc>
          <w:tcPr>
            <w:gridSpan w:val="7"/>
            <w:shd w:val="clear" w:color="000000" w:fill="dbe5f1"/>
            <w:tcW w:w="9513" w:type="dxa"/>
            <w:vAlign w:val="center"/>
            <w:textDirection w:val="lrTb"/>
            <w:noWrap w:val="false"/>
          </w:tcPr>
          <w:p>
            <w:pPr>
              <w:jc w:val="cente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Строительство</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r>
      <w:tr>
        <w:tblPrEx/>
        <w:trPr>
          <w:trHeight w:val="91"/>
        </w:trPr>
        <w:tc>
          <w:tcPr>
            <w:shd w:val="clear" w:color="auto" w:fill="auto"/>
            <w:tcW w:w="1858" w:type="dxa"/>
            <w:vAlign w:val="center"/>
            <w:vMerge w:val="restart"/>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Томская область</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млрд </w:t>
            </w:r>
            <w:r>
              <w:rPr>
                <w:rFonts w:ascii="PT Astra Serif" w:hAnsi="PT Astra Serif" w:eastAsia="Times New Roman" w:cs="Calibri"/>
                <w:sz w:val="20"/>
                <w:szCs w:val="20"/>
                <w:lang w:eastAsia="ru-RU"/>
              </w:rPr>
              <w:t xml:space="preserve">рублей</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68,8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69,9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76,3</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110,9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510"/>
        </w:trPr>
        <w:tc>
          <w:tcPr>
            <w:tcW w:w="1858" w:type="dxa"/>
            <w:vAlign w:val="center"/>
            <w:vMerge w:val="continue"/>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в % к пред. году</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98,7</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82,0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101,6</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82,2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shd w:val="clear" w:color="auto" w:fill="auto"/>
            <w:tcW w:w="1858" w:type="dxa"/>
            <w:vAlign w:val="center"/>
            <w:vMerge w:val="restart"/>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СФО</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млрд</w:t>
            </w: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t xml:space="preserve">рублей</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1137,1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1 406,9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1 542,1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135,6</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tcW w:w="1858" w:type="dxa"/>
            <w:vAlign w:val="center"/>
            <w:vMerge w:val="continue"/>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в % к пред. году</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115,6</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108,4</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93,2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116,8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shd w:val="clear" w:color="auto" w:fill="auto"/>
            <w:tcW w:w="1858" w:type="dxa"/>
            <w:vAlign w:val="center"/>
            <w:vMerge w:val="restart"/>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Россия</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млрд</w:t>
            </w: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t xml:space="preserve">рублей</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11047,9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13149,4</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15092,3</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136,6</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tcW w:w="1858" w:type="dxa"/>
            <w:vAlign w:val="center"/>
            <w:vMerge w:val="continue"/>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в % к пред. году</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107,0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107,5</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107,9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124,1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315"/>
        </w:trPr>
        <w:tc>
          <w:tcPr>
            <w:gridSpan w:val="7"/>
            <w:shd w:val="clear" w:color="000000" w:fill="dbe5f1"/>
            <w:tcW w:w="9513" w:type="dxa"/>
            <w:vAlign w:val="center"/>
            <w:textDirection w:val="lrTb"/>
            <w:noWrap w:val="false"/>
          </w:tcPr>
          <w:p>
            <w:pPr>
              <w:jc w:val="cente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Ввод в действие жилых домов</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r>
      <w:tr>
        <w:tblPrEx/>
        <w:trPr>
          <w:trHeight w:val="300"/>
        </w:trPr>
        <w:tc>
          <w:tcPr>
            <w:shd w:val="clear" w:color="000000" w:fill="ffffff"/>
            <w:tcW w:w="1858" w:type="dxa"/>
            <w:vAlign w:val="center"/>
            <w:textDirection w:val="lrTb"/>
            <w:noWrap w:val="false"/>
          </w:tcPr>
          <w:p>
            <w:pPr>
              <w:jc w:val="both"/>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Томская область</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000000" w:fill="ffffff"/>
            <w:tcW w:w="1375" w:type="dxa"/>
            <w:vAlign w:val="center"/>
            <w:vMerge w:val="restart"/>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тыс. кв. м</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476,6</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364,1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535,3</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112,3</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shd w:val="clear" w:color="000000" w:fill="ffffff"/>
            <w:tcW w:w="1858" w:type="dxa"/>
            <w:vAlign w:val="center"/>
            <w:textDirection w:val="lrTb"/>
            <w:noWrap w:val="false"/>
          </w:tcPr>
          <w:p>
            <w:pPr>
              <w:jc w:val="both"/>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СФО</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tcW w:w="1375" w:type="dxa"/>
            <w:vAlign w:val="center"/>
            <w:vMerge w:val="continue"/>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8075</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8287,7</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10001,3</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123,9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shd w:val="clear" w:color="000000" w:fill="ffffff"/>
            <w:tcW w:w="1858" w:type="dxa"/>
            <w:vAlign w:val="center"/>
            <w:textDirection w:val="lrTb"/>
            <w:noWrap w:val="false"/>
          </w:tcPr>
          <w:p>
            <w:pPr>
              <w:jc w:val="both"/>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Россия</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000000" w:fill="ffffff"/>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млн</w:t>
            </w:r>
            <w:r>
              <w:rPr>
                <w:rFonts w:ascii="PT Astra Serif" w:hAnsi="PT Astra Serif" w:eastAsia="Times New Roman" w:cs="Calibri"/>
                <w:sz w:val="20"/>
                <w:szCs w:val="20"/>
                <w:lang w:eastAsia="ru-RU"/>
              </w:rPr>
              <w:t xml:space="preserve"> кв. м</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92,6</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102,7</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110,4</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119,2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315"/>
        </w:trPr>
        <w:tc>
          <w:tcPr>
            <w:gridSpan w:val="7"/>
            <w:shd w:val="clear" w:color="000000" w:fill="dbe5f1"/>
            <w:tcW w:w="9513" w:type="dxa"/>
            <w:vAlign w:val="center"/>
            <w:textDirection w:val="lrTb"/>
            <w:noWrap w:val="false"/>
          </w:tcPr>
          <w:p>
            <w:pPr>
              <w:jc w:val="cente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Инвестиции</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r>
      <w:tr>
        <w:tblPrEx/>
        <w:trPr>
          <w:trHeight w:val="91"/>
        </w:trPr>
        <w:tc>
          <w:tcPr>
            <w:shd w:val="clear" w:color="auto" w:fill="auto"/>
            <w:tcW w:w="1858" w:type="dxa"/>
            <w:vAlign w:val="center"/>
            <w:vMerge w:val="restart"/>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Томская область</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млрд</w:t>
            </w: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t xml:space="preserve">рублей</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107,8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123,6</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148,5</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137,8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510"/>
        </w:trPr>
        <w:tc>
          <w:tcPr>
            <w:tcW w:w="1858" w:type="dxa"/>
            <w:vAlign w:val="center"/>
            <w:vMerge w:val="continue"/>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в % к пред. году</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95,3</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94,1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111,0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99,5</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shd w:val="clear" w:color="auto" w:fill="auto"/>
            <w:tcW w:w="1858" w:type="dxa"/>
            <w:vAlign w:val="center"/>
            <w:vMerge w:val="restart"/>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СФО</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млрд</w:t>
            </w: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t xml:space="preserve">рублей</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2 282,8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2 887,1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3 302,6</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144,7</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tcW w:w="1858" w:type="dxa"/>
            <w:vAlign w:val="center"/>
            <w:vMerge w:val="continue"/>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в % к пред. году</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110,8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108,0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103,0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123,3</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shd w:val="clear" w:color="auto" w:fill="auto"/>
            <w:tcW w:w="1858" w:type="dxa"/>
            <w:vAlign w:val="center"/>
            <w:vMerge w:val="restart"/>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Россия</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млрд </w:t>
            </w:r>
            <w:r>
              <w:rPr>
                <w:rFonts w:ascii="PT Astra Serif" w:hAnsi="PT Astra Serif" w:eastAsia="Times New Roman" w:cs="Calibri"/>
                <w:sz w:val="20"/>
                <w:szCs w:val="20"/>
                <w:lang w:eastAsia="ru-RU"/>
              </w:rPr>
              <w:t xml:space="preserve">рублей</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23 239,5</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28 413,9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34 036,3</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146,5</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525"/>
        </w:trPr>
        <w:tc>
          <w:tcPr>
            <w:tcW w:w="1858" w:type="dxa"/>
            <w:vAlign w:val="center"/>
            <w:vMerge w:val="continue"/>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в % к пред. году</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108,6</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106,7</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109,8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127,2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315"/>
        </w:trPr>
        <w:tc>
          <w:tcPr>
            <w:gridSpan w:val="7"/>
            <w:shd w:val="clear" w:color="000000" w:fill="dbe5f1"/>
            <w:tcW w:w="9513" w:type="dxa"/>
            <w:vAlign w:val="center"/>
            <w:textDirection w:val="lrTb"/>
            <w:noWrap w:val="false"/>
          </w:tcPr>
          <w:p>
            <w:pPr>
              <w:jc w:val="cente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Оборот розничной торговли</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r>
      <w:tr>
        <w:tblPrEx/>
        <w:trPr>
          <w:trHeight w:val="91"/>
        </w:trPr>
        <w:tc>
          <w:tcPr>
            <w:shd w:val="clear" w:color="auto" w:fill="auto"/>
            <w:tcW w:w="1858" w:type="dxa"/>
            <w:vAlign w:val="center"/>
            <w:vMerge w:val="restart"/>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Томская область</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млрд </w:t>
            </w:r>
            <w:r>
              <w:rPr>
                <w:rFonts w:ascii="PT Astra Serif" w:hAnsi="PT Astra Serif" w:eastAsia="Times New Roman" w:cs="Calibri"/>
                <w:sz w:val="20"/>
                <w:szCs w:val="20"/>
                <w:lang w:eastAsia="ru-RU"/>
              </w:rPr>
              <w:t xml:space="preserve">рублей</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209,9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235,8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262,8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125,2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tcW w:w="1858" w:type="dxa"/>
            <w:vAlign w:val="center"/>
            <w:vMerge w:val="continue"/>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в % к пред. году</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112,9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97,6</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107,5</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118,5</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shd w:val="clear" w:color="auto" w:fill="auto"/>
            <w:tcW w:w="1858" w:type="dxa"/>
            <w:vAlign w:val="center"/>
            <w:vMerge w:val="restart"/>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СФО</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млрд </w:t>
            </w:r>
            <w:r>
              <w:rPr>
                <w:rFonts w:ascii="PT Astra Serif" w:hAnsi="PT Astra Serif" w:eastAsia="Times New Roman" w:cs="Calibri"/>
                <w:sz w:val="20"/>
                <w:szCs w:val="20"/>
                <w:lang w:eastAsia="ru-RU"/>
              </w:rPr>
              <w:t xml:space="preserve">рублей</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3 419,9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3 843,0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4 298,0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125,7</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tcW w:w="1858" w:type="dxa"/>
            <w:vAlign w:val="center"/>
            <w:vMerge w:val="continue"/>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в % к пред. году</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107,5</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97,4</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107,7</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112,8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shd w:val="clear" w:color="auto" w:fill="auto"/>
            <w:tcW w:w="1858" w:type="dxa"/>
            <w:vAlign w:val="center"/>
            <w:vMerge w:val="restart"/>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Россия</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млрд</w:t>
            </w: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t xml:space="preserve">рублей</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39 472,0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42 577,0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47 405,0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120,1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525"/>
        </w:trPr>
        <w:tc>
          <w:tcPr>
            <w:tcW w:w="1858" w:type="dxa"/>
            <w:vAlign w:val="center"/>
            <w:vMerge w:val="continue"/>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в % к пред. году</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107,8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93,5</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106,4</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107,2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315"/>
        </w:trPr>
        <w:tc>
          <w:tcPr>
            <w:gridSpan w:val="7"/>
            <w:shd w:val="clear" w:color="000000" w:fill="dbe5f1"/>
            <w:tcW w:w="9513" w:type="dxa"/>
            <w:vAlign w:val="center"/>
            <w:textDirection w:val="lrTb"/>
            <w:noWrap w:val="false"/>
          </w:tcPr>
          <w:p>
            <w:pPr>
              <w:jc w:val="cente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Объем платных услуг</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r>
      <w:tr>
        <w:tblPrEx/>
        <w:trPr>
          <w:trHeight w:val="91"/>
        </w:trPr>
        <w:tc>
          <w:tcPr>
            <w:shd w:val="clear" w:color="auto" w:fill="auto"/>
            <w:tcW w:w="1858" w:type="dxa"/>
            <w:vAlign w:val="center"/>
            <w:vMerge w:val="restart"/>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Томская область</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млрд</w:t>
            </w: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t xml:space="preserve">рублей</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53,0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56,1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62,1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117,2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510"/>
        </w:trPr>
        <w:tc>
          <w:tcPr>
            <w:tcW w:w="1858" w:type="dxa"/>
            <w:vAlign w:val="center"/>
            <w:vMerge w:val="continue"/>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в % к пред. году</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97,9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100,2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100,7</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98,8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shd w:val="clear" w:color="auto" w:fill="auto"/>
            <w:tcW w:w="1858" w:type="dxa"/>
            <w:vAlign w:val="center"/>
            <w:vMerge w:val="restart"/>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СФО</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млрд</w:t>
            </w: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t xml:space="preserve">рублей</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963,6</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1 111,7</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1 276,7</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132,5</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510"/>
        </w:trPr>
        <w:tc>
          <w:tcPr>
            <w:tcW w:w="1858" w:type="dxa"/>
            <w:vAlign w:val="center"/>
            <w:vMerge w:val="continue"/>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в % к пред. году</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112,1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105,7</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103,7</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122,9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91"/>
        </w:trPr>
        <w:tc>
          <w:tcPr>
            <w:shd w:val="clear" w:color="auto" w:fill="auto"/>
            <w:tcW w:w="1858" w:type="dxa"/>
            <w:vAlign w:val="center"/>
            <w:vMerge w:val="restart"/>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Россия</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м</w:t>
            </w:r>
            <w:r>
              <w:rPr>
                <w:rFonts w:ascii="PT Astra Serif" w:hAnsi="PT Astra Serif" w:eastAsia="Times New Roman" w:cs="Calibri"/>
                <w:sz w:val="20"/>
                <w:szCs w:val="20"/>
                <w:lang w:eastAsia="ru-RU"/>
              </w:rPr>
              <w:t xml:space="preserve">лрд</w:t>
            </w: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t xml:space="preserve">рублей</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11 370,9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12 919,5</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14 770,7</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129,9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525"/>
        </w:trPr>
        <w:tc>
          <w:tcPr>
            <w:tcW w:w="1858" w:type="dxa"/>
            <w:vAlign w:val="center"/>
            <w:vMerge w:val="continue"/>
            <w:textDirection w:val="lrTb"/>
            <w:noWrap w:val="false"/>
          </w:tcPr>
          <w:p>
            <w:pP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в % к пред. году</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117,2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105,0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104,1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128,1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315"/>
        </w:trPr>
        <w:tc>
          <w:tcPr>
            <w:gridSpan w:val="7"/>
            <w:shd w:val="clear" w:color="000000" w:fill="dbe5f1"/>
            <w:tcW w:w="9513" w:type="dxa"/>
            <w:vAlign w:val="center"/>
            <w:textDirection w:val="lrTb"/>
            <w:noWrap w:val="false"/>
          </w:tcPr>
          <w:p>
            <w:pPr>
              <w:jc w:val="cente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Сводный индекс потребительских цен</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r>
      <w:tr>
        <w:tblPrEx/>
        <w:trPr>
          <w:trHeight w:val="91"/>
        </w:trPr>
        <w:tc>
          <w:tcPr>
            <w:shd w:val="clear" w:color="auto" w:fill="auto"/>
            <w:tcW w:w="1858" w:type="dxa"/>
            <w:vAlign w:val="center"/>
            <w:textDirection w:val="lrTb"/>
            <w:noWrap w:val="false"/>
          </w:tcPr>
          <w:p>
            <w:pPr>
              <w:jc w:val="both"/>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Томская область</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auto" w:fill="auto"/>
            <w:tcW w:w="1375" w:type="dxa"/>
            <w:vAlign w:val="center"/>
            <w:vMerge w:val="restart"/>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декабрь к декабрю предыдущего года, в %</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107,5</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112,7</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107,6</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130,4</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300"/>
        </w:trPr>
        <w:tc>
          <w:tcPr>
            <w:shd w:val="clear" w:color="auto" w:fill="auto"/>
            <w:tcW w:w="1858" w:type="dxa"/>
            <w:vAlign w:val="center"/>
            <w:textDirection w:val="lrTb"/>
            <w:noWrap w:val="false"/>
          </w:tcPr>
          <w:p>
            <w:pPr>
              <w:jc w:val="both"/>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СФО</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tcW w:w="1375" w:type="dxa"/>
            <w:vAlign w:val="center"/>
            <w:vMerge w:val="continue"/>
            <w:textDirection w:val="lrTb"/>
            <w:noWrap w:val="false"/>
          </w:tcPr>
          <w:p>
            <w:pP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109,1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112,2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108,0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132,2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315"/>
        </w:trPr>
        <w:tc>
          <w:tcPr>
            <w:shd w:val="clear" w:color="auto" w:fill="auto"/>
            <w:tcW w:w="1858" w:type="dxa"/>
            <w:vAlign w:val="center"/>
            <w:textDirection w:val="lrTb"/>
            <w:noWrap w:val="false"/>
          </w:tcPr>
          <w:p>
            <w:pPr>
              <w:jc w:val="both"/>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Россия</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tcW w:w="1375" w:type="dxa"/>
            <w:vAlign w:val="center"/>
            <w:vMerge w:val="continue"/>
            <w:textDirection w:val="lrTb"/>
            <w:noWrap w:val="false"/>
          </w:tcPr>
          <w:p>
            <w:pP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108,4</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111,9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107,4</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130,3</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х</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315"/>
        </w:trPr>
        <w:tc>
          <w:tcPr>
            <w:gridSpan w:val="7"/>
            <w:shd w:val="clear" w:color="000000" w:fill="dbe5f1"/>
            <w:tcW w:w="9513" w:type="dxa"/>
            <w:vAlign w:val="center"/>
            <w:textDirection w:val="lrTb"/>
            <w:noWrap w:val="false"/>
          </w:tcPr>
          <w:p>
            <w:pPr>
              <w:jc w:val="cente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Денежные доходы в расче</w:t>
            </w:r>
            <w:r>
              <w:rPr>
                <w:rFonts w:ascii="PT Astra Serif" w:hAnsi="PT Astra Serif" w:eastAsia="Times New Roman" w:cs="Calibri"/>
                <w:b/>
                <w:bCs/>
                <w:sz w:val="20"/>
                <w:szCs w:val="20"/>
                <w:lang w:eastAsia="ru-RU"/>
              </w:rPr>
              <w:t xml:space="preserve">те на душу населения в месяц</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r>
      <w:tr>
        <w:tblPrEx/>
        <w:trPr>
          <w:trHeight w:val="300"/>
        </w:trPr>
        <w:tc>
          <w:tcPr>
            <w:shd w:val="clear" w:color="000000" w:fill="ffffff"/>
            <w:tcW w:w="1858" w:type="dxa"/>
            <w:vAlign w:val="center"/>
            <w:textDirection w:val="lrTb"/>
            <w:noWrap w:val="false"/>
          </w:tcPr>
          <w:p>
            <w:pPr>
              <w:jc w:val="both"/>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Томская область</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000000" w:fill="ffffff"/>
            <w:tcW w:w="1375" w:type="dxa"/>
            <w:vAlign w:val="center"/>
            <w:vMerge w:val="restart"/>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рублей</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31 054,0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34 766,0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39 076,0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x</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125,8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300"/>
        </w:trPr>
        <w:tc>
          <w:tcPr>
            <w:shd w:val="clear" w:color="000000" w:fill="ffffff"/>
            <w:tcW w:w="1858" w:type="dxa"/>
            <w:vAlign w:val="center"/>
            <w:textDirection w:val="lrTb"/>
            <w:noWrap w:val="false"/>
          </w:tcPr>
          <w:p>
            <w:pPr>
              <w:jc w:val="both"/>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СФО</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tcW w:w="1375" w:type="dxa"/>
            <w:vAlign w:val="center"/>
            <w:vMerge w:val="continue"/>
            <w:textDirection w:val="lrTb"/>
            <w:noWrap w:val="false"/>
          </w:tcPr>
          <w:p>
            <w:pP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30 778,0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35 548,0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40 352,0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x</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131,1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315"/>
        </w:trPr>
        <w:tc>
          <w:tcPr>
            <w:shd w:val="clear" w:color="000000" w:fill="ffffff"/>
            <w:tcW w:w="1858" w:type="dxa"/>
            <w:vAlign w:val="center"/>
            <w:textDirection w:val="lrTb"/>
            <w:noWrap w:val="false"/>
          </w:tcPr>
          <w:p>
            <w:pPr>
              <w:jc w:val="both"/>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Россия</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tcW w:w="1375" w:type="dxa"/>
            <w:vAlign w:val="center"/>
            <w:vMerge w:val="continue"/>
            <w:textDirection w:val="lrTb"/>
            <w:noWrap w:val="false"/>
          </w:tcPr>
          <w:p>
            <w:pP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40 304,0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45 307,0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50 265,0</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x</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124,7</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315"/>
        </w:trPr>
        <w:tc>
          <w:tcPr>
            <w:gridSpan w:val="7"/>
            <w:shd w:val="clear" w:color="000000" w:fill="dbe5f1"/>
            <w:tcW w:w="9513" w:type="dxa"/>
            <w:vAlign w:val="center"/>
            <w:textDirection w:val="lrTb"/>
            <w:noWrap w:val="false"/>
          </w:tcPr>
          <w:p>
            <w:pPr>
              <w:jc w:val="cente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Среднемесячная номинальная начисленная заработная плата</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r>
      <w:tr>
        <w:tblPrEx/>
        <w:trPr>
          <w:trHeight w:val="300"/>
        </w:trPr>
        <w:tc>
          <w:tcPr>
            <w:shd w:val="clear" w:color="000000" w:fill="ffffff"/>
            <w:tcW w:w="1858" w:type="dxa"/>
            <w:vAlign w:val="center"/>
            <w:textDirection w:val="lrTb"/>
            <w:noWrap w:val="false"/>
          </w:tcPr>
          <w:p>
            <w:pPr>
              <w:jc w:val="both"/>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Томская область</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000000" w:fill="ffffff"/>
            <w:tcW w:w="1375" w:type="dxa"/>
            <w:vAlign w:val="center"/>
            <w:vMerge w:val="restart"/>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рублей</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50 955</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57 879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64 812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x</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127,2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300"/>
        </w:trPr>
        <w:tc>
          <w:tcPr>
            <w:shd w:val="clear" w:color="000000" w:fill="ffffff"/>
            <w:tcW w:w="1858" w:type="dxa"/>
            <w:vAlign w:val="center"/>
            <w:textDirection w:val="lrTb"/>
            <w:noWrap w:val="false"/>
          </w:tcPr>
          <w:p>
            <w:pPr>
              <w:jc w:val="both"/>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СФО</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tcW w:w="1375" w:type="dxa"/>
            <w:vAlign w:val="center"/>
            <w:vMerge w:val="continue"/>
            <w:textDirection w:val="lrTb"/>
            <w:noWrap w:val="false"/>
          </w:tcPr>
          <w:p>
            <w:pP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48 883</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57 203</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65 039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x</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133,1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315"/>
        </w:trPr>
        <w:tc>
          <w:tcPr>
            <w:shd w:val="clear" w:color="000000" w:fill="ffffff"/>
            <w:tcW w:w="1858" w:type="dxa"/>
            <w:vAlign w:val="center"/>
            <w:textDirection w:val="lrTb"/>
            <w:noWrap w:val="false"/>
          </w:tcPr>
          <w:p>
            <w:pPr>
              <w:jc w:val="both"/>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Россия</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tcW w:w="1375" w:type="dxa"/>
            <w:vAlign w:val="center"/>
            <w:vMerge w:val="continue"/>
            <w:textDirection w:val="lrTb"/>
            <w:noWrap w:val="false"/>
          </w:tcPr>
          <w:p>
            <w:pP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57 244</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65 338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73 709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x</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128,8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315"/>
        </w:trPr>
        <w:tc>
          <w:tcPr>
            <w:gridSpan w:val="7"/>
            <w:shd w:val="clear" w:color="000000" w:fill="dbe5f1"/>
            <w:tcW w:w="9513" w:type="dxa"/>
            <w:vAlign w:val="center"/>
            <w:textDirection w:val="lrTb"/>
            <w:noWrap w:val="false"/>
          </w:tcPr>
          <w:p>
            <w:pPr>
              <w:jc w:val="center"/>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Коэффициент естественного прироста</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r>
      <w:tr>
        <w:tblPrEx/>
        <w:trPr>
          <w:trHeight w:val="300"/>
        </w:trPr>
        <w:tc>
          <w:tcPr>
            <w:shd w:val="clear" w:color="000000" w:fill="ffffff"/>
            <w:tcW w:w="1858" w:type="dxa"/>
            <w:vAlign w:val="center"/>
            <w:textDirection w:val="lrTb"/>
            <w:noWrap w:val="false"/>
          </w:tcPr>
          <w:p>
            <w:pPr>
              <w:jc w:val="both"/>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Томская область</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shd w:val="clear" w:color="000000" w:fill="ffffff"/>
            <w:tcW w:w="1375" w:type="dxa"/>
            <w:vAlign w:val="center"/>
            <w:vMerge w:val="restart"/>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человек на 1000 населения</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-6,6</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-3,9</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-3,6</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87,8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54,5</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300"/>
        </w:trPr>
        <w:tc>
          <w:tcPr>
            <w:shd w:val="clear" w:color="000000" w:fill="ffffff"/>
            <w:tcW w:w="1858" w:type="dxa"/>
            <w:vAlign w:val="center"/>
            <w:textDirection w:val="lrTb"/>
            <w:noWrap w:val="false"/>
          </w:tcPr>
          <w:p>
            <w:pPr>
              <w:jc w:val="both"/>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СФО</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tcW w:w="1375" w:type="dxa"/>
            <w:vAlign w:val="center"/>
            <w:vMerge w:val="continue"/>
            <w:textDirection w:val="lrTb"/>
            <w:noWrap w:val="false"/>
          </w:tcPr>
          <w:p>
            <w:pP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-7,4</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-4,8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-4,1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80,4</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55,4</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315"/>
        </w:trPr>
        <w:tc>
          <w:tcPr>
            <w:shd w:val="clear" w:color="000000" w:fill="ffffff"/>
            <w:tcW w:w="1858" w:type="dxa"/>
            <w:vAlign w:val="center"/>
            <w:textDirection w:val="lrTb"/>
            <w:noWrap w:val="false"/>
          </w:tcPr>
          <w:p>
            <w:pPr>
              <w:jc w:val="both"/>
              <w:spacing w:after="0" w:line="240" w:lineRule="auto"/>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Россия</w:t>
            </w:r>
            <w:r>
              <w:rPr>
                <w:rFonts w:ascii="PT Astra Serif" w:hAnsi="PT Astra Serif" w:eastAsia="Times New Roman" w:cs="Calibri"/>
                <w:b/>
                <w:bCs/>
                <w:sz w:val="20"/>
                <w:szCs w:val="20"/>
                <w:lang w:eastAsia="ru-RU"/>
              </w:rPr>
            </w:r>
            <w:r>
              <w:rPr>
                <w:rFonts w:ascii="PT Astra Serif" w:hAnsi="PT Astra Serif" w:eastAsia="Times New Roman" w:cs="Calibri"/>
                <w:b/>
                <w:bCs/>
                <w:sz w:val="20"/>
                <w:szCs w:val="20"/>
                <w:lang w:eastAsia="ru-RU"/>
              </w:rPr>
            </w:r>
          </w:p>
        </w:tc>
        <w:tc>
          <w:tcPr>
            <w:tcW w:w="1375" w:type="dxa"/>
            <w:vAlign w:val="center"/>
            <w:vMerge w:val="continue"/>
            <w:textDirection w:val="lrTb"/>
            <w:noWrap w:val="false"/>
          </w:tcPr>
          <w:p>
            <w:pP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137"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-7,2</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auto" w:fill="auto"/>
            <w:tcW w:w="1214"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-4,1</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188"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-3,3</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dbe5f1"/>
            <w:tcW w:w="1465"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68,8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c>
          <w:tcPr>
            <w:shd w:val="clear" w:color="000000" w:fill="ffffff"/>
            <w:tcW w:w="1276" w:type="dxa"/>
            <w:vAlign w:val="center"/>
            <w:textDirection w:val="lrTb"/>
            <w:noWrap w:val="false"/>
          </w:tcPr>
          <w:p>
            <w:pPr>
              <w:jc w:val="cente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45,8</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r>
        <w:tblPrEx/>
        <w:trPr>
          <w:trHeight w:val="300"/>
        </w:trPr>
        <w:tc>
          <w:tcPr>
            <w:gridSpan w:val="7"/>
            <w:shd w:val="clear" w:color="auto" w:fill="auto"/>
            <w:tcBorders>
              <w:left w:val="none" w:color="000000" w:sz="4" w:space="0"/>
              <w:bottom w:val="none" w:color="000000" w:sz="4" w:space="0"/>
              <w:right w:val="none" w:color="000000" w:sz="4" w:space="0"/>
            </w:tcBorders>
            <w:tcW w:w="9513" w:type="dxa"/>
            <w:vAlign w:val="center"/>
            <w:textDirection w:val="lrTb"/>
            <w:noWrap/>
          </w:tcPr>
          <w:p>
            <w:pPr>
              <w:spacing w:after="0" w:line="240" w:lineRule="auto"/>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 оценка Департамента экономики Администрации Томской области</w:t>
            </w:r>
            <w:r>
              <w:rPr>
                <w:rFonts w:ascii="PT Astra Serif" w:hAnsi="PT Astra Serif" w:eastAsia="Times New Roman" w:cs="Calibri"/>
                <w:sz w:val="20"/>
                <w:szCs w:val="20"/>
                <w:lang w:eastAsia="ru-RU"/>
              </w:rPr>
            </w:r>
            <w:r>
              <w:rPr>
                <w:rFonts w:ascii="PT Astra Serif" w:hAnsi="PT Astra Serif" w:eastAsia="Times New Roman" w:cs="Calibri"/>
                <w:sz w:val="20"/>
                <w:szCs w:val="20"/>
                <w:lang w:eastAsia="ru-RU"/>
              </w:rPr>
            </w:r>
          </w:p>
        </w:tc>
      </w:tr>
    </w:tbl>
    <w:p>
      <w:pPr>
        <w:jc w:val="center"/>
        <w:spacing w:after="0" w:line="240" w:lineRule="auto"/>
        <w:tabs>
          <w:tab w:val="left" w:pos="0"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spacing w:after="0" w:line="240" w:lineRule="auto"/>
        <w:rPr>
          <w:rFonts w:ascii="PT Astra Serif" w:hAnsi="PT Astra Serif"/>
          <w:b/>
          <w:sz w:val="24"/>
          <w:szCs w:val="24"/>
          <w:shd w:val="clear" w:color="auto" w:fill="f2f2f2" w:themeFill="background1" w:themeFillShade="F2"/>
        </w:rPr>
        <w:sectPr>
          <w:footnotePr/>
          <w:endnotePr/>
          <w:type w:val="nextPage"/>
          <w:pgSz w:w="11906" w:h="16838" w:orient="portrait"/>
          <w:pgMar w:top="1134" w:right="850" w:bottom="1134" w:left="1701" w:header="708" w:footer="708" w:gutter="0"/>
          <w:cols w:num="1" w:sep="0" w:space="708" w:equalWidth="1"/>
          <w:docGrid w:linePitch="360"/>
        </w:sect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67"/>
        <w:outlineLvl w:val="1"/>
      </w:pPr>
      <w:r/>
      <w:bookmarkStart w:id="33" w:name="_Toc134630422"/>
      <w:r>
        <w:t xml:space="preserve">Приложение № 2</w:t>
      </w:r>
      <w:bookmarkEnd w:id="33"/>
      <w:r/>
      <w:r/>
    </w:p>
    <w:p>
      <w:pPr>
        <w:jc w:val="right"/>
        <w:spacing w:after="0" w:line="240" w:lineRule="auto"/>
        <w:tabs>
          <w:tab w:val="left" w:pos="993" w:leader="none"/>
          <w:tab w:val="left" w:pos="4962" w:leader="none"/>
        </w:tabs>
        <w:rPr>
          <w:rFonts w:ascii="PT Astra Serif" w:hAnsi="PT Astra Serif" w:eastAsia="Calibri"/>
          <w:b/>
          <w:sz w:val="24"/>
          <w:szCs w:val="24"/>
        </w:rPr>
      </w:pPr>
      <w:r>
        <w:rPr>
          <w:rFonts w:ascii="PT Astra Serif" w:hAnsi="PT Astra Serif" w:eastAsia="Calibri"/>
          <w:b/>
          <w:sz w:val="24"/>
          <w:szCs w:val="24"/>
        </w:rPr>
      </w:r>
      <w:r>
        <w:rPr>
          <w:rFonts w:ascii="PT Astra Serif" w:hAnsi="PT Astra Serif" w:eastAsia="Calibri"/>
          <w:b/>
          <w:sz w:val="24"/>
          <w:szCs w:val="24"/>
        </w:rPr>
      </w:r>
      <w:r>
        <w:rPr>
          <w:rFonts w:ascii="PT Astra Serif" w:hAnsi="PT Astra Serif" w:eastAsia="Calibri"/>
          <w:b/>
          <w:sz w:val="24"/>
          <w:szCs w:val="24"/>
        </w:rPr>
      </w:r>
    </w:p>
    <w:p>
      <w:pPr>
        <w:ind w:firstLine="567"/>
        <w:jc w:val="center"/>
        <w:spacing w:after="0" w:line="240" w:lineRule="auto"/>
        <w:tabs>
          <w:tab w:val="left" w:pos="993" w:leader="none"/>
          <w:tab w:val="left" w:pos="4962" w:leader="none"/>
        </w:tabs>
        <w:rPr>
          <w:rFonts w:ascii="PT Astra Serif" w:hAnsi="PT Astra Serif" w:eastAsia="Calibri"/>
          <w:b/>
          <w:sz w:val="24"/>
          <w:szCs w:val="24"/>
        </w:rPr>
      </w:pPr>
      <w:r>
        <w:rPr>
          <w:rFonts w:ascii="PT Astra Serif" w:hAnsi="PT Astra Serif" w:eastAsia="Calibri"/>
          <w:b/>
          <w:sz w:val="24"/>
          <w:szCs w:val="24"/>
        </w:rPr>
        <w:t xml:space="preserve">Мониторинг исполнения основных показателей Стратегии социально-экономического развития Томской области до 2030 года в 202</w:t>
      </w:r>
      <w:r>
        <w:rPr>
          <w:rFonts w:ascii="PT Astra Serif" w:hAnsi="PT Astra Serif" w:eastAsia="Calibri"/>
          <w:b/>
          <w:sz w:val="24"/>
          <w:szCs w:val="24"/>
        </w:rPr>
        <w:t xml:space="preserve">3</w:t>
      </w:r>
      <w:r>
        <w:rPr>
          <w:rFonts w:ascii="PT Astra Serif" w:hAnsi="PT Astra Serif" w:eastAsia="Calibri"/>
          <w:b/>
          <w:sz w:val="24"/>
          <w:szCs w:val="24"/>
        </w:rPr>
        <w:t xml:space="preserve"> году</w:t>
      </w:r>
      <w:r>
        <w:rPr>
          <w:rFonts w:ascii="PT Astra Serif" w:hAnsi="PT Astra Serif" w:eastAsia="Calibri"/>
          <w:b/>
          <w:sz w:val="24"/>
          <w:szCs w:val="24"/>
        </w:rPr>
      </w:r>
      <w:r>
        <w:rPr>
          <w:rFonts w:ascii="PT Astra Serif" w:hAnsi="PT Astra Serif" w:eastAsia="Calibri"/>
          <w:b/>
          <w:sz w:val="24"/>
          <w:szCs w:val="24"/>
        </w:rPr>
      </w:r>
    </w:p>
    <w:tbl>
      <w:tblPr>
        <w:tblStyle w:val="1142"/>
        <w:tblW w:w="15310" w:type="dxa"/>
        <w:tblInd w:w="-176" w:type="dxa"/>
        <w:tblLayout w:type="fixed"/>
        <w:tblLook w:val="04A0" w:firstRow="1" w:lastRow="0" w:firstColumn="1" w:lastColumn="0" w:noHBand="0" w:noVBand="1"/>
      </w:tblPr>
      <w:tblGrid>
        <w:gridCol w:w="4394"/>
        <w:gridCol w:w="1418"/>
        <w:gridCol w:w="1275"/>
        <w:gridCol w:w="1418"/>
        <w:gridCol w:w="6805"/>
      </w:tblGrid>
      <w:tr>
        <w:tblPrEx/>
        <w:trPr/>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jc w:val="center"/>
              <w:rPr>
                <w:rFonts w:ascii="PT Astra Serif" w:hAnsi="PT Astra Serif"/>
                <w:sz w:val="20"/>
                <w:szCs w:val="20"/>
              </w:rPr>
            </w:pPr>
            <w:r>
              <w:rPr>
                <w:rFonts w:ascii="PT Astra Serif" w:hAnsi="PT Astra Serif" w:eastAsia="Times New Roman"/>
                <w:sz w:val="20"/>
                <w:szCs w:val="20"/>
              </w:rPr>
              <w:t xml:space="preserve">Наименование показателя достижения целей и задач социально-экономического развития</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PT Astra Serif" w:hAnsi="PT Astra Serif" w:eastAsia="Times New Roman"/>
                <w:sz w:val="20"/>
                <w:szCs w:val="20"/>
              </w:rPr>
            </w:pPr>
            <w:r>
              <w:rPr>
                <w:rFonts w:ascii="PT Astra Serif" w:hAnsi="PT Astra Serif" w:eastAsia="Times New Roman"/>
                <w:sz w:val="20"/>
                <w:szCs w:val="20"/>
              </w:rPr>
              <w:t xml:space="preserve">Факт</w:t>
            </w:r>
            <w:r>
              <w:rPr>
                <w:rFonts w:ascii="PT Astra Serif" w:hAnsi="PT Astra Serif" w:eastAsia="Times New Roman"/>
                <w:sz w:val="20"/>
                <w:szCs w:val="20"/>
              </w:rPr>
            </w:r>
            <w:r>
              <w:rPr>
                <w:rFonts w:ascii="PT Astra Serif" w:hAnsi="PT Astra Serif" w:eastAsia="Times New Roman"/>
                <w:sz w:val="20"/>
                <w:szCs w:val="20"/>
              </w:rPr>
            </w:r>
          </w:p>
          <w:p>
            <w:pPr>
              <w:jc w:val="center"/>
              <w:rPr>
                <w:rFonts w:ascii="PT Astra Serif" w:hAnsi="PT Astra Serif" w:eastAsia="Times New Roman"/>
                <w:sz w:val="20"/>
                <w:szCs w:val="20"/>
              </w:rPr>
            </w:pPr>
            <w:r>
              <w:rPr>
                <w:rFonts w:ascii="PT Astra Serif" w:hAnsi="PT Astra Serif" w:eastAsia="Times New Roman"/>
                <w:sz w:val="20"/>
                <w:szCs w:val="20"/>
              </w:rPr>
              <w:t xml:space="preserve">2023 год</w:t>
            </w:r>
            <w:r>
              <w:rPr>
                <w:rFonts w:ascii="PT Astra Serif" w:hAnsi="PT Astra Serif" w:eastAsia="Times New Roman"/>
                <w:sz w:val="20"/>
                <w:szCs w:val="20"/>
              </w:rPr>
            </w:r>
            <w:r>
              <w:rPr>
                <w:rFonts w:ascii="PT Astra Serif" w:hAnsi="PT Astra Serif" w:eastAsia="Times New Roman"/>
                <w:sz w:val="20"/>
                <w:szCs w:val="20"/>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PT Astra Serif" w:hAnsi="PT Astra Serif" w:eastAsia="Times New Roman"/>
                <w:sz w:val="20"/>
                <w:szCs w:val="20"/>
              </w:rPr>
            </w:pPr>
            <w:r>
              <w:rPr>
                <w:rFonts w:ascii="PT Astra Serif" w:hAnsi="PT Astra Serif" w:eastAsia="Times New Roman"/>
                <w:sz w:val="20"/>
                <w:szCs w:val="20"/>
              </w:rPr>
              <w:t xml:space="preserve">Оценка </w:t>
            </w:r>
            <w:r>
              <w:rPr>
                <w:rFonts w:ascii="PT Astra Serif" w:hAnsi="PT Astra Serif" w:eastAsia="Times New Roman"/>
                <w:sz w:val="20"/>
                <w:szCs w:val="20"/>
              </w:rPr>
            </w:r>
            <w:r>
              <w:rPr>
                <w:rFonts w:ascii="PT Astra Serif" w:hAnsi="PT Astra Serif" w:eastAsia="Times New Roman"/>
                <w:sz w:val="20"/>
                <w:szCs w:val="20"/>
              </w:rPr>
            </w:r>
          </w:p>
          <w:p>
            <w:pPr>
              <w:jc w:val="center"/>
              <w:rPr>
                <w:rFonts w:ascii="PT Astra Serif" w:hAnsi="PT Astra Serif" w:eastAsia="Times New Roman"/>
                <w:sz w:val="20"/>
                <w:szCs w:val="20"/>
              </w:rPr>
            </w:pPr>
            <w:r>
              <w:rPr>
                <w:rFonts w:ascii="PT Astra Serif" w:hAnsi="PT Astra Serif" w:eastAsia="Times New Roman"/>
                <w:sz w:val="20"/>
                <w:szCs w:val="20"/>
              </w:rPr>
              <w:t xml:space="preserve">2024 год</w:t>
            </w:r>
            <w:r>
              <w:rPr>
                <w:rFonts w:ascii="PT Astra Serif" w:hAnsi="PT Astra Serif" w:eastAsia="Times New Roman"/>
                <w:sz w:val="20"/>
                <w:szCs w:val="20"/>
              </w:rPr>
            </w:r>
            <w:r>
              <w:rPr>
                <w:rFonts w:ascii="PT Astra Serif" w:hAnsi="PT Astra Serif" w:eastAsia="Times New Roman"/>
                <w:sz w:val="20"/>
                <w:szCs w:val="20"/>
              </w:rP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PT Astra Serif" w:hAnsi="PT Astra Serif" w:eastAsia="Times New Roman"/>
                <w:sz w:val="20"/>
                <w:szCs w:val="20"/>
              </w:rPr>
            </w:pPr>
            <w:r>
              <w:rPr>
                <w:rFonts w:ascii="PT Astra Serif" w:hAnsi="PT Astra Serif" w:eastAsia="Times New Roman"/>
                <w:sz w:val="20"/>
                <w:szCs w:val="20"/>
              </w:rPr>
              <w:t xml:space="preserve">Целевое значение</w:t>
            </w:r>
            <w:r>
              <w:rPr>
                <w:rFonts w:ascii="PT Astra Serif" w:hAnsi="PT Astra Serif" w:eastAsia="Times New Roman"/>
                <w:sz w:val="20"/>
                <w:szCs w:val="20"/>
              </w:rPr>
            </w:r>
            <w:r>
              <w:rPr>
                <w:rFonts w:ascii="PT Astra Serif" w:hAnsi="PT Astra Serif" w:eastAsia="Times New Roman"/>
                <w:sz w:val="20"/>
                <w:szCs w:val="20"/>
              </w:rPr>
            </w:r>
          </w:p>
          <w:p>
            <w:pPr>
              <w:jc w:val="center"/>
              <w:rPr>
                <w:rFonts w:ascii="PT Astra Serif" w:hAnsi="PT Astra Serif" w:eastAsia="Times New Roman"/>
                <w:sz w:val="20"/>
                <w:szCs w:val="20"/>
              </w:rPr>
            </w:pPr>
            <w:r>
              <w:rPr>
                <w:rFonts w:ascii="PT Astra Serif" w:hAnsi="PT Astra Serif" w:eastAsia="Times New Roman"/>
                <w:sz w:val="20"/>
                <w:szCs w:val="20"/>
              </w:rPr>
              <w:t xml:space="preserve">2024 год</w:t>
            </w:r>
            <w:r>
              <w:rPr>
                <w:rFonts w:ascii="PT Astra Serif" w:hAnsi="PT Astra Serif" w:eastAsia="Times New Roman"/>
                <w:sz w:val="20"/>
                <w:szCs w:val="20"/>
              </w:rPr>
            </w:r>
            <w:r>
              <w:rPr>
                <w:rFonts w:ascii="PT Astra Serif" w:hAnsi="PT Astra Serif" w:eastAsia="Times New Roman"/>
                <w:sz w:val="20"/>
                <w:szCs w:val="20"/>
              </w:rP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val="false"/>
          </w:tcPr>
          <w:p>
            <w:pPr>
              <w:jc w:val="center"/>
              <w:rPr>
                <w:rFonts w:ascii="PT Astra Serif" w:hAnsi="PT Astra Serif" w:eastAsia="Times New Roman"/>
                <w:sz w:val="20"/>
                <w:szCs w:val="20"/>
              </w:rPr>
            </w:pPr>
            <w:r>
              <w:rPr>
                <w:rFonts w:ascii="PT Astra Serif" w:hAnsi="PT Astra Serif" w:eastAsia="Times New Roman"/>
                <w:sz w:val="20"/>
                <w:szCs w:val="20"/>
              </w:rPr>
              <w:t xml:space="preserve">Краткое описание достигнутых значений показателей в 2023 году, оценка достижения показателя в 2024 году </w:t>
            </w:r>
            <w:r>
              <w:rPr>
                <w:rFonts w:ascii="PT Astra Serif" w:hAnsi="PT Astra Serif" w:eastAsia="Times New Roman"/>
                <w:sz w:val="20"/>
                <w:szCs w:val="20"/>
              </w:rPr>
            </w:r>
            <w:r>
              <w:rPr>
                <w:rFonts w:ascii="PT Astra Serif" w:hAnsi="PT Astra Serif" w:eastAsia="Times New Roman"/>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eastAsia="Times New Roman"/>
                <w:sz w:val="20"/>
                <w:szCs w:val="20"/>
              </w:rPr>
              <w:t xml:space="preserve">Цель 1. </w:t>
            </w:r>
            <w:r>
              <w:rPr>
                <w:rFonts w:ascii="PT Astra Serif" w:hAnsi="PT Astra Serif"/>
                <w:sz w:val="20"/>
                <w:szCs w:val="20"/>
              </w:rPr>
              <w:t xml:space="preserve">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ind w:right="391"/>
              <w:rPr>
                <w:rFonts w:ascii="PT Astra Serif" w:hAnsi="PT Astra Serif"/>
                <w:sz w:val="20"/>
                <w:szCs w:val="20"/>
              </w:rPr>
            </w:pPr>
            <w:r>
              <w:rPr>
                <w:rFonts w:ascii="PT Astra Serif" w:hAnsi="PT Astra Serif"/>
                <w:sz w:val="20"/>
                <w:szCs w:val="20"/>
              </w:rPr>
              <w:t xml:space="preserve">Темп роста ВРП</w:t>
            </w:r>
            <w:r>
              <w:rPr>
                <w:rFonts w:ascii="PT Astra Serif" w:hAnsi="PT Astra Serif"/>
                <w:sz w:val="20"/>
                <w:szCs w:val="20"/>
              </w:rPr>
              <w:t xml:space="preserve">,</w:t>
            </w:r>
            <w:r>
              <w:rPr>
                <w:rFonts w:ascii="PT Astra Serif" w:hAnsi="PT Astra Serif"/>
                <w:sz w:val="20"/>
                <w:szCs w:val="20"/>
              </w:rPr>
              <w:t xml:space="preserve"> в сопоставимых ценах к 2020 году, %</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rPr>
                <w:rFonts w:ascii="PT Astra Serif" w:hAnsi="PT Astra Serif"/>
                <w:sz w:val="20"/>
                <w:szCs w:val="20"/>
              </w:rPr>
            </w:pPr>
            <w:r>
              <w:rPr>
                <w:rFonts w:ascii="PT Astra Serif" w:hAnsi="PT Astra Serif"/>
                <w:sz w:val="20"/>
                <w:szCs w:val="20"/>
              </w:rPr>
              <w:t xml:space="preserve">103,70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eastAsiaTheme="minorHAnsi"/>
                <w:szCs w:val="20"/>
                <w:lang w:eastAsia="en-US"/>
              </w:rPr>
            </w:pPr>
            <w:r>
              <w:rPr>
                <w:rFonts w:ascii="PT Astra Serif" w:hAnsi="PT Astra Serif" w:eastAsiaTheme="minorHAnsi"/>
                <w:szCs w:val="20"/>
                <w:lang w:eastAsia="en-US"/>
              </w:rPr>
              <w:t xml:space="preserve">103,80</w:t>
            </w:r>
            <w:r>
              <w:rPr>
                <w:rFonts w:ascii="PT Astra Serif" w:hAnsi="PT Astra Serif" w:eastAsiaTheme="minorHAnsi"/>
                <w:szCs w:val="20"/>
                <w:lang w:eastAsia="en-US"/>
              </w:rPr>
            </w:r>
            <w:r>
              <w:rPr>
                <w:rFonts w:ascii="PT Astra Serif" w:hAnsi="PT Astra Serif" w:eastAsiaTheme="minorHAnsi"/>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eastAsiaTheme="minorHAnsi"/>
                <w:szCs w:val="20"/>
                <w:lang w:eastAsia="en-US"/>
              </w:rPr>
            </w:pPr>
            <w:r>
              <w:rPr>
                <w:rFonts w:ascii="PT Astra Serif" w:hAnsi="PT Astra Serif" w:eastAsiaTheme="minorHAnsi"/>
                <w:szCs w:val="20"/>
                <w:lang w:eastAsia="en-US"/>
              </w:rPr>
              <w:t xml:space="preserve">117,46</w:t>
            </w:r>
            <w:r>
              <w:rPr>
                <w:rFonts w:ascii="PT Astra Serif" w:hAnsi="PT Astra Serif" w:eastAsiaTheme="minorHAnsi"/>
                <w:szCs w:val="20"/>
                <w:lang w:eastAsia="en-US"/>
              </w:rPr>
            </w:r>
            <w:r>
              <w:rPr>
                <w:rFonts w:ascii="PT Astra Serif" w:hAnsi="PT Astra Serif" w:eastAsiaTheme="minorHAnsi"/>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Умеренные темпы роста ВРП</w:t>
            </w:r>
            <w:r>
              <w:rPr>
                <w:rFonts w:ascii="PT Astra Serif" w:hAnsi="PT Astra Serif"/>
                <w:szCs w:val="20"/>
                <w:lang w:eastAsia="en-US"/>
              </w:rPr>
              <w:t xml:space="preserve"> в 2023 году к 2022 году (100,1% - по оценке Департамента экономики АТО, 103,7% - накопительно к 2020 году) связаны с существенным сокращением объемов добычи нефти, спада в сферах водоснабжения и энергетики, а также снижения производства сельхозпродукции. </w:t>
            </w:r>
            <w:r>
              <w:rPr>
                <w:rFonts w:ascii="PT Astra Serif" w:hAnsi="PT Astra Serif"/>
                <w:szCs w:val="20"/>
                <w:lang w:eastAsia="en-US"/>
              </w:rPr>
            </w:r>
            <w:r>
              <w:rPr>
                <w:rFonts w:ascii="PT Astra Serif" w:hAnsi="PT Astra Serif"/>
                <w:szCs w:val="20"/>
                <w:lang w:eastAsia="en-US"/>
              </w:rPr>
            </w:r>
          </w:p>
          <w:p>
            <w:pPr>
              <w:pStyle w:val="1166"/>
              <w:rPr>
                <w:rFonts w:ascii="PT Astra Serif" w:hAnsi="PT Astra Serif"/>
                <w:szCs w:val="20"/>
                <w:lang w:eastAsia="en-US"/>
              </w:rPr>
            </w:pPr>
            <w:r>
              <w:rPr>
                <w:rFonts w:ascii="PT Astra Serif" w:hAnsi="PT Astra Serif"/>
                <w:szCs w:val="20"/>
                <w:lang w:eastAsia="en-US"/>
              </w:rPr>
              <w:t xml:space="preserve">По итогам 2024 года ВРП к 2023 году оценивается на уровне 101,2% или накопительно к 2020 году - 103,8%.</w:t>
            </w:r>
            <w:r>
              <w:rPr>
                <w:rFonts w:ascii="PT Astra Serif" w:hAnsi="PT Astra Serif"/>
                <w:szCs w:val="20"/>
                <w:lang w:eastAsia="en-US"/>
              </w:rPr>
            </w:r>
            <w:r>
              <w:rPr>
                <w:rFonts w:ascii="PT Astra Serif" w:hAnsi="PT Astra Serif"/>
                <w:szCs w:val="20"/>
                <w:lang w:eastAsia="en-US"/>
              </w:rPr>
            </w:r>
          </w:p>
          <w:p>
            <w:pPr>
              <w:pStyle w:val="1166"/>
              <w:rPr>
                <w:rFonts w:ascii="PT Astra Serif" w:hAnsi="PT Astra Serif"/>
                <w:szCs w:val="20"/>
                <w:lang w:eastAsia="en-US"/>
              </w:rPr>
            </w:pPr>
            <w:r>
              <w:rPr>
                <w:rFonts w:ascii="PT Astra Serif" w:hAnsi="PT Astra Serif"/>
                <w:szCs w:val="20"/>
                <w:lang w:eastAsia="en-US"/>
              </w:rPr>
              <w:t xml:space="preserve">В связи с более сдержанным ростом промпроизводства, строительства на фоне санкционных ограничений</w:t>
            </w:r>
            <w:r>
              <w:rPr>
                <w:rFonts w:ascii="PT Astra Serif" w:hAnsi="PT Astra Serif"/>
                <w:szCs w:val="20"/>
                <w:lang w:eastAsia="en-US"/>
              </w:rPr>
              <w:t xml:space="preserve">,</w:t>
            </w:r>
            <w:r>
              <w:rPr>
                <w:rFonts w:ascii="PT Astra Serif" w:hAnsi="PT Astra Serif"/>
                <w:szCs w:val="20"/>
                <w:lang w:eastAsia="en-US"/>
              </w:rPr>
              <w:t xml:space="preserve"> исходя из текущих тенденций, существуют риски недостижения</w:t>
            </w:r>
            <w:r>
              <w:rPr>
                <w:rFonts w:ascii="PT Astra Serif" w:hAnsi="PT Astra Serif"/>
                <w:szCs w:val="20"/>
                <w:lang w:eastAsia="en-US"/>
              </w:rPr>
              <w:t xml:space="preserve"> целевого значения на 2024 год</w:t>
            </w:r>
            <w:r>
              <w:rPr>
                <w:rFonts w:ascii="PT Astra Serif" w:hAnsi="PT Astra Serif"/>
                <w:szCs w:val="20"/>
                <w:lang w:eastAsia="en-US"/>
              </w:rPr>
            </w:r>
            <w:r>
              <w:rPr>
                <w:rFonts w:ascii="PT Astra Serif" w:hAnsi="PT Astra Serif"/>
                <w:szCs w:val="20"/>
                <w:lang w:eastAsia="en-US"/>
              </w:rPr>
            </w:r>
          </w:p>
        </w:tc>
      </w:tr>
      <w:tr>
        <w:tblPrEx/>
        <w:trPr/>
        <w:tc>
          <w:tcPr>
            <w:tcBorders>
              <w:top w:val="single" w:color="auto" w:sz="4" w:space="0"/>
              <w:left w:val="single" w:color="auto" w:sz="4" w:space="0"/>
              <w:bottom w:val="single" w:color="auto" w:sz="4" w:space="0"/>
              <w:right w:val="single" w:color="auto" w:sz="4" w:space="0"/>
            </w:tcBorders>
            <w:tcW w:w="4394" w:type="dxa"/>
            <w:textDirection w:val="lrTb"/>
            <w:noWrap w:val="false"/>
          </w:tcPr>
          <w:p>
            <w:pPr>
              <w:ind w:right="391"/>
              <w:rPr>
                <w:rFonts w:ascii="PT Astra Serif" w:hAnsi="PT Astra Serif"/>
                <w:sz w:val="20"/>
                <w:szCs w:val="20"/>
              </w:rPr>
            </w:pPr>
            <w:r>
              <w:rPr>
                <w:rFonts w:ascii="PT Astra Serif" w:hAnsi="PT Astra Serif"/>
                <w:sz w:val="20"/>
                <w:szCs w:val="20"/>
              </w:rPr>
              <w:t xml:space="preserve">Доля продукции высокотехнологичных и наукоемких отраслей экономики в валовом региональном продукте, %</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rPr>
                <w:rFonts w:ascii="PT Astra Serif" w:hAnsi="PT Astra Serif"/>
                <w:sz w:val="20"/>
                <w:szCs w:val="20"/>
              </w:rPr>
            </w:pPr>
            <w:r>
              <w:rPr>
                <w:rFonts w:ascii="PT Astra Serif" w:hAnsi="PT Astra Serif"/>
                <w:sz w:val="20"/>
                <w:szCs w:val="20"/>
              </w:rPr>
              <w:t xml:space="preserve">22,20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PT Astra Serif" w:hAnsi="PT Astra Serif"/>
                <w:sz w:val="20"/>
                <w:szCs w:val="20"/>
              </w:rPr>
            </w:pPr>
            <w:r>
              <w:rPr>
                <w:rFonts w:ascii="PT Astra Serif" w:hAnsi="PT Astra Serif"/>
                <w:sz w:val="20"/>
                <w:szCs w:val="20"/>
              </w:rPr>
              <w:t xml:space="preserve">22,60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22,60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sz w:val="20"/>
                <w:szCs w:val="20"/>
              </w:rPr>
            </w:pPr>
            <w:r>
              <w:rPr>
                <w:rFonts w:ascii="PT Astra Serif" w:hAnsi="PT Astra Serif"/>
                <w:sz w:val="20"/>
                <w:szCs w:val="20"/>
              </w:rPr>
              <w:t xml:space="preserve">По оценке значение показателя в 2023 составит  22,20% (факт 2022 года – 20,7%). Наблюдается рост на фоне снятия ограничений, направленных на предотвращение распространения новой коро</w:t>
            </w:r>
            <w:r>
              <w:rPr>
                <w:rFonts w:ascii="PT Astra Serif" w:hAnsi="PT Astra Serif"/>
                <w:sz w:val="20"/>
                <w:szCs w:val="20"/>
              </w:rPr>
              <w:t xml:space="preserve">навирусной инфекции (COVID-2019). В целом динамика показателя является положительной при условии отсутствия отрицательных тенденций к сокращению доли продукции ввиду ограничительных и санкционных мер, проблем с импортозамещением у российских производителей</w:t>
            </w:r>
            <w:r>
              <w:rPr>
                <w:rFonts w:ascii="PT Astra Serif" w:hAnsi="PT Astra Serif"/>
                <w:sz w:val="20"/>
                <w:szCs w:val="20"/>
              </w:rPr>
            </w:r>
            <w:r>
              <w:rPr>
                <w:rFonts w:ascii="PT Astra Serif" w:hAnsi="PT Astra Serif"/>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Задача 1.1. Обеспечить развитие промышленности Томской области посредством модернизации системообразующих секторов и создания новых промышленных кластеров</w:t>
            </w:r>
            <w:r>
              <w:rPr>
                <w:rFonts w:ascii="PT Astra Serif" w:hAnsi="PT Astra Serif"/>
                <w:sz w:val="20"/>
                <w:szCs w:val="20"/>
              </w:rPr>
            </w:r>
            <w:r>
              <w:rPr>
                <w:rFonts w:ascii="PT Astra Serif" w:hAnsi="PT Astra Serif"/>
                <w:sz w:val="20"/>
                <w:szCs w:val="20"/>
              </w:rPr>
            </w:r>
          </w:p>
        </w:tc>
      </w:tr>
      <w:tr>
        <w:tblPrEx/>
        <w:trPr/>
        <w:tc>
          <w:tcPr>
            <w:tcBorders>
              <w:top w:val="single" w:color="auto" w:sz="4" w:space="0"/>
              <w:left w:val="single" w:color="auto" w:sz="4" w:space="0"/>
              <w:bottom w:val="single" w:color="auto" w:sz="4" w:space="0"/>
              <w:right w:val="single" w:color="auto" w:sz="4" w:space="0"/>
            </w:tcBorders>
            <w:tcW w:w="4394" w:type="dxa"/>
            <w:textDirection w:val="lrTb"/>
            <w:noWrap w:val="false"/>
          </w:tcPr>
          <w:p>
            <w:pPr>
              <w:ind w:right="391"/>
              <w:rPr>
                <w:rFonts w:ascii="PT Astra Serif" w:hAnsi="PT Astra Serif"/>
                <w:sz w:val="20"/>
                <w:szCs w:val="20"/>
              </w:rPr>
            </w:pPr>
            <w:r>
              <w:rPr>
                <w:rFonts w:ascii="PT Astra Serif" w:hAnsi="PT Astra Serif"/>
                <w:sz w:val="20"/>
                <w:szCs w:val="20"/>
              </w:rPr>
              <w:t xml:space="preserve">Доля вида экономической деятельности «Добыча полезных ископаемых» в общем объеме промышленного производства, %</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rPr>
                <w:rFonts w:ascii="PT Astra Serif" w:hAnsi="PT Astra Serif"/>
                <w:sz w:val="20"/>
                <w:szCs w:val="20"/>
                <w:lang w:val="en-US"/>
              </w:rPr>
            </w:pPr>
            <w:r>
              <w:rPr>
                <w:rFonts w:ascii="PT Astra Serif" w:hAnsi="PT Astra Serif"/>
                <w:sz w:val="20"/>
                <w:szCs w:val="20"/>
              </w:rPr>
              <w:t xml:space="preserve">39,11</w:t>
            </w:r>
            <w:r>
              <w:rPr>
                <w:rFonts w:ascii="PT Astra Serif" w:hAnsi="PT Astra Serif"/>
                <w:sz w:val="20"/>
                <w:szCs w:val="20"/>
                <w:lang w:val="en-US"/>
              </w:rPr>
            </w:r>
            <w:r>
              <w:rPr>
                <w:rFonts w:ascii="PT Astra Serif" w:hAnsi="PT Astra Serif"/>
                <w:sz w:val="20"/>
                <w:szCs w:val="20"/>
                <w:lang w:val="en-US"/>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PT Astra Serif" w:hAnsi="PT Astra Serif"/>
                <w:sz w:val="20"/>
                <w:szCs w:val="20"/>
              </w:rPr>
            </w:pPr>
            <w:r>
              <w:rPr>
                <w:rFonts w:ascii="PT Astra Serif" w:hAnsi="PT Astra Serif"/>
                <w:sz w:val="20"/>
                <w:szCs w:val="20"/>
              </w:rPr>
              <w:t xml:space="preserve">38,10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38,08</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6805" w:type="dxa"/>
            <w:textDirection w:val="lrTb"/>
            <w:noWrap w:val="false"/>
          </w:tcPr>
          <w:p>
            <w:pPr>
              <w:pStyle w:val="1149"/>
              <w:spacing w:before="0" w:beforeAutospacing="0" w:after="0" w:afterAutospacing="0"/>
              <w:rPr>
                <w:rFonts w:ascii="PT Astra Serif" w:hAnsi="PT Astra Serif"/>
                <w:sz w:val="20"/>
                <w:szCs w:val="20"/>
                <w:lang w:eastAsia="en-US"/>
              </w:rPr>
            </w:pPr>
            <w:r>
              <w:rPr>
                <w:rFonts w:ascii="PT Astra Serif" w:hAnsi="PT Astra Serif"/>
                <w:sz w:val="20"/>
                <w:szCs w:val="20"/>
                <w:lang w:eastAsia="en-US"/>
              </w:rPr>
              <w:t xml:space="preserve">Значение показателя составило 39,11%, что ниже значения в 2022 году (39,5%). Падение цены на нефть в первой половине 2023 года компенсировано е</w:t>
            </w:r>
            <w:r>
              <w:rPr>
                <w:rFonts w:ascii="PT Astra Serif" w:hAnsi="PT Astra Serif"/>
                <w:sz w:val="20"/>
                <w:szCs w:val="20"/>
                <w:lang w:eastAsia="en-US"/>
              </w:rPr>
              <w:t xml:space="preserve">е</w:t>
            </w:r>
            <w:r>
              <w:rPr>
                <w:rFonts w:ascii="PT Astra Serif" w:hAnsi="PT Astra Serif"/>
                <w:sz w:val="20"/>
                <w:szCs w:val="20"/>
                <w:lang w:eastAsia="en-US"/>
              </w:rPr>
              <w:t xml:space="preserve"> ростом во второй половине года, что отразилось на росте объема отгруженных товаров и не позволило резко снизиться показателю доли добычи полезных ископаемых в общем объеме промышленной отгрузки.</w:t>
            </w:r>
            <w:r>
              <w:rPr>
                <w:rFonts w:ascii="PT Astra Serif" w:hAnsi="PT Astra Serif"/>
                <w:sz w:val="20"/>
                <w:szCs w:val="20"/>
                <w:lang w:eastAsia="en-US"/>
              </w:rPr>
            </w:r>
            <w:r>
              <w:rPr>
                <w:rFonts w:ascii="PT Astra Serif" w:hAnsi="PT Astra Serif"/>
                <w:sz w:val="20"/>
                <w:szCs w:val="20"/>
                <w:lang w:eastAsia="en-US"/>
              </w:rPr>
            </w:r>
          </w:p>
          <w:p>
            <w:pPr>
              <w:pStyle w:val="1149"/>
              <w:spacing w:before="0" w:beforeAutospacing="0" w:after="0" w:afterAutospacing="0"/>
              <w:rPr>
                <w:rFonts w:ascii="PT Astra Serif" w:hAnsi="PT Astra Serif"/>
                <w:sz w:val="20"/>
                <w:szCs w:val="20"/>
                <w:lang w:eastAsia="en-US"/>
              </w:rPr>
            </w:pPr>
            <w:r>
              <w:rPr>
                <w:rFonts w:ascii="PT Astra Serif" w:hAnsi="PT Astra Serif"/>
                <w:sz w:val="20"/>
                <w:szCs w:val="20"/>
                <w:lang w:eastAsia="en-US"/>
              </w:rPr>
              <w:t xml:space="preserve">По и</w:t>
            </w:r>
            <w:r>
              <w:rPr>
                <w:rFonts w:ascii="PT Astra Serif" w:hAnsi="PT Astra Serif"/>
                <w:sz w:val="20"/>
                <w:szCs w:val="20"/>
                <w:lang w:eastAsia="en-US"/>
              </w:rPr>
              <w:t xml:space="preserve">тогам 2024 года показатель оценивается на уровне 38,1%, что соответствует целевому значению на 2024 год на основании текущей динамики доли показателя, зависящей от индекса промышленного производства в нефтегазовой отрасли и развития обрабатывающего сектора</w:t>
            </w:r>
            <w:r>
              <w:rPr>
                <w:rFonts w:ascii="PT Astra Serif" w:hAnsi="PT Astra Serif"/>
                <w:sz w:val="20"/>
                <w:szCs w:val="20"/>
                <w:lang w:eastAsia="en-US"/>
              </w:rPr>
            </w:r>
            <w:r>
              <w:rPr>
                <w:rFonts w:ascii="PT Astra Serif" w:hAnsi="PT Astra Serif"/>
                <w:sz w:val="20"/>
                <w:szCs w:val="20"/>
                <w:lang w:eastAsia="en-US"/>
              </w:rPr>
            </w:r>
          </w:p>
        </w:tc>
      </w:tr>
      <w:tr>
        <w:tblPrEx/>
        <w:trPr>
          <w:trHeight w:val="75"/>
        </w:trPr>
        <w:tc>
          <w:tcPr>
            <w:tcBorders>
              <w:top w:val="single" w:color="auto" w:sz="4" w:space="0"/>
              <w:left w:val="single" w:color="auto" w:sz="4" w:space="0"/>
              <w:bottom w:val="single" w:color="auto" w:sz="4" w:space="0"/>
              <w:right w:val="single" w:color="auto" w:sz="4" w:space="0"/>
            </w:tcBorders>
            <w:tcW w:w="4394" w:type="dxa"/>
            <w:textDirection w:val="lrTb"/>
            <w:noWrap w:val="false"/>
          </w:tcPr>
          <w:p>
            <w:pPr>
              <w:ind w:right="391"/>
              <w:rPr>
                <w:rFonts w:ascii="PT Astra Serif" w:hAnsi="PT Astra Serif"/>
                <w:sz w:val="20"/>
                <w:szCs w:val="20"/>
              </w:rPr>
            </w:pPr>
            <w:r>
              <w:rPr>
                <w:rFonts w:ascii="PT Astra Serif" w:hAnsi="PT Astra Serif"/>
                <w:sz w:val="20"/>
                <w:szCs w:val="20"/>
              </w:rPr>
              <w:t xml:space="preserve">Темп роста объема производства по виду экономической деятельности «Обрабатывающие производства» (в сопоставимых ценах</w:t>
            </w:r>
            <w:r>
              <w:rPr>
                <w:rFonts w:ascii="PT Astra Serif" w:hAnsi="PT Astra Serif"/>
                <w:sz w:val="20"/>
                <w:szCs w:val="20"/>
              </w:rPr>
              <w:t xml:space="preserve">,</w:t>
            </w:r>
            <w:r>
              <w:rPr>
                <w:rFonts w:ascii="PT Astra Serif" w:hAnsi="PT Astra Serif"/>
                <w:sz w:val="20"/>
                <w:szCs w:val="20"/>
              </w:rPr>
              <w:t xml:space="preserve"> по отношению к 2020 году), %</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rPr>
                <w:rFonts w:ascii="PT Astra Serif" w:hAnsi="PT Astra Serif"/>
                <w:sz w:val="20"/>
                <w:szCs w:val="20"/>
              </w:rPr>
            </w:pPr>
            <w:r>
              <w:rPr>
                <w:rFonts w:ascii="PT Astra Serif" w:hAnsi="PT Astra Serif"/>
                <w:sz w:val="20"/>
                <w:szCs w:val="20"/>
              </w:rPr>
              <w:t xml:space="preserve">116,30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PT Astra Serif" w:hAnsi="PT Astra Serif"/>
                <w:sz w:val="20"/>
                <w:szCs w:val="20"/>
              </w:rPr>
            </w:pPr>
            <w:r>
              <w:rPr>
                <w:rFonts w:ascii="PT Astra Serif" w:hAnsi="PT Astra Serif"/>
                <w:sz w:val="20"/>
                <w:szCs w:val="20"/>
                <w:lang w:val="en-US"/>
              </w:rPr>
              <w:t xml:space="preserve">119</w:t>
            </w:r>
            <w:r>
              <w:rPr>
                <w:rFonts w:ascii="PT Astra Serif" w:hAnsi="PT Astra Serif"/>
                <w:sz w:val="20"/>
                <w:szCs w:val="20"/>
              </w:rPr>
              <w:t xml:space="preserve">,</w:t>
            </w:r>
            <w:r>
              <w:rPr>
                <w:rFonts w:ascii="PT Astra Serif" w:hAnsi="PT Astra Serif"/>
                <w:sz w:val="20"/>
                <w:szCs w:val="20"/>
                <w:lang w:val="en-US"/>
              </w:rPr>
              <w:t xml:space="preserve">8</w:t>
            </w:r>
            <w:r>
              <w:rPr>
                <w:rFonts w:ascii="PT Astra Serif" w:hAnsi="PT Astra Serif"/>
                <w:sz w:val="20"/>
                <w:szCs w:val="20"/>
              </w:rPr>
              <w:t xml:space="preserve">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120,84</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pStyle w:val="1166"/>
              <w:rPr>
                <w:rFonts w:ascii="PT Astra Serif" w:hAnsi="PT Astra Serif" w:eastAsiaTheme="minorHAnsi"/>
                <w:szCs w:val="20"/>
                <w:lang w:eastAsia="en-US"/>
              </w:rPr>
            </w:pPr>
            <w:r>
              <w:rPr>
                <w:rFonts w:ascii="PT Astra Serif" w:hAnsi="PT Astra Serif" w:eastAsiaTheme="minorHAnsi"/>
                <w:szCs w:val="20"/>
                <w:lang w:eastAsia="en-US"/>
              </w:rPr>
              <w:t xml:space="preserve">По итогам 2023 года темп роста обрабатывающей промышленности к уровню 2020 года составил 116,3% в результате роста объемов производства в пищевой промышленности, нефтехимии, металлургии, машиностроении.</w:t>
            </w:r>
            <w:r>
              <w:rPr>
                <w:rFonts w:ascii="PT Astra Serif" w:hAnsi="PT Astra Serif" w:eastAsiaTheme="minorHAnsi"/>
                <w:szCs w:val="20"/>
                <w:lang w:eastAsia="en-US"/>
              </w:rPr>
            </w:r>
            <w:r>
              <w:rPr>
                <w:rFonts w:ascii="PT Astra Serif" w:hAnsi="PT Astra Serif" w:eastAsiaTheme="minorHAnsi"/>
                <w:szCs w:val="20"/>
                <w:lang w:eastAsia="en-US"/>
              </w:rPr>
            </w:r>
          </w:p>
          <w:p>
            <w:pPr>
              <w:ind w:right="391"/>
              <w:rPr>
                <w:rFonts w:ascii="PT Astra Serif" w:hAnsi="PT Astra Serif" w:eastAsia="Times New Roman"/>
                <w:sz w:val="20"/>
                <w:szCs w:val="20"/>
              </w:rPr>
            </w:pPr>
            <w:r>
              <w:rPr>
                <w:rFonts w:ascii="PT Astra Serif" w:hAnsi="PT Astra Serif" w:eastAsia="Times New Roman"/>
                <w:sz w:val="20"/>
                <w:szCs w:val="20"/>
              </w:rPr>
              <w:t xml:space="preserve">Значение показателя в 2024 году к 2020 году оценива</w:t>
            </w:r>
            <w:r>
              <w:rPr>
                <w:rFonts w:ascii="PT Astra Serif" w:hAnsi="PT Astra Serif" w:eastAsia="Times New Roman"/>
                <w:sz w:val="20"/>
                <w:szCs w:val="20"/>
              </w:rPr>
              <w:t xml:space="preserve">е</w:t>
            </w:r>
            <w:r>
              <w:rPr>
                <w:rFonts w:ascii="PT Astra Serif" w:hAnsi="PT Astra Serif" w:eastAsia="Times New Roman"/>
                <w:sz w:val="20"/>
                <w:szCs w:val="20"/>
              </w:rPr>
              <w:t xml:space="preserve">тся на уровне 119,8% за счет положительной динамики в базовых отраслях: производство пищевых продуктов, электроники и электрических изделий, нефтепродуктов и химических веществ.</w:t>
            </w:r>
            <w:r>
              <w:rPr>
                <w:rFonts w:ascii="PT Astra Serif" w:hAnsi="PT Astra Serif" w:eastAsia="Times New Roman"/>
                <w:sz w:val="20"/>
                <w:szCs w:val="20"/>
              </w:rPr>
            </w:r>
            <w:r>
              <w:rPr>
                <w:rFonts w:ascii="PT Astra Serif" w:hAnsi="PT Astra Serif" w:eastAsia="Times New Roman"/>
                <w:sz w:val="20"/>
                <w:szCs w:val="20"/>
              </w:rPr>
            </w:r>
          </w:p>
          <w:p>
            <w:pPr>
              <w:ind w:right="391"/>
              <w:rPr>
                <w:rFonts w:ascii="PT Astra Serif" w:hAnsi="PT Astra Serif"/>
                <w:sz w:val="20"/>
                <w:szCs w:val="20"/>
              </w:rPr>
            </w:pPr>
            <w:r>
              <w:rPr>
                <w:rFonts w:ascii="PT Astra Serif" w:hAnsi="PT Astra Serif"/>
                <w:sz w:val="20"/>
                <w:szCs w:val="20"/>
              </w:rPr>
              <w:t xml:space="preserve">Накопительная положительная динамика показателя в 2022</w:t>
            </w:r>
            <w:r>
              <w:rPr>
                <w:rFonts w:ascii="PT Astra Serif" w:hAnsi="PT Astra Serif"/>
                <w:sz w:val="20"/>
                <w:szCs w:val="20"/>
              </w:rPr>
              <w:t xml:space="preserve"> </w:t>
            </w:r>
            <w:r>
              <w:rPr>
                <w:rFonts w:ascii="PT Astra Serif" w:hAnsi="PT Astra Serif"/>
                <w:szCs w:val="20"/>
              </w:rPr>
              <w:t xml:space="preserve">– </w:t>
            </w:r>
            <w:r>
              <w:rPr>
                <w:rFonts w:ascii="PT Astra Serif" w:hAnsi="PT Astra Serif"/>
                <w:sz w:val="20"/>
                <w:szCs w:val="20"/>
              </w:rPr>
              <w:t xml:space="preserve">2024 гг. определена прежде всего ростом производства в машиностроительном комплексе, в том числе в результате сотрудничества с российскими вертикально-интегрированными компаниями в рамках реализации дорожных карт</w:t>
            </w:r>
            <w:r>
              <w:rPr>
                <w:rFonts w:ascii="PT Astra Serif" w:hAnsi="PT Astra Serif"/>
                <w:sz w:val="20"/>
                <w:szCs w:val="20"/>
              </w:rPr>
              <w:t xml:space="preserve">,</w:t>
            </w:r>
            <w:r>
              <w:rPr>
                <w:rFonts w:ascii="PT Astra Serif" w:hAnsi="PT Astra Serif"/>
                <w:sz w:val="20"/>
                <w:szCs w:val="20"/>
              </w:rPr>
              <w:t xml:space="preserve"> и выполнением масштабных задач в рамках гособоронзаказа. </w:t>
            </w:r>
            <w:r>
              <w:rPr>
                <w:rFonts w:ascii="PT Astra Serif" w:hAnsi="PT Astra Serif"/>
                <w:sz w:val="20"/>
                <w:szCs w:val="20"/>
              </w:rPr>
            </w:r>
            <w:r>
              <w:rPr>
                <w:rFonts w:ascii="PT Astra Serif" w:hAnsi="PT Astra Serif"/>
                <w:sz w:val="20"/>
                <w:szCs w:val="20"/>
              </w:rPr>
            </w:r>
          </w:p>
          <w:p>
            <w:pPr>
              <w:pStyle w:val="1166"/>
              <w:rPr>
                <w:rFonts w:ascii="PT Astra Serif" w:hAnsi="PT Astra Serif" w:eastAsiaTheme="minorHAnsi"/>
                <w:szCs w:val="20"/>
                <w:lang w:eastAsia="en-US"/>
              </w:rPr>
            </w:pPr>
            <w:r>
              <w:rPr>
                <w:rFonts w:ascii="PT Astra Serif" w:hAnsi="PT Astra Serif" w:eastAsiaTheme="minorHAnsi"/>
                <w:szCs w:val="20"/>
                <w:lang w:eastAsia="en-US"/>
              </w:rPr>
              <w:t xml:space="preserve">Однако из-за отрицательных темпов роста, сложившихся фактически по итогам 2022 года – 95,6% к 2021 году</w:t>
            </w:r>
            <w:r>
              <w:rPr>
                <w:rFonts w:ascii="PT Astra Serif" w:hAnsi="PT Astra Serif" w:eastAsiaTheme="minorHAnsi"/>
                <w:szCs w:val="20"/>
                <w:lang w:eastAsia="en-US"/>
              </w:rPr>
              <w:t xml:space="preserve">,</w:t>
            </w:r>
            <w:r>
              <w:rPr>
                <w:rFonts w:ascii="PT Astra Serif" w:hAnsi="PT Astra Serif" w:eastAsiaTheme="minorHAnsi"/>
                <w:szCs w:val="20"/>
                <w:lang w:eastAsia="en-US"/>
              </w:rPr>
              <w:t xml:space="preserve"> в результате негативного влияния внешнего санкционного давления существует риск недостижени</w:t>
            </w:r>
            <w:r>
              <w:rPr>
                <w:rFonts w:ascii="PT Astra Serif" w:hAnsi="PT Astra Serif" w:eastAsiaTheme="minorHAnsi"/>
                <w:szCs w:val="20"/>
                <w:lang w:eastAsia="en-US"/>
              </w:rPr>
              <w:t xml:space="preserve">я целевого значения на 2024 год</w:t>
            </w:r>
            <w:r>
              <w:rPr>
                <w:rFonts w:ascii="PT Astra Serif" w:hAnsi="PT Astra Serif" w:eastAsiaTheme="minorHAnsi"/>
                <w:szCs w:val="20"/>
                <w:lang w:eastAsia="en-US"/>
              </w:rPr>
            </w:r>
            <w:r>
              <w:rPr>
                <w:rFonts w:ascii="PT Astra Serif" w:hAnsi="PT Astra Serif" w:eastAsiaTheme="minorHAnsi"/>
                <w:szCs w:val="20"/>
                <w:lang w:eastAsia="en-US"/>
              </w:rPr>
            </w:r>
          </w:p>
        </w:tc>
      </w:tr>
      <w:tr>
        <w:tblPrEx/>
        <w:trPr>
          <w:trHeight w:val="337"/>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Задача 1.2. Обеспечить развитие предпринимательства и рост непроизводственных индустрий с фокусом на индустрию гостеприимства и креативный сектор</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ind w:right="391"/>
              <w:rPr>
                <w:rFonts w:ascii="PT Astra Serif" w:hAnsi="PT Astra Serif"/>
                <w:sz w:val="20"/>
                <w:szCs w:val="20"/>
              </w:rPr>
            </w:pPr>
            <w:r>
              <w:rPr>
                <w:rFonts w:ascii="PT Astra Serif" w:hAnsi="PT Astra Serif"/>
                <w:sz w:val="20"/>
                <w:szCs w:val="20"/>
              </w:rPr>
              <w:t xml:space="preserve">Темп роста объема оказанных услуг в сфере туризма, в действующих ценах к 2020 году, %</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ind w:left="60"/>
              <w:jc w:val="center"/>
              <w:rPr>
                <w:rFonts w:ascii="PT Astra Serif" w:hAnsi="PT Astra Serif"/>
                <w:sz w:val="20"/>
                <w:szCs w:val="20"/>
              </w:rPr>
            </w:pPr>
            <w:r>
              <w:rPr>
                <w:rFonts w:ascii="PT Astra Serif" w:hAnsi="PT Astra Serif"/>
                <w:sz w:val="20"/>
                <w:szCs w:val="20"/>
              </w:rPr>
              <w:t xml:space="preserve">166,40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60"/>
              <w:jc w:val="center"/>
              <w:rPr>
                <w:rFonts w:ascii="PT Astra Serif" w:hAnsi="PT Astra Serif"/>
                <w:sz w:val="20"/>
                <w:szCs w:val="20"/>
              </w:rPr>
            </w:pPr>
            <w:r>
              <w:rPr>
                <w:rFonts w:ascii="PT Astra Serif" w:hAnsi="PT Astra Serif"/>
                <w:sz w:val="20"/>
                <w:szCs w:val="20"/>
              </w:rPr>
              <w:t xml:space="preserve">175,20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eastAsiaTheme="minorHAnsi" w:cstheme="minorBidi"/>
                <w:szCs w:val="20"/>
                <w:lang w:eastAsia="en-US"/>
              </w:rPr>
            </w:pPr>
            <w:r>
              <w:rPr>
                <w:rFonts w:ascii="PT Astra Serif" w:hAnsi="PT Astra Serif" w:eastAsiaTheme="minorHAnsi" w:cstheme="minorBidi"/>
                <w:szCs w:val="20"/>
                <w:lang w:eastAsia="en-US"/>
              </w:rPr>
              <w:t xml:space="preserve">162,28</w:t>
            </w:r>
            <w:r>
              <w:rPr>
                <w:rFonts w:ascii="PT Astra Serif" w:hAnsi="PT Astra Serif" w:eastAsiaTheme="minorHAnsi" w:cstheme="minorBidi"/>
                <w:szCs w:val="20"/>
                <w:lang w:eastAsia="en-US"/>
              </w:rPr>
            </w:r>
            <w:r>
              <w:rPr>
                <w:rFonts w:ascii="PT Astra Serif" w:hAnsi="PT Astra Serif" w:eastAsiaTheme="minorHAnsi" w:cstheme="minorBidi"/>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ind w:left="60" w:right="451"/>
              <w:rPr>
                <w:rFonts w:ascii="PT Astra Serif" w:hAnsi="PT Astra Serif"/>
                <w:sz w:val="20"/>
                <w:szCs w:val="20"/>
              </w:rPr>
            </w:pPr>
            <w:r>
              <w:rPr>
                <w:rFonts w:ascii="PT Astra Serif" w:hAnsi="PT Astra Serif"/>
                <w:sz w:val="20"/>
                <w:szCs w:val="20"/>
              </w:rPr>
              <w:t xml:space="preserve">В 2023 году наблюдается активное восстановление и рост рынка услуг в сфере туризма и индустрии гостеприимства на 24,7% к 2022 году.</w:t>
            </w:r>
            <w:r>
              <w:rPr>
                <w:rFonts w:ascii="PT Astra Serif" w:hAnsi="PT Astra Serif"/>
                <w:sz w:val="20"/>
                <w:szCs w:val="20"/>
              </w:rPr>
            </w:r>
            <w:r>
              <w:rPr>
                <w:rFonts w:ascii="PT Astra Serif" w:hAnsi="PT Astra Serif"/>
                <w:sz w:val="20"/>
                <w:szCs w:val="20"/>
              </w:rPr>
            </w:r>
          </w:p>
          <w:p>
            <w:pPr>
              <w:ind w:left="60" w:right="451"/>
              <w:rPr>
                <w:rFonts w:ascii="PT Astra Serif" w:hAnsi="PT Astra Serif"/>
                <w:sz w:val="20"/>
                <w:szCs w:val="20"/>
              </w:rPr>
            </w:pPr>
            <w:r>
              <w:rPr>
                <w:rFonts w:ascii="PT Astra Serif" w:hAnsi="PT Astra Serif"/>
                <w:sz w:val="20"/>
                <w:szCs w:val="20"/>
              </w:rPr>
              <w:t xml:space="preserve">Положительная динамика связана с ростом спроса населения на услуги внутреннего туризма, федеральными и региональными мерами поддержки туристской отрасли, информационным продвижением туристических ресурсов и объектов для жителей и ту</w:t>
            </w:r>
            <w:r>
              <w:rPr>
                <w:rFonts w:ascii="PT Astra Serif" w:hAnsi="PT Astra Serif"/>
                <w:sz w:val="20"/>
                <w:szCs w:val="20"/>
              </w:rPr>
              <w:t xml:space="preserve">ристов региона, благодаря чему активизируется внутренний туризм (организуются туры в близлежащие регионы СФО, России, поиск и создание новых туристических маршрутов на территории Томской области). Исходя из текущих тенденций, ожидается достижение целевого </w:t>
            </w:r>
            <w:r>
              <w:rPr>
                <w:rFonts w:ascii="PT Astra Serif" w:hAnsi="PT Astra Serif"/>
                <w:sz w:val="20"/>
                <w:szCs w:val="20"/>
              </w:rPr>
              <w:t xml:space="preserve">значения показателя к 2024 году</w:t>
            </w:r>
            <w:r>
              <w:rPr>
                <w:rFonts w:ascii="PT Astra Serif" w:hAnsi="PT Astra Serif"/>
                <w:sz w:val="20"/>
                <w:szCs w:val="20"/>
              </w:rPr>
            </w:r>
            <w:r>
              <w:rPr>
                <w:rFonts w:ascii="PT Astra Serif" w:hAnsi="PT Astra Serif"/>
                <w:sz w:val="20"/>
                <w:szCs w:val="20"/>
              </w:rPr>
            </w:r>
          </w:p>
        </w:tc>
      </w:tr>
      <w:tr>
        <w:tblPrEx/>
        <w:trPr>
          <w:trHeight w:val="476"/>
        </w:trPr>
        <w:tc>
          <w:tcPr>
            <w:tcBorders>
              <w:top w:val="single" w:color="auto" w:sz="4" w:space="0"/>
              <w:left w:val="single" w:color="auto" w:sz="4" w:space="0"/>
              <w:bottom w:val="single" w:color="auto" w:sz="4" w:space="0"/>
              <w:right w:val="single" w:color="auto" w:sz="4" w:space="0"/>
            </w:tcBorders>
            <w:tcW w:w="4394" w:type="dxa"/>
            <w:textDirection w:val="lrTb"/>
            <w:noWrap w:val="false"/>
          </w:tcPr>
          <w:p>
            <w:pPr>
              <w:ind w:right="391"/>
              <w:rPr>
                <w:rFonts w:ascii="PT Astra Serif" w:hAnsi="PT Astra Serif"/>
                <w:sz w:val="20"/>
                <w:szCs w:val="20"/>
              </w:rPr>
            </w:pPr>
            <w:r>
              <w:rPr>
                <w:rFonts w:ascii="PT Astra Serif" w:hAnsi="PT Astra Serif"/>
                <w:sz w:val="20"/>
                <w:szCs w:val="20"/>
              </w:rPr>
              <w:t xml:space="preserve">Численность занятых в сфере малого и среднего предпринимательства, включая индивидуал</w:t>
            </w:r>
            <w:r>
              <w:rPr>
                <w:rFonts w:ascii="PT Astra Serif" w:hAnsi="PT Astra Serif"/>
                <w:sz w:val="20"/>
                <w:szCs w:val="20"/>
              </w:rPr>
              <w:t xml:space="preserve">ьных предпринимателей, тыс. человек</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rPr>
                <w:rFonts w:ascii="PT Astra Serif" w:hAnsi="PT Astra Serif"/>
                <w:sz w:val="20"/>
                <w:szCs w:val="20"/>
              </w:rPr>
            </w:pPr>
            <w:r>
              <w:rPr>
                <w:rFonts w:ascii="PT Astra Serif" w:hAnsi="PT Astra Serif"/>
                <w:sz w:val="20"/>
                <w:szCs w:val="20"/>
              </w:rPr>
              <w:t xml:space="preserve">185,79</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PT Astra Serif" w:hAnsi="PT Astra Serif"/>
                <w:sz w:val="20"/>
                <w:szCs w:val="20"/>
              </w:rPr>
            </w:pPr>
            <w:r>
              <w:rPr>
                <w:rFonts w:ascii="PT Astra Serif" w:hAnsi="PT Astra Serif"/>
                <w:sz w:val="20"/>
                <w:szCs w:val="20"/>
              </w:rPr>
              <w:t xml:space="preserve">163,90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158,80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pStyle w:val="1166"/>
              <w:rPr>
                <w:rFonts w:ascii="PT Astra Serif" w:hAnsi="PT Astra Serif" w:cs="Times New Roman" w:eastAsiaTheme="minorHAnsi"/>
                <w:szCs w:val="20"/>
                <w:lang w:eastAsia="en-US"/>
              </w:rPr>
            </w:pPr>
            <w:r>
              <w:rPr>
                <w:rFonts w:ascii="PT Astra Serif" w:hAnsi="PT Astra Serif" w:cs="Times New Roman" w:eastAsiaTheme="minorHAnsi"/>
                <w:szCs w:val="20"/>
                <w:lang w:eastAsia="en-US"/>
              </w:rPr>
              <w:t xml:space="preserve">В 2023 году численность занятых в сфере </w:t>
            </w:r>
            <w:r>
              <w:rPr>
                <w:rFonts w:ascii="PT Astra Serif" w:hAnsi="PT Astra Serif" w:cs="Times New Roman" w:eastAsiaTheme="minorHAnsi"/>
                <w:szCs w:val="20"/>
                <w:lang w:eastAsia="en-US"/>
              </w:rPr>
              <w:t xml:space="preserve">МСП</w:t>
            </w:r>
            <w:r>
              <w:rPr>
                <w:rFonts w:ascii="PT Astra Serif" w:hAnsi="PT Astra Serif" w:cs="Times New Roman" w:eastAsiaTheme="minorHAnsi"/>
                <w:szCs w:val="20"/>
                <w:lang w:eastAsia="en-US"/>
              </w:rPr>
              <w:t xml:space="preserve">, включая индивидуальных предпринимателей, составила 185,79 тыс. человек, что меньше уровня 2022 года на 1,25%. По итогам 2024 года показатель оценивается на уровне 163,9 тыс. человек, </w:t>
            </w:r>
            <w:r>
              <w:rPr>
                <w:rFonts w:ascii="PT Astra Serif" w:hAnsi="PT Astra Serif" w:cs="Times New Roman"/>
                <w:szCs w:val="20"/>
                <w:lang w:eastAsia="en-US"/>
              </w:rPr>
              <w:t xml:space="preserve">что связано с высоким миграционным оттоком населения из региона и массовым трудоустройством </w:t>
            </w:r>
            <w:r>
              <w:rPr>
                <w:rFonts w:ascii="PT Astra Serif" w:hAnsi="PT Astra Serif" w:cs="Times New Roman" w:eastAsiaTheme="minorHAnsi"/>
                <w:szCs w:val="20"/>
                <w:lang w:eastAsia="en-US"/>
              </w:rPr>
              <w:t xml:space="preserve">работников на предприятия ВПК.  Несмотря на текущие тенденции, ожидается достижение целевого </w:t>
            </w:r>
            <w:r>
              <w:rPr>
                <w:rFonts w:ascii="PT Astra Serif" w:hAnsi="PT Astra Serif" w:cs="Times New Roman" w:eastAsiaTheme="minorHAnsi"/>
                <w:szCs w:val="20"/>
                <w:lang w:eastAsia="en-US"/>
              </w:rPr>
              <w:t xml:space="preserve">значения показателя к 2024 году</w:t>
            </w:r>
            <w:r>
              <w:rPr>
                <w:rFonts w:ascii="PT Astra Serif" w:hAnsi="PT Astra Serif" w:cs="Times New Roman" w:eastAsiaTheme="minorHAnsi"/>
                <w:szCs w:val="20"/>
                <w:lang w:eastAsia="en-US"/>
              </w:rPr>
            </w:r>
            <w:r>
              <w:rPr>
                <w:rFonts w:ascii="PT Astra Serif" w:hAnsi="PT Astra Serif" w:cs="Times New Roman" w:eastAsiaTheme="minorHAnsi"/>
                <w:szCs w:val="20"/>
                <w:lang w:eastAsia="en-US"/>
              </w:rPr>
            </w:r>
          </w:p>
          <w:p>
            <w:pPr>
              <w:pStyle w:val="1166"/>
              <w:rPr>
                <w:rFonts w:ascii="PT Astra Serif" w:hAnsi="PT Astra Serif" w:cs="Times New Roman" w:eastAsiaTheme="minorHAnsi"/>
                <w:szCs w:val="20"/>
                <w:lang w:eastAsia="en-US"/>
              </w:rPr>
            </w:pPr>
            <w:r>
              <w:rPr>
                <w:rFonts w:ascii="PT Astra Serif" w:hAnsi="PT Astra Serif" w:cs="Times New Roman" w:eastAsiaTheme="minorHAnsi"/>
                <w:szCs w:val="20"/>
                <w:lang w:eastAsia="en-US"/>
              </w:rPr>
            </w:r>
            <w:r>
              <w:rPr>
                <w:rFonts w:ascii="PT Astra Serif" w:hAnsi="PT Astra Serif" w:cs="Times New Roman" w:eastAsiaTheme="minorHAnsi"/>
                <w:szCs w:val="20"/>
                <w:lang w:eastAsia="en-US"/>
              </w:rPr>
            </w:r>
            <w:r>
              <w:rPr>
                <w:rFonts w:ascii="PT Astra Serif" w:hAnsi="PT Astra Serif" w:cs="Times New Roman" w:eastAsiaTheme="minorHAnsi"/>
                <w:szCs w:val="20"/>
                <w:lang w:eastAsia="en-US"/>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Задача 1.3. Сформировать технологическое я</w:t>
            </w:r>
            <w:r>
              <w:rPr>
                <w:rFonts w:ascii="PT Astra Serif" w:hAnsi="PT Astra Serif"/>
                <w:sz w:val="20"/>
                <w:szCs w:val="20"/>
              </w:rPr>
              <w:t xml:space="preserve">дро новой отраслевой специализации Томской области, обеспечить развитие высокотехнологических кластеров и инновационной инфраструктуры посредством создания механизмов эффективной кооперации технологического и производственного бизнеса, науки и образования </w:t>
            </w:r>
            <w:r>
              <w:rPr>
                <w:rFonts w:ascii="PT Astra Serif" w:hAnsi="PT Astra Serif"/>
                <w:sz w:val="20"/>
                <w:szCs w:val="20"/>
              </w:rPr>
            </w:r>
            <w:r>
              <w:rPr>
                <w:rFonts w:ascii="PT Astra Serif" w:hAnsi="PT Astra Serif"/>
                <w:sz w:val="20"/>
                <w:szCs w:val="20"/>
              </w:rPr>
            </w:r>
          </w:p>
        </w:tc>
      </w:tr>
      <w:tr>
        <w:tblPrEx/>
        <w:trPr>
          <w:trHeight w:val="1646"/>
        </w:trPr>
        <w:tc>
          <w:tcPr>
            <w:tcBorders>
              <w:top w:val="single" w:color="auto" w:sz="4" w:space="0"/>
              <w:left w:val="single" w:color="auto" w:sz="4" w:space="0"/>
              <w:bottom w:val="single" w:color="auto" w:sz="4" w:space="0"/>
              <w:right w:val="single" w:color="auto" w:sz="4" w:space="0"/>
            </w:tcBorders>
            <w:tcW w:w="4394" w:type="dxa"/>
            <w:textDirection w:val="lrTb"/>
            <w:noWrap w:val="false"/>
          </w:tcPr>
          <w:p>
            <w:pPr>
              <w:ind w:right="391"/>
              <w:rPr>
                <w:rFonts w:ascii="PT Astra Serif" w:hAnsi="PT Astra Serif"/>
                <w:sz w:val="20"/>
                <w:szCs w:val="20"/>
              </w:rPr>
            </w:pPr>
            <w:r>
              <w:rPr>
                <w:rFonts w:ascii="PT Astra Serif" w:hAnsi="PT Astra Serif"/>
                <w:sz w:val="20"/>
                <w:szCs w:val="20"/>
              </w:rPr>
              <w:t xml:space="preserve">Доля внутренних затрат на исследования и разработки в валовом региональном продукте, % </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rPr>
                <w:rFonts w:ascii="PT Astra Serif" w:hAnsi="PT Astra Serif"/>
                <w:sz w:val="20"/>
                <w:szCs w:val="20"/>
              </w:rPr>
            </w:pPr>
            <w:r>
              <w:rPr>
                <w:rFonts w:ascii="PT Astra Serif" w:hAnsi="PT Astra Serif"/>
                <w:sz w:val="20"/>
                <w:szCs w:val="20"/>
                <w:lang w:val="en-US"/>
              </w:rPr>
              <w:t xml:space="preserve">2</w:t>
            </w:r>
            <w:r>
              <w:rPr>
                <w:rFonts w:ascii="PT Astra Serif" w:hAnsi="PT Astra Serif"/>
                <w:sz w:val="20"/>
                <w:szCs w:val="20"/>
              </w:rPr>
              <w:t xml:space="preserve">,13</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PT Astra Serif" w:hAnsi="PT Astra Serif"/>
                <w:b/>
                <w:bCs/>
                <w:sz w:val="20"/>
                <w:szCs w:val="20"/>
              </w:rPr>
            </w:pPr>
            <w:r>
              <w:rPr>
                <w:rFonts w:ascii="PT Astra Serif" w:hAnsi="PT Astra Serif"/>
                <w:sz w:val="20"/>
                <w:szCs w:val="20"/>
              </w:rPr>
              <w:t xml:space="preserve">2,09</w:t>
            </w:r>
            <w:r>
              <w:rPr>
                <w:rFonts w:ascii="PT Astra Serif" w:hAnsi="PT Astra Serif"/>
                <w:b/>
                <w:bCs/>
                <w:sz w:val="20"/>
                <w:szCs w:val="20"/>
              </w:rPr>
            </w:r>
            <w:r>
              <w:rPr>
                <w:rFonts w:ascii="PT Astra Serif" w:hAnsi="PT Astra Serif"/>
                <w:b/>
                <w:bCs/>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2,80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pStyle w:val="1149"/>
              <w:jc w:val="both"/>
              <w:spacing w:before="0" w:beforeAutospacing="0" w:after="0" w:afterAutospacing="0"/>
              <w:rPr>
                <w:rFonts w:ascii="PT Astra Serif" w:hAnsi="PT Astra Serif"/>
                <w:sz w:val="20"/>
                <w:szCs w:val="20"/>
                <w:lang w:eastAsia="en-US"/>
              </w:rPr>
            </w:pPr>
            <w:r>
              <w:rPr>
                <w:rFonts w:ascii="PT Astra Serif" w:hAnsi="PT Astra Serif"/>
                <w:sz w:val="20"/>
                <w:szCs w:val="20"/>
                <w:lang w:eastAsia="en-US"/>
              </w:rPr>
              <w:t xml:space="preserve">По сравнению с 2022 годом отмечается снижение значения показателя, который составил 2,13%, что связано с увеличением объема ВРП (объем валового регионального продукта – 816,84 </w:t>
            </w:r>
            <w:r>
              <w:rPr>
                <w:rFonts w:ascii="PT Astra Serif" w:hAnsi="PT Astra Serif"/>
                <w:sz w:val="20"/>
                <w:szCs w:val="20"/>
                <w:lang w:eastAsia="en-US"/>
              </w:rPr>
              <w:t xml:space="preserve">млрд</w:t>
            </w:r>
            <w:r>
              <w:rPr>
                <w:rFonts w:ascii="PT Astra Serif" w:hAnsi="PT Astra Serif"/>
                <w:sz w:val="20"/>
                <w:szCs w:val="20"/>
                <w:lang w:eastAsia="en-US"/>
              </w:rPr>
              <w:t xml:space="preserve"> </w:t>
            </w:r>
            <w:r>
              <w:rPr>
                <w:rFonts w:ascii="PT Astra Serif" w:hAnsi="PT Astra Serif"/>
                <w:sz w:val="20"/>
                <w:szCs w:val="20"/>
                <w:lang w:eastAsia="en-US"/>
              </w:rPr>
              <w:t xml:space="preserve">руб</w:t>
            </w:r>
            <w:r>
              <w:rPr>
                <w:rFonts w:ascii="PT Astra Serif" w:hAnsi="PT Astra Serif"/>
                <w:sz w:val="20"/>
                <w:szCs w:val="20"/>
                <w:lang w:eastAsia="en-US"/>
              </w:rPr>
              <w:t xml:space="preserve">лей</w:t>
            </w:r>
            <w:r>
              <w:rPr>
                <w:rFonts w:ascii="PT Astra Serif" w:hAnsi="PT Astra Serif"/>
                <w:sz w:val="20"/>
                <w:szCs w:val="20"/>
                <w:lang w:eastAsia="en-US"/>
              </w:rPr>
              <w:t xml:space="preserve">), объем внутренних затрат на исследования и разработки составил 17,07 </w:t>
            </w:r>
            <w:r>
              <w:rPr>
                <w:rFonts w:ascii="PT Astra Serif" w:hAnsi="PT Astra Serif"/>
                <w:sz w:val="20"/>
                <w:szCs w:val="20"/>
                <w:lang w:eastAsia="en-US"/>
              </w:rPr>
              <w:t xml:space="preserve">м</w:t>
            </w:r>
            <w:r>
              <w:rPr>
                <w:rFonts w:ascii="PT Astra Serif" w:hAnsi="PT Astra Serif"/>
                <w:sz w:val="20"/>
                <w:szCs w:val="20"/>
                <w:lang w:eastAsia="en-US"/>
              </w:rPr>
              <w:t xml:space="preserve">лрд</w:t>
            </w:r>
            <w:r>
              <w:rPr>
                <w:rFonts w:ascii="PT Astra Serif" w:hAnsi="PT Astra Serif"/>
                <w:sz w:val="20"/>
                <w:szCs w:val="20"/>
                <w:lang w:eastAsia="en-US"/>
              </w:rPr>
              <w:t xml:space="preserve"> </w:t>
            </w:r>
            <w:r>
              <w:rPr>
                <w:rFonts w:ascii="PT Astra Serif" w:hAnsi="PT Astra Serif"/>
                <w:sz w:val="20"/>
                <w:szCs w:val="20"/>
                <w:lang w:eastAsia="en-US"/>
              </w:rPr>
              <w:t xml:space="preserve">руб</w:t>
            </w:r>
            <w:r>
              <w:rPr>
                <w:rFonts w:ascii="PT Astra Serif" w:hAnsi="PT Astra Serif"/>
                <w:sz w:val="20"/>
                <w:szCs w:val="20"/>
                <w:lang w:eastAsia="en-US"/>
              </w:rPr>
              <w:t xml:space="preserve">лей (в 2022 году - 16,75 </w:t>
            </w:r>
            <w:r>
              <w:rPr>
                <w:rFonts w:ascii="PT Astra Serif" w:hAnsi="PT Astra Serif"/>
                <w:sz w:val="20"/>
                <w:szCs w:val="20"/>
                <w:lang w:eastAsia="en-US"/>
              </w:rPr>
              <w:t xml:space="preserve">млрд</w:t>
            </w:r>
            <w:r>
              <w:rPr>
                <w:rFonts w:ascii="PT Astra Serif" w:hAnsi="PT Astra Serif"/>
                <w:sz w:val="20"/>
                <w:szCs w:val="20"/>
                <w:lang w:eastAsia="en-US"/>
              </w:rPr>
              <w:t xml:space="preserve"> </w:t>
            </w:r>
            <w:r>
              <w:rPr>
                <w:rFonts w:ascii="PT Astra Serif" w:hAnsi="PT Astra Serif"/>
                <w:sz w:val="20"/>
                <w:szCs w:val="20"/>
                <w:lang w:eastAsia="en-US"/>
              </w:rPr>
              <w:t xml:space="preserve">рублей</w:t>
            </w:r>
            <w:r>
              <w:rPr>
                <w:rFonts w:ascii="PT Astra Serif" w:hAnsi="PT Astra Serif"/>
                <w:sz w:val="20"/>
                <w:szCs w:val="20"/>
                <w:lang w:eastAsia="en-US"/>
              </w:rPr>
              <w:t xml:space="preserve">). Прирост объема внутренних затрат на научные исследования и разработки в 2023 году составил 2,27% по отношению к 2022 году.</w:t>
            </w:r>
            <w:r>
              <w:rPr>
                <w:rFonts w:ascii="PT Astra Serif" w:hAnsi="PT Astra Serif"/>
                <w:sz w:val="20"/>
                <w:szCs w:val="20"/>
                <w:lang w:eastAsia="en-US"/>
              </w:rPr>
            </w:r>
            <w:r>
              <w:rPr>
                <w:rFonts w:ascii="PT Astra Serif" w:hAnsi="PT Astra Serif"/>
                <w:sz w:val="20"/>
                <w:szCs w:val="20"/>
                <w:lang w:eastAsia="en-US"/>
              </w:rPr>
            </w:r>
          </w:p>
          <w:p>
            <w:pPr>
              <w:rPr>
                <w:rFonts w:ascii="PT Astra Serif" w:hAnsi="PT Astra Serif"/>
                <w:sz w:val="20"/>
                <w:szCs w:val="20"/>
              </w:rPr>
            </w:pPr>
            <w:r>
              <w:rPr>
                <w:rFonts w:ascii="PT Astra Serif" w:hAnsi="PT Astra Serif"/>
                <w:sz w:val="20"/>
                <w:szCs w:val="20"/>
              </w:rPr>
              <w:t xml:space="preserve">Учитывая стабильный рост объема ВРП (от 569,48 </w:t>
            </w:r>
            <w:r>
              <w:rPr>
                <w:rFonts w:ascii="PT Astra Serif" w:hAnsi="PT Astra Serif"/>
                <w:sz w:val="20"/>
                <w:szCs w:val="20"/>
              </w:rPr>
              <w:t xml:space="preserve">млрд</w:t>
            </w:r>
            <w:r>
              <w:rPr>
                <w:rFonts w:ascii="PT Astra Serif" w:hAnsi="PT Astra Serif"/>
                <w:sz w:val="20"/>
                <w:szCs w:val="20"/>
              </w:rPr>
              <w:t xml:space="preserve"> </w:t>
            </w:r>
            <w:r>
              <w:rPr>
                <w:rFonts w:ascii="PT Astra Serif" w:hAnsi="PT Astra Serif"/>
                <w:sz w:val="20"/>
                <w:szCs w:val="20"/>
              </w:rPr>
              <w:t xml:space="preserve">руб</w:t>
            </w:r>
            <w:r>
              <w:rPr>
                <w:rFonts w:ascii="PT Astra Serif" w:hAnsi="PT Astra Serif"/>
                <w:sz w:val="20"/>
                <w:szCs w:val="20"/>
              </w:rPr>
              <w:t xml:space="preserve">лей</w:t>
            </w:r>
            <w:r>
              <w:rPr>
                <w:rFonts w:ascii="PT Astra Serif" w:hAnsi="PT Astra Serif"/>
                <w:sz w:val="20"/>
                <w:szCs w:val="20"/>
              </w:rPr>
              <w:t xml:space="preserve"> в 2020 г</w:t>
            </w:r>
            <w:r>
              <w:rPr>
                <w:rFonts w:ascii="PT Astra Serif" w:hAnsi="PT Astra Serif"/>
                <w:sz w:val="20"/>
                <w:szCs w:val="20"/>
              </w:rPr>
              <w:t xml:space="preserve">оду</w:t>
            </w:r>
            <w:r>
              <w:rPr>
                <w:rFonts w:ascii="PT Astra Serif" w:hAnsi="PT Astra Serif"/>
                <w:sz w:val="20"/>
                <w:szCs w:val="20"/>
              </w:rPr>
              <w:t xml:space="preserve"> до 816,84 </w:t>
            </w:r>
            <w:r>
              <w:rPr>
                <w:rFonts w:ascii="PT Astra Serif" w:hAnsi="PT Astra Serif"/>
                <w:sz w:val="20"/>
                <w:szCs w:val="20"/>
              </w:rPr>
              <w:t xml:space="preserve">млрд </w:t>
            </w:r>
            <w:r>
              <w:rPr>
                <w:rFonts w:ascii="PT Astra Serif" w:hAnsi="PT Astra Serif"/>
                <w:sz w:val="20"/>
                <w:szCs w:val="20"/>
              </w:rPr>
              <w:t xml:space="preserve">руб</w:t>
            </w:r>
            <w:r>
              <w:rPr>
                <w:rFonts w:ascii="PT Astra Serif" w:hAnsi="PT Astra Serif"/>
                <w:sz w:val="20"/>
                <w:szCs w:val="20"/>
              </w:rPr>
              <w:t xml:space="preserve">лей</w:t>
            </w:r>
            <w:r>
              <w:rPr>
                <w:rFonts w:ascii="PT Astra Serif" w:hAnsi="PT Astra Serif"/>
                <w:sz w:val="20"/>
                <w:szCs w:val="20"/>
              </w:rPr>
              <w:t xml:space="preserve"> в 2023 г</w:t>
            </w:r>
            <w:r>
              <w:rPr>
                <w:rFonts w:ascii="PT Astra Serif" w:hAnsi="PT Astra Serif"/>
                <w:sz w:val="20"/>
                <w:szCs w:val="20"/>
              </w:rPr>
              <w:t xml:space="preserve">оду</w:t>
            </w:r>
            <w:r>
              <w:rPr>
                <w:rFonts w:ascii="PT Astra Serif" w:hAnsi="PT Astra Serif"/>
                <w:sz w:val="20"/>
                <w:szCs w:val="20"/>
              </w:rPr>
              <w:t xml:space="preserve">)</w:t>
            </w:r>
            <w:r>
              <w:rPr>
                <w:rFonts w:ascii="PT Astra Serif" w:hAnsi="PT Astra Serif"/>
                <w:sz w:val="20"/>
                <w:szCs w:val="20"/>
              </w:rPr>
              <w:t xml:space="preserve"> </w:t>
            </w:r>
            <w:r>
              <w:rPr>
                <w:rFonts w:ascii="PT Astra Serif" w:hAnsi="PT Astra Serif" w:eastAsia="Times New Roman"/>
                <w:sz w:val="20"/>
                <w:szCs w:val="20"/>
                <w:lang w:eastAsia="ru-RU"/>
              </w:rPr>
              <w:t xml:space="preserve">и менее высокие темпы роста внутренних затрат на исследования и разработки, су</w:t>
            </w:r>
            <w:r>
              <w:rPr>
                <w:rFonts w:ascii="PT Astra Serif" w:hAnsi="PT Astra Serif"/>
                <w:sz w:val="20"/>
                <w:szCs w:val="20"/>
              </w:rPr>
              <w:t xml:space="preserve">ществует риск недостижения показателя </w:t>
            </w:r>
            <w:r>
              <w:rPr>
                <w:rFonts w:ascii="PT Astra Serif" w:hAnsi="PT Astra Serif"/>
                <w:sz w:val="20"/>
                <w:szCs w:val="20"/>
              </w:rPr>
              <w:t xml:space="preserve">в 2024 году</w:t>
            </w:r>
            <w:r>
              <w:rPr>
                <w:rFonts w:ascii="PT Astra Serif" w:hAnsi="PT Astra Serif"/>
                <w:sz w:val="20"/>
                <w:szCs w:val="20"/>
              </w:rPr>
            </w:r>
            <w:r>
              <w:rPr>
                <w:rFonts w:ascii="PT Astra Serif" w:hAnsi="PT Astra Serif"/>
                <w:sz w:val="20"/>
                <w:szCs w:val="20"/>
              </w:rPr>
            </w:r>
          </w:p>
        </w:tc>
      </w:tr>
      <w:tr>
        <w:tblPrEx/>
        <w:trPr/>
        <w:tc>
          <w:tcPr>
            <w:tcBorders>
              <w:top w:val="single" w:color="auto" w:sz="4" w:space="0"/>
              <w:left w:val="single" w:color="auto" w:sz="4" w:space="0"/>
              <w:bottom w:val="single" w:color="auto" w:sz="4" w:space="0"/>
              <w:right w:val="single" w:color="auto" w:sz="4" w:space="0"/>
            </w:tcBorders>
            <w:tcW w:w="4394" w:type="dxa"/>
            <w:textDirection w:val="lrTb"/>
            <w:noWrap w:val="false"/>
          </w:tcPr>
          <w:p>
            <w:pPr>
              <w:ind w:right="451"/>
              <w:rPr>
                <w:rFonts w:ascii="PT Astra Serif" w:hAnsi="PT Astra Serif"/>
                <w:sz w:val="20"/>
                <w:szCs w:val="20"/>
              </w:rPr>
            </w:pPr>
            <w:r>
              <w:rPr>
                <w:rFonts w:ascii="PT Astra Serif" w:hAnsi="PT Astra Serif"/>
                <w:sz w:val="20"/>
                <w:szCs w:val="20"/>
              </w:rPr>
              <w:t xml:space="preserve">Объем инновационных товаров, работ, услуг организаций Томской области, </w:t>
            </w:r>
            <w:r>
              <w:rPr>
                <w:rFonts w:ascii="PT Astra Serif" w:hAnsi="PT Astra Serif"/>
                <w:sz w:val="20"/>
                <w:szCs w:val="20"/>
              </w:rPr>
              <w:t xml:space="preserve">млрд</w:t>
            </w:r>
            <w:r>
              <w:rPr>
                <w:rFonts w:ascii="PT Astra Serif" w:hAnsi="PT Astra Serif"/>
                <w:sz w:val="20"/>
                <w:szCs w:val="20"/>
              </w:rPr>
              <w:t xml:space="preserve"> </w:t>
            </w:r>
            <w:r>
              <w:rPr>
                <w:rFonts w:ascii="PT Astra Serif" w:hAnsi="PT Astra Serif"/>
                <w:sz w:val="20"/>
                <w:szCs w:val="20"/>
              </w:rPr>
              <w:t xml:space="preserve">рублей</w:t>
            </w:r>
            <w:r>
              <w:rPr>
                <w:rFonts w:ascii="PT Astra Serif" w:hAnsi="PT Astra Serif"/>
                <w:sz w:val="20"/>
                <w:szCs w:val="20"/>
              </w:rPr>
              <w:t xml:space="preserve"> </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rPr>
                <w:rFonts w:ascii="PT Astra Serif" w:hAnsi="PT Astra Serif"/>
                <w:sz w:val="20"/>
                <w:szCs w:val="20"/>
              </w:rPr>
            </w:pPr>
            <w:r>
              <w:rPr>
                <w:rFonts w:ascii="PT Astra Serif" w:hAnsi="PT Astra Serif"/>
                <w:sz w:val="20"/>
                <w:szCs w:val="20"/>
              </w:rPr>
              <w:t xml:space="preserve">18,8</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PT Astra Serif" w:hAnsi="PT Astra Serif"/>
                <w:sz w:val="20"/>
                <w:szCs w:val="20"/>
              </w:rPr>
            </w:pPr>
            <w:r>
              <w:rPr>
                <w:rFonts w:ascii="PT Astra Serif" w:hAnsi="PT Astra Serif"/>
                <w:sz w:val="20"/>
                <w:szCs w:val="20"/>
              </w:rPr>
              <w:t xml:space="preserve">19,8</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23,30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sz w:val="20"/>
                <w:szCs w:val="20"/>
              </w:rPr>
            </w:pPr>
            <w:r>
              <w:rPr>
                <w:rFonts w:ascii="PT Astra Serif" w:hAnsi="PT Astra Serif"/>
                <w:sz w:val="20"/>
                <w:szCs w:val="20"/>
              </w:rPr>
              <w:t xml:space="preserve">По предварительным данным</w:t>
            </w:r>
            <w:r>
              <w:rPr>
                <w:rFonts w:ascii="PT Astra Serif" w:hAnsi="PT Astra Serif"/>
                <w:sz w:val="20"/>
                <w:szCs w:val="20"/>
              </w:rPr>
              <w:t xml:space="preserve">,</w:t>
            </w:r>
            <w:r>
              <w:rPr>
                <w:rFonts w:ascii="PT Astra Serif" w:hAnsi="PT Astra Serif"/>
                <w:sz w:val="20"/>
                <w:szCs w:val="20"/>
              </w:rPr>
              <w:t xml:space="preserve"> за 2023 год объем инновационных товаров, работ, услуг организаций Томской области составил 18,8 </w:t>
            </w:r>
            <w:r>
              <w:rPr>
                <w:rFonts w:ascii="PT Astra Serif" w:hAnsi="PT Astra Serif"/>
                <w:sz w:val="20"/>
                <w:szCs w:val="20"/>
              </w:rPr>
              <w:t xml:space="preserve">млрд</w:t>
            </w:r>
            <w:r>
              <w:rPr>
                <w:rFonts w:ascii="PT Astra Serif" w:hAnsi="PT Astra Serif"/>
                <w:sz w:val="20"/>
                <w:szCs w:val="20"/>
              </w:rPr>
              <w:t xml:space="preserve"> </w:t>
            </w:r>
            <w:r>
              <w:rPr>
                <w:rFonts w:ascii="PT Astra Serif" w:hAnsi="PT Astra Serif"/>
                <w:sz w:val="20"/>
                <w:szCs w:val="20"/>
              </w:rPr>
              <w:t xml:space="preserve">рублей. </w:t>
            </w:r>
            <w:r>
              <w:rPr>
                <w:rFonts w:ascii="PT Astra Serif" w:hAnsi="PT Astra Serif"/>
                <w:sz w:val="20"/>
                <w:szCs w:val="20"/>
              </w:rPr>
            </w:r>
            <w:r>
              <w:rPr>
                <w:rFonts w:ascii="PT Astra Serif" w:hAnsi="PT Astra Serif"/>
                <w:sz w:val="20"/>
                <w:szCs w:val="20"/>
              </w:rPr>
            </w:r>
          </w:p>
          <w:p>
            <w:pPr>
              <w:rPr>
                <w:rFonts w:ascii="PT Astra Serif" w:hAnsi="PT Astra Serif"/>
                <w:sz w:val="20"/>
                <w:szCs w:val="20"/>
              </w:rPr>
            </w:pPr>
            <w:r>
              <w:rPr>
                <w:rFonts w:ascii="PT Astra Serif" w:hAnsi="PT Astra Serif"/>
                <w:sz w:val="20"/>
                <w:szCs w:val="20"/>
              </w:rPr>
              <w:t xml:space="preserve">Риск недостижения к 2024 го</w:t>
            </w:r>
            <w:r>
              <w:rPr>
                <w:rFonts w:ascii="PT Astra Serif" w:hAnsi="PT Astra Serif"/>
                <w:sz w:val="20"/>
                <w:szCs w:val="20"/>
              </w:rPr>
              <w:t xml:space="preserve">ду целевого значения показателя обусловлен сложившейся экономической ситуацией на фоне санкционного давления, что оказало негативное влияние на поставку товаров и комплектующих, производимых за рубежом. Вместе с тем с учетом реализуемых мер поддержки техно</w:t>
            </w:r>
            <w:r>
              <w:rPr>
                <w:rFonts w:ascii="PT Astra Serif" w:hAnsi="PT Astra Serif"/>
                <w:sz w:val="20"/>
                <w:szCs w:val="20"/>
              </w:rPr>
              <w:t xml:space="preserve">логического предпринимательства</w:t>
            </w:r>
            <w:r>
              <w:rPr>
                <w:rFonts w:ascii="PT Astra Serif" w:hAnsi="PT Astra Serif"/>
                <w:sz w:val="20"/>
                <w:szCs w:val="20"/>
              </w:rPr>
              <w:t xml:space="preserve"> как на федеральном, так и региональном уровне, по оценке в 2024 году значение показателя увеличится до 19,8 </w:t>
            </w:r>
            <w:r>
              <w:rPr>
                <w:rFonts w:ascii="PT Astra Serif" w:hAnsi="PT Astra Serif"/>
                <w:sz w:val="20"/>
                <w:szCs w:val="20"/>
              </w:rPr>
              <w:t xml:space="preserve">млрд </w:t>
            </w:r>
            <w:r>
              <w:rPr>
                <w:rFonts w:ascii="PT Astra Serif" w:hAnsi="PT Astra Serif"/>
                <w:sz w:val="20"/>
                <w:szCs w:val="20"/>
              </w:rPr>
              <w:t xml:space="preserve">рублей</w:t>
            </w:r>
            <w:r>
              <w:rPr>
                <w:rFonts w:ascii="PT Astra Serif" w:hAnsi="PT Astra Serif"/>
                <w:sz w:val="20"/>
                <w:szCs w:val="20"/>
              </w:rPr>
            </w:r>
            <w:r>
              <w:rPr>
                <w:rFonts w:ascii="PT Astra Serif" w:hAnsi="PT Astra Serif"/>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Задача 1.4. Обеспечить улучшение инвестиционного климата и повышение качества государственного регулирования, содействовать укреплению международных и межрегиональных связей в Томской области</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ind w:right="391"/>
              <w:rPr>
                <w:rFonts w:ascii="PT Astra Serif" w:hAnsi="PT Astra Serif"/>
                <w:sz w:val="20"/>
                <w:szCs w:val="20"/>
              </w:rPr>
            </w:pPr>
            <w:r>
              <w:rPr>
                <w:rFonts w:ascii="PT Astra Serif" w:hAnsi="PT Astra Serif"/>
                <w:sz w:val="20"/>
                <w:szCs w:val="20"/>
              </w:rPr>
              <w:t xml:space="preserve">Объем несырьевого неэнергетического экспорта, </w:t>
            </w:r>
            <w:r>
              <w:rPr>
                <w:rFonts w:ascii="PT Astra Serif" w:hAnsi="PT Astra Serif"/>
                <w:sz w:val="20"/>
                <w:szCs w:val="20"/>
              </w:rPr>
              <w:t xml:space="preserve">млрд </w:t>
            </w:r>
            <w:r>
              <w:rPr>
                <w:rFonts w:ascii="PT Astra Serif" w:hAnsi="PT Astra Serif"/>
                <w:sz w:val="20"/>
                <w:szCs w:val="20"/>
              </w:rPr>
              <w:t xml:space="preserve">долл. США </w:t>
            </w:r>
            <w:r>
              <w:rPr>
                <w:rFonts w:ascii="PT Astra Serif" w:hAnsi="PT Astra Serif"/>
                <w:sz w:val="20"/>
                <w:szCs w:val="20"/>
              </w:rPr>
            </w:r>
            <w:r>
              <w:rPr>
                <w:rFonts w:ascii="PT Astra Serif" w:hAnsi="PT Astra Serif"/>
                <w:sz w:val="20"/>
                <w:szCs w:val="20"/>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ind w:right="391"/>
              <w:jc w:val="center"/>
              <w:tabs>
                <w:tab w:val="left" w:pos="1593" w:leader="none"/>
              </w:tabs>
              <w:rPr>
                <w:rFonts w:ascii="PT Astra Serif" w:hAnsi="PT Astra Serif"/>
                <w:sz w:val="20"/>
                <w:szCs w:val="20"/>
              </w:rPr>
            </w:pPr>
            <w:r>
              <w:rPr>
                <w:rFonts w:ascii="PT Astra Serif" w:hAnsi="PT Astra Serif"/>
                <w:sz w:val="20"/>
                <w:szCs w:val="20"/>
              </w:rPr>
              <w:t xml:space="preserve">*</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right="391"/>
              <w:jc w:val="center"/>
              <w:tabs>
                <w:tab w:val="left" w:pos="1593" w:leader="none"/>
              </w:tabs>
              <w:rPr>
                <w:rFonts w:ascii="PT Astra Serif" w:hAnsi="PT Astra Serif"/>
                <w:sz w:val="20"/>
                <w:szCs w:val="20"/>
              </w:rPr>
            </w:pPr>
            <w:r>
              <w:rPr>
                <w:rFonts w:ascii="PT Astra Serif" w:hAnsi="PT Astra Serif"/>
                <w:sz w:val="20"/>
                <w:szCs w:val="20"/>
              </w:rPr>
              <w:t xml:space="preserve">0,38</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tabs>
                <w:tab w:val="left" w:pos="1593" w:leader="none"/>
              </w:tabs>
              <w:rPr>
                <w:rFonts w:ascii="PT Astra Serif" w:hAnsi="PT Astra Serif"/>
                <w:szCs w:val="20"/>
                <w:lang w:eastAsia="en-US"/>
              </w:rPr>
            </w:pPr>
            <w:r>
              <w:rPr>
                <w:rFonts w:ascii="PT Astra Serif" w:hAnsi="PT Astra Serif"/>
                <w:szCs w:val="20"/>
                <w:lang w:eastAsia="en-US"/>
              </w:rPr>
              <w:t xml:space="preserve">0,33</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val="false"/>
          </w:tcPr>
          <w:p>
            <w:pPr>
              <w:ind w:right="391"/>
              <w:rPr>
                <w:rFonts w:ascii="PT Astra Serif" w:hAnsi="PT Astra Serif"/>
                <w:sz w:val="20"/>
                <w:szCs w:val="20"/>
              </w:rPr>
            </w:pPr>
            <w:r>
              <w:rPr>
                <w:rFonts w:ascii="PT Astra Serif" w:hAnsi="PT Astra Serif"/>
                <w:sz w:val="20"/>
                <w:szCs w:val="20"/>
              </w:rPr>
              <w:t xml:space="preserve">По итогам 2023 года показатель стоимостного объема несырьевого неэнергетического экспорта Томской области (объем экспорта без учета топливно-энергетических товаров) по сравнению с уровнем 2022 г</w:t>
            </w:r>
            <w:r>
              <w:rPr>
                <w:rFonts w:ascii="PT Astra Serif" w:hAnsi="PT Astra Serif"/>
                <w:sz w:val="20"/>
                <w:szCs w:val="20"/>
              </w:rPr>
              <w:t xml:space="preserve">ода ниже на 15,9%. Вместе с тем</w:t>
            </w:r>
            <w:r>
              <w:rPr>
                <w:rFonts w:ascii="PT Astra Serif" w:hAnsi="PT Astra Serif"/>
                <w:sz w:val="20"/>
                <w:szCs w:val="20"/>
              </w:rPr>
              <w:t xml:space="preserve"> доля несырьевого неэнергетического экспорта в 2023 году составила </w:t>
            </w:r>
            <w:r>
              <w:rPr>
                <w:rFonts w:ascii="PT Astra Serif" w:hAnsi="PT Astra Serif"/>
                <w:sz w:val="20"/>
                <w:szCs w:val="20"/>
              </w:rPr>
              <w:t xml:space="preserve">89,8</w:t>
            </w:r>
            <w:r>
              <w:rPr>
                <w:rFonts w:ascii="PT Astra Serif" w:hAnsi="PT Astra Serif"/>
                <w:sz w:val="20"/>
                <w:szCs w:val="20"/>
              </w:rPr>
              <w:t xml:space="preserve">% в общем объеме стоимостного экспорта (в 2022 году – 82%) на фоне снижения экспорта топливно-энергетических товаров в результате влияния санкционного давления и снижения объемов добычи.</w:t>
            </w:r>
            <w:r>
              <w:rPr>
                <w:rFonts w:ascii="PT Astra Serif" w:hAnsi="PT Astra Serif"/>
                <w:sz w:val="20"/>
                <w:szCs w:val="20"/>
              </w:rPr>
            </w:r>
            <w:r>
              <w:rPr>
                <w:rFonts w:ascii="PT Astra Serif" w:hAnsi="PT Astra Serif"/>
                <w:sz w:val="20"/>
                <w:szCs w:val="20"/>
              </w:rPr>
            </w:r>
          </w:p>
          <w:p>
            <w:pPr>
              <w:ind w:right="391"/>
              <w:jc w:val="both"/>
              <w:rPr>
                <w:rFonts w:ascii="PT Astra Serif" w:hAnsi="PT Astra Serif"/>
                <w:sz w:val="20"/>
                <w:szCs w:val="20"/>
              </w:rPr>
            </w:pPr>
            <w:r>
              <w:rPr>
                <w:rFonts w:ascii="PT Astra Serif" w:hAnsi="PT Astra Serif"/>
                <w:sz w:val="20"/>
                <w:szCs w:val="20"/>
              </w:rPr>
              <w:t xml:space="preserve">В 2024 году показатель оценивается на уровне 0,38 </w:t>
            </w:r>
            <w:r>
              <w:rPr>
                <w:rFonts w:ascii="PT Astra Serif" w:hAnsi="PT Astra Serif"/>
                <w:sz w:val="20"/>
                <w:szCs w:val="20"/>
              </w:rPr>
              <w:t xml:space="preserve">млрд</w:t>
            </w:r>
            <w:r>
              <w:rPr>
                <w:rFonts w:ascii="PT Astra Serif" w:hAnsi="PT Astra Serif"/>
                <w:sz w:val="20"/>
                <w:szCs w:val="20"/>
              </w:rPr>
              <w:t xml:space="preserve"> </w:t>
            </w:r>
            <w:r>
              <w:rPr>
                <w:rFonts w:ascii="PT Astra Serif" w:hAnsi="PT Astra Serif"/>
                <w:sz w:val="20"/>
                <w:szCs w:val="20"/>
              </w:rPr>
              <w:t xml:space="preserve">долл. США в результате роста валютного курса и дальнейшего влияния ограничений по добыче нефти и экспорта нефтепродуктов, что способствует превышению целевого значения на 2024 год (0,33 </w:t>
            </w:r>
            <w:r>
              <w:rPr>
                <w:rFonts w:ascii="PT Astra Serif" w:hAnsi="PT Astra Serif"/>
                <w:sz w:val="20"/>
                <w:szCs w:val="20"/>
              </w:rPr>
              <w:t xml:space="preserve">млрд</w:t>
            </w:r>
            <w:r>
              <w:rPr>
                <w:rFonts w:ascii="PT Astra Serif" w:hAnsi="PT Astra Serif"/>
                <w:sz w:val="20"/>
                <w:szCs w:val="20"/>
              </w:rPr>
              <w:t xml:space="preserve"> </w:t>
            </w:r>
            <w:r>
              <w:rPr>
                <w:rFonts w:ascii="PT Astra Serif" w:hAnsi="PT Astra Serif"/>
                <w:sz w:val="20"/>
                <w:szCs w:val="20"/>
              </w:rPr>
              <w:t xml:space="preserve">долл. США). </w:t>
            </w:r>
            <w:r>
              <w:rPr>
                <w:rFonts w:ascii="PT Astra Serif" w:hAnsi="PT Astra Serif"/>
                <w:sz w:val="20"/>
                <w:szCs w:val="20"/>
              </w:rPr>
            </w:r>
            <w:r>
              <w:rPr>
                <w:rFonts w:ascii="PT Astra Serif" w:hAnsi="PT Astra Serif"/>
                <w:sz w:val="20"/>
                <w:szCs w:val="20"/>
              </w:rPr>
            </w:r>
          </w:p>
          <w:p>
            <w:pPr>
              <w:ind w:right="391"/>
              <w:jc w:val="both"/>
              <w:rPr>
                <w:rFonts w:ascii="PT Astra Serif" w:hAnsi="PT Astra Serif"/>
                <w:sz w:val="20"/>
                <w:szCs w:val="20"/>
              </w:rPr>
            </w:pPr>
            <w:r>
              <w:rPr>
                <w:rFonts w:ascii="PT Astra Serif" w:hAnsi="PT Astra Serif"/>
                <w:sz w:val="20"/>
                <w:szCs w:val="20"/>
              </w:rPr>
              <w:t xml:space="preserve">Однако продолжающееся санкционное давление, изменение конъюнктуры мирового рынка, а также ограничения по экспорту продукции лесопромышленного комплекса могут послужить сдерживающими факторами в достижении показателя</w:t>
            </w:r>
            <w:r>
              <w:rPr>
                <w:rFonts w:ascii="PT Astra Serif" w:hAnsi="PT Astra Serif"/>
                <w:sz w:val="20"/>
                <w:szCs w:val="20"/>
              </w:rPr>
            </w:r>
            <w:r>
              <w:rPr>
                <w:rFonts w:ascii="PT Astra Serif" w:hAnsi="PT Astra Serif"/>
                <w:sz w:val="20"/>
                <w:szCs w:val="20"/>
              </w:rPr>
            </w:r>
          </w:p>
        </w:tc>
      </w:tr>
      <w:tr>
        <w:tblPrEx/>
        <w:trPr>
          <w:trHeight w:val="77"/>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ind w:right="451"/>
              <w:rPr>
                <w:rFonts w:ascii="PT Astra Serif" w:hAnsi="PT Astra Serif"/>
                <w:sz w:val="20"/>
                <w:szCs w:val="20"/>
              </w:rPr>
            </w:pPr>
            <w:r>
              <w:rPr>
                <w:rFonts w:ascii="PT Astra Serif" w:hAnsi="PT Astra Serif"/>
                <w:sz w:val="20"/>
                <w:szCs w:val="20"/>
              </w:rPr>
              <w:t xml:space="preserve">Темп роста (индекс роста) физического объема инвестиций в основной капитал, за исключением инвестиций инфраструктурных монополий (федеральные проекты) и бюджетных ассигнований федерального бюджета, % к 2020 году </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widowControl w:val="off"/>
              <w:tabs>
                <w:tab w:val="left" w:pos="1593" w:leader="none"/>
              </w:tabs>
              <w:rPr>
                <w:rFonts w:ascii="PT Astra Serif" w:hAnsi="PT Astra Serif"/>
                <w:sz w:val="20"/>
                <w:szCs w:val="20"/>
              </w:rPr>
            </w:pPr>
            <w:r>
              <w:rPr>
                <w:rFonts w:ascii="PT Astra Serif" w:hAnsi="PT Astra Serif"/>
                <w:sz w:val="20"/>
                <w:szCs w:val="20"/>
              </w:rPr>
              <w:t xml:space="preserve">110,80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widowControl w:val="off"/>
              <w:tabs>
                <w:tab w:val="left" w:pos="1593" w:leader="none"/>
              </w:tabs>
              <w:rPr>
                <w:rFonts w:ascii="PT Astra Serif" w:hAnsi="PT Astra Serif"/>
                <w:sz w:val="20"/>
                <w:szCs w:val="20"/>
              </w:rPr>
            </w:pPr>
            <w:r>
              <w:rPr>
                <w:rFonts w:ascii="PT Astra Serif" w:hAnsi="PT Astra Serif"/>
                <w:sz w:val="20"/>
                <w:szCs w:val="20"/>
              </w:rPr>
              <w:t xml:space="preserve">134,40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widowControl w:val="off"/>
              <w:tabs>
                <w:tab w:val="left" w:pos="1593" w:leader="none"/>
              </w:tabs>
              <w:rPr>
                <w:rFonts w:ascii="PT Astra Serif" w:hAnsi="PT Astra Serif"/>
                <w:sz w:val="20"/>
                <w:szCs w:val="20"/>
              </w:rPr>
            </w:pPr>
            <w:r>
              <w:rPr>
                <w:rFonts w:ascii="PT Astra Serif" w:hAnsi="PT Astra Serif"/>
                <w:sz w:val="20"/>
                <w:szCs w:val="20"/>
              </w:rPr>
              <w:t xml:space="preserve">114,10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jc w:val="both"/>
              <w:rPr>
                <w:rFonts w:ascii="PT Astra Serif" w:hAnsi="PT Astra Serif"/>
                <w:sz w:val="20"/>
                <w:szCs w:val="20"/>
              </w:rPr>
            </w:pPr>
            <w:r>
              <w:rPr>
                <w:rFonts w:ascii="PT Astra Serif" w:hAnsi="PT Astra Serif"/>
                <w:sz w:val="20"/>
                <w:szCs w:val="20"/>
              </w:rPr>
              <w:t xml:space="preserve">Фактическое значение показателя по итогам 2023 года составило 110,8%. </w:t>
            </w:r>
            <w:r>
              <w:rPr>
                <w:rFonts w:ascii="PT Astra Serif" w:hAnsi="PT Astra Serif"/>
                <w:sz w:val="20"/>
                <w:szCs w:val="20"/>
              </w:rPr>
            </w:r>
            <w:r>
              <w:rPr>
                <w:rFonts w:ascii="PT Astra Serif" w:hAnsi="PT Astra Serif"/>
                <w:sz w:val="20"/>
                <w:szCs w:val="20"/>
              </w:rPr>
            </w:r>
          </w:p>
          <w:p>
            <w:pPr>
              <w:jc w:val="both"/>
              <w:rPr>
                <w:rFonts w:ascii="PT Astra Serif" w:hAnsi="PT Astra Serif"/>
                <w:sz w:val="20"/>
                <w:szCs w:val="20"/>
              </w:rPr>
            </w:pPr>
            <w:r>
              <w:rPr>
                <w:rFonts w:ascii="PT Astra Serif" w:hAnsi="PT Astra Serif"/>
                <w:sz w:val="20"/>
                <w:szCs w:val="20"/>
              </w:rPr>
              <w:t xml:space="preserve">На положительную динамику показателя </w:t>
            </w:r>
            <w:r>
              <w:rPr>
                <w:rFonts w:ascii="PT Astra Serif" w:hAnsi="PT Astra Serif" w:eastAsia="Calibri"/>
                <w:bCs/>
                <w:sz w:val="20"/>
                <w:szCs w:val="20"/>
              </w:rPr>
              <w:t xml:space="preserve">оказали влияние такие факторы</w:t>
            </w:r>
            <w:r>
              <w:rPr>
                <w:rFonts w:ascii="PT Astra Serif" w:hAnsi="PT Astra Serif" w:eastAsia="Calibri"/>
                <w:bCs/>
                <w:sz w:val="20"/>
                <w:szCs w:val="20"/>
              </w:rPr>
              <w:t xml:space="preserve">,</w:t>
            </w:r>
            <w:r>
              <w:rPr>
                <w:rFonts w:ascii="PT Astra Serif" w:hAnsi="PT Astra Serif" w:eastAsia="Calibri"/>
                <w:bCs/>
                <w:sz w:val="20"/>
                <w:szCs w:val="20"/>
              </w:rPr>
              <w:t xml:space="preserve"> как рост инвестиций в обрабатывающие производства (ИФО 121,5%) обеспечение электрической энергией, газом и паром (ИФО 124,6%); строительство (ИФО 123,3%), </w:t>
            </w:r>
            <w:r>
              <w:rPr>
                <w:rFonts w:ascii="PT Astra Serif" w:hAnsi="PT Astra Serif"/>
                <w:sz w:val="20"/>
                <w:szCs w:val="20"/>
              </w:rPr>
              <w:t xml:space="preserve">транспортировка и хранение </w:t>
            </w:r>
            <w:r>
              <w:rPr>
                <w:rFonts w:ascii="PT Astra Serif" w:hAnsi="PT Astra Serif" w:eastAsia="Calibri"/>
                <w:bCs/>
                <w:sz w:val="20"/>
                <w:szCs w:val="20"/>
              </w:rPr>
              <w:t xml:space="preserve">(ИФО 128,5%), недвижимость (ИФО 121,6%). </w:t>
            </w:r>
            <w:r>
              <w:rPr>
                <w:rFonts w:ascii="PT Astra Serif" w:hAnsi="PT Astra Serif"/>
                <w:sz w:val="20"/>
                <w:szCs w:val="20"/>
              </w:rPr>
              <w:t xml:space="preserve">При этом сохранилось сдерживающее влияние на показатель таких факторов, как рост цен на товары инвестиционного назначения и строительные материалы, а также недостаток собственных и заемных средств для осуществления долгосрочных инвестиций. </w:t>
            </w:r>
            <w:r>
              <w:rPr>
                <w:rFonts w:ascii="PT Astra Serif" w:hAnsi="PT Astra Serif"/>
                <w:sz w:val="20"/>
                <w:szCs w:val="20"/>
              </w:rPr>
            </w:r>
            <w:r>
              <w:rPr>
                <w:rFonts w:ascii="PT Astra Serif" w:hAnsi="PT Astra Serif"/>
                <w:sz w:val="20"/>
                <w:szCs w:val="20"/>
              </w:rPr>
            </w:r>
          </w:p>
          <w:p>
            <w:pPr>
              <w:jc w:val="both"/>
              <w:rPr>
                <w:rFonts w:ascii="PT Astra Serif" w:hAnsi="PT Astra Serif" w:eastAsia="Times New Roman"/>
                <w:sz w:val="20"/>
                <w:szCs w:val="20"/>
              </w:rPr>
            </w:pPr>
            <w:r>
              <w:rPr>
                <w:rFonts w:ascii="PT Astra Serif" w:hAnsi="PT Astra Serif" w:eastAsia="Times New Roman"/>
                <w:sz w:val="20"/>
                <w:szCs w:val="20"/>
              </w:rPr>
              <w:t xml:space="preserve">Показатель за 2024 год к уровню 2020 года прогнозируется на уровне 134,4%, что выше планового значения на 20,3 проце</w:t>
            </w:r>
            <w:r>
              <w:rPr>
                <w:rFonts w:ascii="PT Astra Serif" w:hAnsi="PT Astra Serif" w:eastAsia="Times New Roman"/>
                <w:sz w:val="20"/>
                <w:szCs w:val="20"/>
              </w:rPr>
              <w:t xml:space="preserve">нтного</w:t>
            </w:r>
            <w:r>
              <w:rPr>
                <w:rFonts w:ascii="PT Astra Serif" w:hAnsi="PT Astra Serif" w:eastAsia="Times New Roman"/>
                <w:sz w:val="20"/>
                <w:szCs w:val="20"/>
              </w:rPr>
              <w:t xml:space="preserve"> пункта. На перевыполнение планового значения показателя существенное влияние окажет реализация крупных инвестиц</w:t>
            </w:r>
            <w:r>
              <w:rPr>
                <w:rFonts w:ascii="PT Astra Serif" w:hAnsi="PT Astra Serif" w:eastAsia="Times New Roman"/>
                <w:sz w:val="20"/>
                <w:szCs w:val="20"/>
              </w:rPr>
              <w:t xml:space="preserve">ионных проектов Томской области</w:t>
            </w:r>
            <w:r>
              <w:rPr>
                <w:rFonts w:ascii="PT Astra Serif" w:hAnsi="PT Astra Serif" w:eastAsia="Times New Roman"/>
                <w:sz w:val="20"/>
                <w:szCs w:val="20"/>
              </w:rPr>
            </w:r>
            <w:r>
              <w:rPr>
                <w:rFonts w:ascii="PT Astra Serif" w:hAnsi="PT Astra Serif" w:eastAsia="Times New Roman"/>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Цель 2. Рациональное использование природного капитала Томской области, устойчивое развитие агропромышленного комплекса</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ind w:right="451"/>
              <w:rPr>
                <w:rFonts w:ascii="PT Astra Serif" w:hAnsi="PT Astra Serif"/>
                <w:sz w:val="20"/>
                <w:szCs w:val="20"/>
              </w:rPr>
            </w:pPr>
            <w:r>
              <w:rPr>
                <w:rFonts w:ascii="PT Astra Serif" w:hAnsi="PT Astra Serif"/>
                <w:sz w:val="20"/>
                <w:szCs w:val="20"/>
              </w:rPr>
              <w:t xml:space="preserve">Объем загрязнений на единицу ВРП, тонн/</w:t>
            </w:r>
            <w:r>
              <w:rPr>
                <w:rFonts w:ascii="PT Astra Serif" w:hAnsi="PT Astra Serif"/>
                <w:sz w:val="20"/>
                <w:szCs w:val="20"/>
              </w:rPr>
              <w:t xml:space="preserve">млрд</w:t>
            </w:r>
            <w:r>
              <w:rPr>
                <w:rFonts w:ascii="PT Astra Serif" w:hAnsi="PT Astra Serif"/>
                <w:sz w:val="20"/>
                <w:szCs w:val="20"/>
              </w:rPr>
              <w:t xml:space="preserve"> </w:t>
            </w:r>
            <w:r>
              <w:rPr>
                <w:rFonts w:ascii="PT Astra Serif" w:hAnsi="PT Astra Serif"/>
                <w:sz w:val="20"/>
                <w:szCs w:val="20"/>
              </w:rPr>
              <w:t xml:space="preserve">рублей </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tabs>
                <w:tab w:val="left" w:pos="1202" w:leader="none"/>
                <w:tab w:val="left" w:pos="1627" w:leader="none"/>
              </w:tabs>
              <w:rPr>
                <w:rFonts w:ascii="PT Astra Serif" w:hAnsi="PT Astra Serif"/>
                <w:sz w:val="20"/>
                <w:szCs w:val="20"/>
              </w:rPr>
            </w:pPr>
            <w:r>
              <w:rPr>
                <w:rFonts w:ascii="PT Astra Serif" w:hAnsi="PT Astra Serif"/>
                <w:sz w:val="20"/>
                <w:szCs w:val="20"/>
              </w:rPr>
              <w:t xml:space="preserve">-</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tabs>
                <w:tab w:val="left" w:pos="1202" w:leader="none"/>
                <w:tab w:val="left" w:pos="1627" w:leader="none"/>
              </w:tabs>
              <w:rPr>
                <w:rFonts w:ascii="PT Astra Serif" w:hAnsi="PT Astra Serif"/>
                <w:sz w:val="20"/>
                <w:szCs w:val="20"/>
              </w:rPr>
            </w:pPr>
            <w:r>
              <w:rPr>
                <w:rFonts w:ascii="PT Astra Serif" w:hAnsi="PT Astra Serif"/>
                <w:sz w:val="20"/>
                <w:szCs w:val="20"/>
              </w:rPr>
              <w:t xml:space="preserve">-</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tabs>
                <w:tab w:val="left" w:pos="1627" w:leader="none"/>
              </w:tabs>
              <w:rPr>
                <w:rFonts w:ascii="PT Astra Serif" w:hAnsi="PT Astra Serif"/>
                <w:szCs w:val="20"/>
                <w:lang w:eastAsia="en-US"/>
              </w:rPr>
            </w:pPr>
            <w:r>
              <w:rPr>
                <w:rFonts w:ascii="PT Astra Serif" w:hAnsi="PT Astra Serif"/>
                <w:szCs w:val="20"/>
                <w:lang w:eastAsia="en-US"/>
              </w:rPr>
              <w:t xml:space="preserve">402,00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val="false"/>
          </w:tcPr>
          <w:p>
            <w:pPr>
              <w:ind w:right="451"/>
              <w:rPr>
                <w:rFonts w:ascii="PT Astra Serif" w:hAnsi="PT Astra Serif"/>
                <w:sz w:val="20"/>
                <w:szCs w:val="20"/>
              </w:rPr>
            </w:pPr>
            <w:r>
              <w:rPr>
                <w:rFonts w:ascii="PT Astra Serif" w:hAnsi="PT Astra Serif"/>
                <w:sz w:val="20"/>
                <w:szCs w:val="20"/>
              </w:rPr>
              <w:t xml:space="preserve">Статистические сведения за 2023 год будут обработаны Росприроднадзором России не ранее 2-го квартала 2024 года, в связи с чем оценка д</w:t>
            </w:r>
            <w:r>
              <w:rPr>
                <w:rFonts w:ascii="PT Astra Serif" w:hAnsi="PT Astra Serif"/>
                <w:sz w:val="20"/>
                <w:szCs w:val="20"/>
              </w:rPr>
              <w:t xml:space="preserve">остижения показателя невозможна</w:t>
            </w:r>
            <w:r>
              <w:rPr>
                <w:rFonts w:ascii="PT Astra Serif" w:hAnsi="PT Astra Serif"/>
                <w:sz w:val="20"/>
                <w:szCs w:val="20"/>
              </w:rPr>
            </w:r>
            <w:r>
              <w:rPr>
                <w:rFonts w:ascii="PT Astra Serif" w:hAnsi="PT Astra Serif"/>
                <w:sz w:val="20"/>
                <w:szCs w:val="20"/>
              </w:rPr>
            </w:r>
          </w:p>
        </w:tc>
      </w:tr>
      <w:tr>
        <w:tblPrEx/>
        <w:trPr/>
        <w:tc>
          <w:tcPr>
            <w:tcBorders>
              <w:top w:val="single" w:color="auto" w:sz="4" w:space="0"/>
              <w:left w:val="single" w:color="auto" w:sz="4" w:space="0"/>
              <w:bottom w:val="single" w:color="auto" w:sz="4" w:space="0"/>
              <w:right w:val="single" w:color="auto" w:sz="4" w:space="0"/>
            </w:tcBorders>
            <w:tcW w:w="4394" w:type="dxa"/>
            <w:textDirection w:val="lrTb"/>
            <w:noWrap w:val="false"/>
          </w:tcPr>
          <w:p>
            <w:pPr>
              <w:ind w:right="451"/>
              <w:rPr>
                <w:rFonts w:ascii="PT Astra Serif" w:hAnsi="PT Astra Serif"/>
                <w:sz w:val="20"/>
                <w:szCs w:val="20"/>
              </w:rPr>
            </w:pPr>
            <w:r>
              <w:rPr>
                <w:rFonts w:ascii="PT Astra Serif" w:hAnsi="PT Astra Serif"/>
                <w:sz w:val="20"/>
                <w:szCs w:val="20"/>
              </w:rPr>
              <w:t xml:space="preserve">Индекс производства продукции сельского хозяйства в хозяйствах всех категорий (в сопоставимых ценах к 2020 году), % </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widowControl w:val="off"/>
              <w:tabs>
                <w:tab w:val="left" w:pos="1627" w:leader="none"/>
              </w:tabs>
              <w:rPr>
                <w:rFonts w:ascii="PT Astra Serif" w:hAnsi="PT Astra Serif"/>
                <w:sz w:val="20"/>
                <w:szCs w:val="20"/>
              </w:rPr>
            </w:pPr>
            <w:r>
              <w:rPr>
                <w:rFonts w:ascii="PT Astra Serif" w:hAnsi="PT Astra Serif"/>
                <w:sz w:val="20"/>
                <w:szCs w:val="20"/>
              </w:rPr>
              <w:t xml:space="preserve">96,90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widowControl w:val="off"/>
              <w:tabs>
                <w:tab w:val="left" w:pos="1627" w:leader="none"/>
              </w:tabs>
              <w:rPr>
                <w:rFonts w:ascii="PT Astra Serif" w:hAnsi="PT Astra Serif"/>
                <w:sz w:val="20"/>
                <w:szCs w:val="20"/>
              </w:rPr>
            </w:pPr>
            <w:r>
              <w:rPr>
                <w:rFonts w:ascii="PT Astra Serif" w:hAnsi="PT Astra Serif"/>
                <w:sz w:val="20"/>
                <w:szCs w:val="20"/>
              </w:rPr>
              <w:t xml:space="preserve">103,20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tabs>
                <w:tab w:val="left" w:pos="1627" w:leader="none"/>
              </w:tabs>
              <w:rPr>
                <w:rFonts w:ascii="PT Astra Serif" w:hAnsi="PT Astra Serif" w:eastAsiaTheme="minorHAnsi"/>
                <w:szCs w:val="20"/>
                <w:lang w:eastAsia="en-US"/>
              </w:rPr>
            </w:pPr>
            <w:r>
              <w:rPr>
                <w:rFonts w:ascii="PT Astra Serif" w:hAnsi="PT Astra Serif" w:eastAsiaTheme="minorHAnsi"/>
                <w:szCs w:val="20"/>
                <w:lang w:eastAsia="en-US"/>
              </w:rPr>
              <w:t xml:space="preserve">102,82</w:t>
            </w:r>
            <w:r>
              <w:rPr>
                <w:rFonts w:ascii="PT Astra Serif" w:hAnsi="PT Astra Serif" w:eastAsiaTheme="minorHAnsi"/>
                <w:szCs w:val="20"/>
                <w:lang w:eastAsia="en-US"/>
              </w:rPr>
            </w:r>
            <w:r>
              <w:rPr>
                <w:rFonts w:ascii="PT Astra Serif" w:hAnsi="PT Astra Serif" w:eastAsiaTheme="minorHAnsi"/>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sz w:val="20"/>
                <w:szCs w:val="20"/>
              </w:rPr>
            </w:pPr>
            <w:r>
              <w:rPr>
                <w:rFonts w:ascii="PT Astra Serif" w:hAnsi="PT Astra Serif"/>
                <w:sz w:val="20"/>
                <w:szCs w:val="20"/>
              </w:rPr>
              <w:t xml:space="preserve">О</w:t>
            </w:r>
            <w:r>
              <w:rPr>
                <w:rFonts w:ascii="PT Astra Serif" w:hAnsi="PT Astra Serif"/>
                <w:sz w:val="20"/>
                <w:szCs w:val="20"/>
              </w:rPr>
              <w:t xml:space="preserve">трицательная динамика показателя к 2022 году (ИФО 94,1%) обусловлена снижением объемов производства животноводческой (ИФО - 98,1%) и растениеводческой продукции (ИФО - 86,3%) из-за неблагоприятных погодных условий в течение всего полевого сезона 2023 года.</w:t>
            </w:r>
            <w:r>
              <w:rPr>
                <w:rFonts w:ascii="PT Astra Serif" w:hAnsi="PT Astra Serif"/>
                <w:sz w:val="20"/>
                <w:szCs w:val="20"/>
              </w:rPr>
            </w:r>
            <w:r>
              <w:rPr>
                <w:rFonts w:ascii="PT Astra Serif" w:hAnsi="PT Astra Serif"/>
                <w:sz w:val="20"/>
                <w:szCs w:val="20"/>
              </w:rPr>
            </w:r>
          </w:p>
          <w:p>
            <w:pPr>
              <w:rPr>
                <w:rFonts w:ascii="PT Astra Serif" w:hAnsi="PT Astra Serif"/>
                <w:sz w:val="20"/>
                <w:szCs w:val="20"/>
              </w:rPr>
            </w:pPr>
            <w:r>
              <w:rPr>
                <w:rFonts w:ascii="PT Astra Serif" w:hAnsi="PT Astra Serif"/>
                <w:sz w:val="20"/>
                <w:szCs w:val="20"/>
              </w:rPr>
              <w:t xml:space="preserve">По оценке Департамент</w:t>
            </w:r>
            <w:r>
              <w:rPr>
                <w:rFonts w:ascii="PT Astra Serif" w:hAnsi="PT Astra Serif"/>
                <w:sz w:val="20"/>
                <w:szCs w:val="20"/>
              </w:rPr>
              <w:t xml:space="preserve">а</w:t>
            </w:r>
            <w:r>
              <w:rPr>
                <w:rFonts w:ascii="PT Astra Serif" w:hAnsi="PT Astra Serif"/>
                <w:sz w:val="20"/>
                <w:szCs w:val="20"/>
              </w:rPr>
              <w:t xml:space="preserve"> по социально-экономическому развитию села Томской области</w:t>
            </w:r>
            <w:r>
              <w:rPr>
                <w:rFonts w:ascii="PT Astra Serif" w:hAnsi="PT Astra Serif"/>
                <w:sz w:val="20"/>
                <w:szCs w:val="20"/>
              </w:rPr>
              <w:t xml:space="preserve">,</w:t>
            </w:r>
            <w:r>
              <w:rPr>
                <w:rFonts w:ascii="PT Astra Serif" w:hAnsi="PT Astra Serif"/>
                <w:sz w:val="20"/>
                <w:szCs w:val="20"/>
              </w:rPr>
              <w:t xml:space="preserve"> индекс производства продукции сельского хозяйства в 2024 году в сопоставимых ценах к 2020 году составит 103,2% за счет реализации мероприятий государственной поддержки сельскохозяйственного производства. При этом недостижение показателя в 2024 году возмо</w:t>
            </w:r>
            <w:r>
              <w:rPr>
                <w:rFonts w:ascii="PT Astra Serif" w:hAnsi="PT Astra Serif"/>
                <w:sz w:val="20"/>
                <w:szCs w:val="20"/>
              </w:rPr>
              <w:t xml:space="preserve">жно исходя из текущих тенденций</w:t>
            </w:r>
            <w:r>
              <w:rPr>
                <w:rFonts w:ascii="PT Astra Serif" w:hAnsi="PT Astra Serif"/>
                <w:sz w:val="20"/>
                <w:szCs w:val="20"/>
              </w:rPr>
            </w:r>
            <w:r>
              <w:rPr>
                <w:rFonts w:ascii="PT Astra Serif" w:hAnsi="PT Astra Serif"/>
                <w:sz w:val="20"/>
                <w:szCs w:val="20"/>
              </w:rPr>
            </w:r>
          </w:p>
        </w:tc>
      </w:tr>
      <w:tr>
        <w:tblPrEx/>
        <w:trPr/>
        <w:tc>
          <w:tcPr>
            <w:tcBorders>
              <w:top w:val="single" w:color="auto" w:sz="4" w:space="0"/>
              <w:left w:val="single" w:color="auto" w:sz="4" w:space="0"/>
              <w:bottom w:val="single" w:color="auto" w:sz="4" w:space="0"/>
              <w:right w:val="single" w:color="auto" w:sz="4" w:space="0"/>
            </w:tcBorders>
            <w:tcW w:w="4394" w:type="dxa"/>
            <w:textDirection w:val="lrTb"/>
            <w:noWrap w:val="false"/>
          </w:tcPr>
          <w:p>
            <w:pPr>
              <w:ind w:right="451"/>
              <w:rPr>
                <w:rFonts w:ascii="PT Astra Serif" w:hAnsi="PT Astra Serif"/>
                <w:sz w:val="20"/>
                <w:szCs w:val="20"/>
              </w:rPr>
            </w:pPr>
            <w:r>
              <w:rPr>
                <w:rFonts w:ascii="PT Astra Serif" w:hAnsi="PT Astra Serif"/>
                <w:sz w:val="20"/>
                <w:szCs w:val="20"/>
              </w:rPr>
              <w:t xml:space="preserve">Индекс производства по виду экономической деятельности «производство пищевых продуктов» (в сопоставимых ценах к 2020 году), % </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widowControl w:val="off"/>
              <w:tabs>
                <w:tab w:val="left" w:pos="1627" w:leader="none"/>
              </w:tabs>
              <w:rPr>
                <w:rFonts w:ascii="PT Astra Serif" w:hAnsi="PT Astra Serif"/>
                <w:sz w:val="20"/>
                <w:szCs w:val="20"/>
              </w:rPr>
            </w:pPr>
            <w:r>
              <w:rPr>
                <w:rFonts w:ascii="PT Astra Serif" w:hAnsi="PT Astra Serif"/>
                <w:sz w:val="20"/>
                <w:szCs w:val="20"/>
              </w:rPr>
              <w:t xml:space="preserve">106,20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widowControl w:val="off"/>
              <w:tabs>
                <w:tab w:val="left" w:pos="1627" w:leader="none"/>
              </w:tabs>
              <w:rPr>
                <w:rFonts w:ascii="PT Astra Serif" w:hAnsi="PT Astra Serif"/>
                <w:sz w:val="20"/>
                <w:szCs w:val="20"/>
              </w:rPr>
            </w:pPr>
            <w:r>
              <w:rPr>
                <w:rFonts w:ascii="PT Astra Serif" w:hAnsi="PT Astra Serif"/>
                <w:sz w:val="20"/>
                <w:szCs w:val="20"/>
              </w:rPr>
              <w:t xml:space="preserve">107,70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tabs>
                <w:tab w:val="left" w:pos="1627" w:leader="none"/>
              </w:tabs>
              <w:rPr>
                <w:rFonts w:ascii="PT Astra Serif" w:hAnsi="PT Astra Serif" w:eastAsiaTheme="minorHAnsi"/>
                <w:szCs w:val="20"/>
                <w:lang w:eastAsia="en-US"/>
              </w:rPr>
            </w:pPr>
            <w:r>
              <w:rPr>
                <w:rFonts w:ascii="PT Astra Serif" w:hAnsi="PT Astra Serif" w:eastAsiaTheme="minorHAnsi"/>
                <w:szCs w:val="20"/>
                <w:lang w:eastAsia="en-US"/>
              </w:rPr>
              <w:t xml:space="preserve">110,80</w:t>
            </w:r>
            <w:r>
              <w:rPr>
                <w:rFonts w:ascii="PT Astra Serif" w:hAnsi="PT Astra Serif" w:eastAsiaTheme="minorHAnsi"/>
                <w:szCs w:val="20"/>
                <w:lang w:eastAsia="en-US"/>
              </w:rPr>
            </w:r>
            <w:r>
              <w:rPr>
                <w:rFonts w:ascii="PT Astra Serif" w:hAnsi="PT Astra Serif" w:eastAsiaTheme="minorHAnsi"/>
                <w:szCs w:val="20"/>
                <w:lang w:eastAsia="en-US"/>
              </w:rP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val="false"/>
          </w:tcPr>
          <w:p>
            <w:pPr>
              <w:ind w:left="60" w:right="451"/>
              <w:rPr>
                <w:rFonts w:ascii="PT Astra Serif" w:hAnsi="PT Astra Serif"/>
                <w:sz w:val="20"/>
                <w:szCs w:val="20"/>
              </w:rPr>
            </w:pPr>
            <w:r>
              <w:rPr>
                <w:rFonts w:ascii="PT Astra Serif" w:hAnsi="PT Astra Serif"/>
                <w:sz w:val="20"/>
                <w:szCs w:val="20"/>
              </w:rPr>
              <w:t xml:space="preserve">Положительная динамика показателя в 2023 году сложилась в результате умеренного роста производства основных отраслей пищевой промышленности (мясной, молочной, масложировой).</w:t>
            </w:r>
            <w:r>
              <w:rPr>
                <w:rFonts w:ascii="PT Astra Serif" w:hAnsi="PT Astra Serif"/>
                <w:sz w:val="20"/>
                <w:szCs w:val="20"/>
              </w:rPr>
            </w:r>
            <w:r>
              <w:rPr>
                <w:rFonts w:ascii="PT Astra Serif" w:hAnsi="PT Astra Serif"/>
                <w:sz w:val="20"/>
                <w:szCs w:val="20"/>
              </w:rPr>
            </w:r>
          </w:p>
          <w:p>
            <w:pPr>
              <w:ind w:left="60" w:right="451"/>
              <w:rPr>
                <w:rFonts w:ascii="PT Astra Serif" w:hAnsi="PT Astra Serif"/>
                <w:sz w:val="20"/>
                <w:szCs w:val="20"/>
              </w:rPr>
            </w:pPr>
            <w:r>
              <w:rPr>
                <w:rFonts w:ascii="PT Astra Serif" w:hAnsi="PT Astra Serif"/>
                <w:sz w:val="20"/>
                <w:szCs w:val="20"/>
              </w:rPr>
              <w:t xml:space="preserve">По оценке Департамента потребительского рынка Администрации Томской области</w:t>
            </w:r>
            <w:r>
              <w:rPr>
                <w:rFonts w:ascii="PT Astra Serif" w:hAnsi="PT Astra Serif"/>
                <w:sz w:val="20"/>
                <w:szCs w:val="20"/>
              </w:rPr>
              <w:t xml:space="preserve">,</w:t>
            </w:r>
            <w:r>
              <w:rPr>
                <w:rFonts w:ascii="PT Astra Serif" w:hAnsi="PT Astra Serif"/>
                <w:sz w:val="20"/>
                <w:szCs w:val="20"/>
              </w:rPr>
              <w:t xml:space="preserve"> значение индекса оценивается на уровне 102,8% (накопительно к 2020 году – 107,7%). </w:t>
            </w:r>
            <w:r>
              <w:rPr>
                <w:rFonts w:ascii="PT Astra Serif" w:hAnsi="PT Astra Serif"/>
                <w:sz w:val="20"/>
                <w:szCs w:val="20"/>
              </w:rPr>
            </w:r>
            <w:r>
              <w:rPr>
                <w:rFonts w:ascii="PT Astra Serif" w:hAnsi="PT Astra Serif"/>
                <w:sz w:val="20"/>
                <w:szCs w:val="20"/>
              </w:rPr>
            </w:r>
          </w:p>
          <w:p>
            <w:pPr>
              <w:ind w:left="60" w:right="451"/>
              <w:rPr>
                <w:rFonts w:ascii="PT Astra Serif" w:hAnsi="PT Astra Serif"/>
                <w:sz w:val="20"/>
                <w:szCs w:val="20"/>
              </w:rPr>
            </w:pPr>
            <w:r>
              <w:rPr>
                <w:rFonts w:ascii="PT Astra Serif" w:hAnsi="PT Astra Serif"/>
                <w:sz w:val="20"/>
                <w:szCs w:val="20"/>
              </w:rPr>
              <w:t xml:space="preserve">Риски недостижения показателя в 2024 году обусловлены фактически сложившейся отрицательной динамикой производственного индекса по итога</w:t>
            </w:r>
            <w:r>
              <w:rPr>
                <w:rFonts w:ascii="PT Astra Serif" w:hAnsi="PT Astra Serif"/>
                <w:sz w:val="20"/>
                <w:szCs w:val="20"/>
              </w:rPr>
              <w:t xml:space="preserve">м 2022 года к уровню 2021 года – 93,5% из-за сокращения переработки и консервирования мяса и мясной пищевой продукции в результате перевода в июле 2022 года части мясного производства АО «Сибагро» на предприятие холдинга в Новосибирск, в связи с чем оно не</w:t>
            </w:r>
            <w:r>
              <w:rPr>
                <w:rFonts w:ascii="PT Astra Serif" w:hAnsi="PT Astra Serif"/>
                <w:sz w:val="20"/>
                <w:szCs w:val="20"/>
              </w:rPr>
              <w:t xml:space="preserve"> учитывалось более в Томскстате</w:t>
            </w:r>
            <w:r>
              <w:rPr>
                <w:rFonts w:ascii="PT Astra Serif" w:hAnsi="PT Astra Serif"/>
                <w:sz w:val="20"/>
                <w:szCs w:val="20"/>
              </w:rPr>
            </w:r>
            <w:r>
              <w:rPr>
                <w:rFonts w:ascii="PT Astra Serif" w:hAnsi="PT Astra Serif"/>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Задача 2.1. Обеспечить рациональное использование природных ресурсов, в том числе возобновляемых ресурсов, и повысить качество окружающей среды Томской области</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ind w:right="511"/>
              <w:rPr>
                <w:rFonts w:ascii="PT Astra Serif" w:hAnsi="PT Astra Serif"/>
                <w:sz w:val="20"/>
                <w:szCs w:val="20"/>
              </w:rPr>
            </w:pPr>
            <w:r>
              <w:rPr>
                <w:rFonts w:ascii="PT Astra Serif" w:hAnsi="PT Astra Serif"/>
                <w:sz w:val="20"/>
                <w:szCs w:val="20"/>
              </w:rPr>
              <w:t xml:space="preserve">Доля твердых коммунальных отходов, направленных на обработку (сортировку), в общей массе образованных твердых коммунальных отходов, % </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widowControl w:val="off"/>
              <w:rPr>
                <w:rFonts w:ascii="PT Astra Serif" w:hAnsi="PT Astra Serif"/>
                <w:sz w:val="20"/>
                <w:szCs w:val="20"/>
              </w:rPr>
            </w:pPr>
            <w:r>
              <w:rPr>
                <w:rFonts w:ascii="PT Astra Serif" w:hAnsi="PT Astra Serif"/>
                <w:sz w:val="20"/>
                <w:szCs w:val="20"/>
              </w:rPr>
              <w:t xml:space="preserve">7,30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widowControl w:val="off"/>
              <w:rPr>
                <w:rFonts w:ascii="PT Astra Serif" w:hAnsi="PT Astra Serif"/>
                <w:sz w:val="20"/>
                <w:szCs w:val="20"/>
              </w:rPr>
            </w:pPr>
            <w:r>
              <w:rPr>
                <w:rFonts w:ascii="PT Astra Serif" w:hAnsi="PT Astra Serif"/>
                <w:sz w:val="20"/>
                <w:szCs w:val="20"/>
              </w:rPr>
              <w:t xml:space="preserve">7,30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ind w:left="60" w:right="60"/>
              <w:jc w:val="center"/>
              <w:widowControl w:val="off"/>
              <w:rPr>
                <w:rFonts w:ascii="PT Astra Serif" w:hAnsi="PT Astra Serif"/>
                <w:sz w:val="20"/>
                <w:szCs w:val="20"/>
              </w:rPr>
            </w:pPr>
            <w:r>
              <w:rPr>
                <w:rFonts w:ascii="PT Astra Serif" w:hAnsi="PT Astra Serif"/>
                <w:sz w:val="20"/>
                <w:szCs w:val="20"/>
              </w:rPr>
              <w:t xml:space="preserve">30,00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contextualSpacing/>
              <w:rPr>
                <w:rFonts w:ascii="PT Astra Serif" w:hAnsi="PT Astra Serif"/>
                <w:sz w:val="20"/>
                <w:szCs w:val="20"/>
              </w:rPr>
            </w:pPr>
            <w:r>
              <w:rPr>
                <w:rFonts w:ascii="PT Astra Serif" w:hAnsi="PT Astra Serif"/>
                <w:sz w:val="20"/>
                <w:szCs w:val="20"/>
              </w:rPr>
              <w:t xml:space="preserve">На достижение показателя повлияла деятельность единственного мусоросортировочного комплекса, расположенного на территории ЗАТО Северск.</w:t>
            </w:r>
            <w:r>
              <w:rPr>
                <w:rFonts w:ascii="PT Astra Serif" w:hAnsi="PT Astra Serif"/>
                <w:sz w:val="20"/>
                <w:szCs w:val="20"/>
              </w:rPr>
            </w:r>
            <w:r>
              <w:rPr>
                <w:rFonts w:ascii="PT Astra Serif" w:hAnsi="PT Astra Serif"/>
                <w:sz w:val="20"/>
                <w:szCs w:val="20"/>
              </w:rPr>
            </w:r>
          </w:p>
          <w:p>
            <w:pPr>
              <w:rPr>
                <w:rFonts w:ascii="PT Astra Serif" w:hAnsi="PT Astra Serif"/>
                <w:sz w:val="20"/>
                <w:szCs w:val="20"/>
              </w:rPr>
            </w:pPr>
            <w:r>
              <w:rPr>
                <w:rFonts w:ascii="PT Astra Serif" w:hAnsi="PT Astra Serif"/>
                <w:sz w:val="20"/>
                <w:szCs w:val="20"/>
              </w:rPr>
              <w:t xml:space="preserve">В соответстви</w:t>
            </w:r>
            <w:r>
              <w:rPr>
                <w:rFonts w:ascii="PT Astra Serif" w:hAnsi="PT Astra Serif"/>
                <w:sz w:val="20"/>
                <w:szCs w:val="20"/>
              </w:rPr>
              <w:t xml:space="preserve">и</w:t>
            </w:r>
            <w:r>
              <w:rPr>
                <w:rFonts w:ascii="PT Astra Serif" w:hAnsi="PT Astra Serif"/>
                <w:sz w:val="20"/>
                <w:szCs w:val="20"/>
              </w:rPr>
              <w:t xml:space="preserve"> с действующим соглашением о реализации регионального проекта «Комплексная система обращения с ТКО» на территории Томской области целевое значение на 2024 год по показателю составл</w:t>
            </w:r>
            <w:r>
              <w:rPr>
                <w:rFonts w:ascii="PT Astra Serif" w:hAnsi="PT Astra Serif"/>
                <w:sz w:val="20"/>
                <w:szCs w:val="20"/>
              </w:rPr>
              <w:t xml:space="preserve">яет 7,3</w:t>
            </w:r>
            <w:r>
              <w:rPr>
                <w:rFonts w:ascii="PT Astra Serif" w:hAnsi="PT Astra Serif"/>
                <w:sz w:val="20"/>
                <w:szCs w:val="20"/>
              </w:rPr>
              <w:t xml:space="preserve">%. Увеличение </w:t>
            </w:r>
            <w:r>
              <w:rPr>
                <w:rFonts w:ascii="PT Astra Serif" w:hAnsi="PT Astra Serif"/>
                <w:sz w:val="20"/>
                <w:szCs w:val="20"/>
              </w:rPr>
              <w:t xml:space="preserve">данного показателя возможно путем строительства объектов по обработке твердых коммунальных отходов. После запуска в регионе автоматизированного мусоросортировочного комплекса данный показатель увеличится в 2025 году. Существуют риски недостижения целевого </w:t>
            </w:r>
            <w:r>
              <w:rPr>
                <w:rFonts w:ascii="PT Astra Serif" w:hAnsi="PT Astra Serif"/>
                <w:sz w:val="20"/>
                <w:szCs w:val="20"/>
              </w:rPr>
              <w:t xml:space="preserve">значения показателя на 2024 год</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ind w:right="511"/>
              <w:rPr>
                <w:rFonts w:ascii="PT Astra Serif" w:hAnsi="PT Astra Serif"/>
                <w:sz w:val="20"/>
                <w:szCs w:val="20"/>
              </w:rPr>
            </w:pPr>
            <w:r>
              <w:rPr>
                <w:rFonts w:ascii="PT Astra Serif" w:hAnsi="PT Astra Serif"/>
                <w:sz w:val="20"/>
                <w:szCs w:val="20"/>
                <w:shd w:val="clear" w:color="auto" w:fill="ffffff" w:themeFill="background1"/>
              </w:rPr>
              <w:t xml:space="preserve">Отношение площади</w:t>
            </w:r>
            <w:r>
              <w:rPr>
                <w:rFonts w:ascii="PT Astra Serif" w:hAnsi="PT Astra Serif"/>
                <w:sz w:val="20"/>
                <w:szCs w:val="20"/>
              </w:rPr>
              <w:t xml:space="preserve"> лесовосстановления и лесоразведения к площади вырубленных и погибших лесных насаждений, % </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ind w:left="60"/>
              <w:jc w:val="center"/>
              <w:widowControl w:val="off"/>
              <w:rPr>
                <w:rFonts w:ascii="PT Astra Serif" w:hAnsi="PT Astra Serif"/>
                <w:sz w:val="20"/>
                <w:szCs w:val="20"/>
              </w:rPr>
            </w:pPr>
            <w:r>
              <w:rPr>
                <w:rFonts w:ascii="PT Astra Serif" w:hAnsi="PT Astra Serif"/>
                <w:sz w:val="20"/>
                <w:szCs w:val="20"/>
              </w:rPr>
              <w:t xml:space="preserve">103,70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60"/>
              <w:jc w:val="center"/>
              <w:widowControl w:val="off"/>
              <w:rPr>
                <w:rFonts w:ascii="PT Astra Serif" w:hAnsi="PT Astra Serif"/>
                <w:sz w:val="20"/>
                <w:szCs w:val="20"/>
              </w:rPr>
            </w:pPr>
            <w:r>
              <w:rPr>
                <w:rFonts w:ascii="PT Astra Serif" w:hAnsi="PT Astra Serif"/>
                <w:sz w:val="20"/>
                <w:szCs w:val="20"/>
              </w:rPr>
              <w:t xml:space="preserve">100,00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ind w:left="60"/>
              <w:jc w:val="center"/>
              <w:rPr>
                <w:rFonts w:ascii="PT Astra Serif" w:hAnsi="PT Astra Serif" w:eastAsiaTheme="minorHAnsi"/>
                <w:szCs w:val="20"/>
                <w:lang w:eastAsia="en-US"/>
              </w:rPr>
            </w:pPr>
            <w:r>
              <w:rPr>
                <w:rFonts w:ascii="PT Astra Serif" w:hAnsi="PT Astra Serif" w:eastAsiaTheme="minorHAnsi"/>
                <w:szCs w:val="20"/>
                <w:lang w:eastAsia="en-US"/>
              </w:rPr>
              <w:t xml:space="preserve">100,00</w:t>
            </w:r>
            <w:r>
              <w:rPr>
                <w:rFonts w:ascii="PT Astra Serif" w:hAnsi="PT Astra Serif" w:eastAsiaTheme="minorHAnsi"/>
                <w:szCs w:val="20"/>
                <w:lang w:eastAsia="en-US"/>
              </w:rPr>
            </w:r>
            <w:r>
              <w:rPr>
                <w:rFonts w:ascii="PT Astra Serif" w:hAnsi="PT Astra Serif" w:eastAsiaTheme="minorHAnsi"/>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sz w:val="20"/>
                <w:szCs w:val="20"/>
              </w:rPr>
            </w:pPr>
            <w:r>
              <w:rPr>
                <w:rFonts w:ascii="PT Astra Serif" w:hAnsi="PT Astra Serif"/>
                <w:sz w:val="20"/>
                <w:szCs w:val="20"/>
              </w:rPr>
              <w:t xml:space="preserve">Показатель отражает обеспечение баланса выбытия и воспроизводства лесов на территории Томской области. </w:t>
            </w:r>
            <w:r>
              <w:rPr>
                <w:rFonts w:ascii="PT Astra Serif" w:hAnsi="PT Astra Serif"/>
                <w:sz w:val="20"/>
                <w:szCs w:val="20"/>
              </w:rPr>
            </w:r>
            <w:r>
              <w:rPr>
                <w:rFonts w:ascii="PT Astra Serif" w:hAnsi="PT Astra Serif"/>
                <w:sz w:val="20"/>
                <w:szCs w:val="20"/>
              </w:rPr>
            </w:r>
          </w:p>
          <w:p>
            <w:pPr>
              <w:rPr>
                <w:rFonts w:ascii="PT Astra Serif" w:hAnsi="PT Astra Serif"/>
                <w:sz w:val="20"/>
                <w:szCs w:val="20"/>
              </w:rPr>
            </w:pPr>
            <w:r>
              <w:rPr>
                <w:rFonts w:ascii="PT Astra Serif" w:hAnsi="PT Astra Serif"/>
                <w:sz w:val="20"/>
                <w:szCs w:val="20"/>
              </w:rPr>
              <w:t xml:space="preserve">Фактическое значе</w:t>
            </w:r>
            <w:r>
              <w:rPr>
                <w:rFonts w:ascii="PT Astra Serif" w:hAnsi="PT Astra Serif"/>
                <w:sz w:val="20"/>
                <w:szCs w:val="20"/>
              </w:rPr>
              <w:t xml:space="preserve">ние показателя в 2023 году составило 103,7%, что на 16,83% больше фактического значения показателя в 2022 году (86,8%) благодаря усилению претензионно-исковой работы в отношении арендаторов лесных участков, не выполнивших мероприятия по лесовосстановлению.</w:t>
            </w:r>
            <w:r>
              <w:rPr>
                <w:rFonts w:ascii="PT Astra Serif" w:hAnsi="PT Astra Serif"/>
                <w:sz w:val="20"/>
                <w:szCs w:val="20"/>
              </w:rPr>
            </w:r>
            <w:r>
              <w:rPr>
                <w:rFonts w:ascii="PT Astra Serif" w:hAnsi="PT Astra Serif"/>
                <w:sz w:val="20"/>
                <w:szCs w:val="20"/>
              </w:rPr>
            </w:r>
          </w:p>
          <w:p>
            <w:pPr>
              <w:rPr>
                <w:rFonts w:ascii="PT Astra Serif" w:hAnsi="PT Astra Serif"/>
                <w:sz w:val="20"/>
                <w:szCs w:val="20"/>
              </w:rPr>
            </w:pPr>
            <w:r>
              <w:rPr>
                <w:rFonts w:ascii="PT Astra Serif" w:hAnsi="PT Astra Serif"/>
                <w:sz w:val="20"/>
                <w:szCs w:val="20"/>
              </w:rPr>
              <w:t xml:space="preserve">Риски по недостижению пок</w:t>
            </w:r>
            <w:r>
              <w:rPr>
                <w:rFonts w:ascii="PT Astra Serif" w:hAnsi="PT Astra Serif"/>
                <w:sz w:val="20"/>
                <w:szCs w:val="20"/>
              </w:rPr>
              <w:t xml:space="preserve">азателя в 2024 году отсутствуют</w:t>
            </w:r>
            <w:r>
              <w:rPr>
                <w:rFonts w:ascii="PT Astra Serif" w:hAnsi="PT Astra Serif"/>
                <w:sz w:val="20"/>
                <w:szCs w:val="20"/>
              </w:rPr>
            </w:r>
            <w:r>
              <w:rPr>
                <w:rFonts w:ascii="PT Astra Serif" w:hAnsi="PT Astra Serif"/>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310" w:type="dxa"/>
            <w:vAlign w:val="center"/>
            <w:textDirection w:val="lrTb"/>
            <w:noWrap w:val="false"/>
          </w:tcPr>
          <w:p>
            <w:pPr>
              <w:jc w:val="center"/>
              <w:rPr>
                <w:rFonts w:ascii="PT Astra Serif" w:hAnsi="PT Astra Serif"/>
                <w:sz w:val="20"/>
                <w:szCs w:val="20"/>
              </w:rPr>
            </w:pPr>
            <w:r>
              <w:rPr>
                <w:rFonts w:ascii="PT Astra Serif" w:hAnsi="PT Astra Serif"/>
                <w:sz w:val="20"/>
                <w:szCs w:val="20"/>
              </w:rPr>
              <w:t xml:space="preserve">Задача 2.2. Обеспечить переход к новым параметрам конкурентоспособности агропромышленного комплекса</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ind w:right="571"/>
              <w:rPr>
                <w:rFonts w:ascii="PT Astra Serif" w:hAnsi="PT Astra Serif"/>
                <w:sz w:val="20"/>
                <w:szCs w:val="20"/>
              </w:rPr>
            </w:pPr>
            <w:r>
              <w:rPr>
                <w:rFonts w:ascii="PT Astra Serif" w:hAnsi="PT Astra Serif"/>
                <w:sz w:val="20"/>
                <w:szCs w:val="20"/>
              </w:rPr>
              <w:t xml:space="preserve">Объем экспорта продукции АПК, млн долл. США </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ind w:right="62"/>
              <w:jc w:val="center"/>
              <w:widowControl w:val="off"/>
              <w:rPr>
                <w:rFonts w:ascii="PT Astra Serif" w:hAnsi="PT Astra Serif"/>
                <w:sz w:val="20"/>
                <w:szCs w:val="20"/>
              </w:rPr>
            </w:pPr>
            <w:r>
              <w:rPr>
                <w:rFonts w:ascii="PT Astra Serif" w:hAnsi="PT Astra Serif"/>
                <w:sz w:val="20"/>
                <w:szCs w:val="20"/>
              </w:rPr>
              <w:t xml:space="preserve">*</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widowControl w:val="off"/>
              <w:rPr>
                <w:rFonts w:ascii="PT Astra Serif" w:hAnsi="PT Astra Serif"/>
                <w:sz w:val="20"/>
                <w:szCs w:val="20"/>
              </w:rPr>
            </w:pPr>
            <w:r>
              <w:rPr>
                <w:rFonts w:ascii="PT Astra Serif" w:hAnsi="PT Astra Serif"/>
                <w:sz w:val="20"/>
                <w:szCs w:val="20"/>
              </w:rPr>
              <w:t xml:space="preserve">85,00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ind w:left="60" w:right="122"/>
              <w:jc w:val="center"/>
              <w:widowControl w:val="off"/>
              <w:rPr>
                <w:rFonts w:ascii="PT Astra Serif" w:hAnsi="PT Astra Serif"/>
                <w:sz w:val="20"/>
                <w:szCs w:val="20"/>
              </w:rPr>
            </w:pPr>
            <w:r>
              <w:rPr>
                <w:rFonts w:ascii="PT Astra Serif" w:hAnsi="PT Astra Serif"/>
                <w:sz w:val="20"/>
                <w:szCs w:val="20"/>
              </w:rPr>
              <w:t xml:space="preserve">58,80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sz w:val="20"/>
                <w:szCs w:val="20"/>
              </w:rPr>
            </w:pPr>
            <w:r>
              <w:rPr>
                <w:rFonts w:ascii="PT Astra Serif" w:hAnsi="PT Astra Serif"/>
                <w:sz w:val="20"/>
                <w:szCs w:val="20"/>
              </w:rPr>
              <w:t xml:space="preserve">В 2024 году ожидается достиже</w:t>
            </w:r>
            <w:r>
              <w:rPr>
                <w:rFonts w:ascii="PT Astra Serif" w:hAnsi="PT Astra Serif"/>
                <w:sz w:val="20"/>
                <w:szCs w:val="20"/>
              </w:rPr>
              <w:t xml:space="preserve">ние показателя на уровне 85 млн</w:t>
            </w:r>
            <w:r>
              <w:rPr>
                <w:rFonts w:ascii="PT Astra Serif" w:hAnsi="PT Astra Serif"/>
                <w:sz w:val="20"/>
                <w:szCs w:val="20"/>
              </w:rPr>
              <w:t xml:space="preserve"> долл. США, что обусловлено фактически сложившимися стоимостными объемами экспорта в предыдущие годы и ростом валютного курса, а также увеличением объемов экспорта томскими производителями масложировой, мя</w:t>
            </w:r>
            <w:r>
              <w:rPr>
                <w:rFonts w:ascii="PT Astra Serif" w:hAnsi="PT Astra Serif"/>
                <w:sz w:val="20"/>
                <w:szCs w:val="20"/>
              </w:rPr>
              <w:t xml:space="preserve">сомолочной и пищевой продукции</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ind w:right="571"/>
              <w:rPr>
                <w:rFonts w:ascii="PT Astra Serif" w:hAnsi="PT Astra Serif"/>
                <w:sz w:val="20"/>
                <w:szCs w:val="20"/>
              </w:rPr>
            </w:pPr>
            <w:r>
              <w:rPr>
                <w:rFonts w:ascii="PT Astra Serif" w:hAnsi="PT Astra Serif"/>
                <w:sz w:val="20"/>
                <w:szCs w:val="20"/>
              </w:rPr>
              <w:t xml:space="preserve">Объем производства пищевой продукции с применением дикорастущего пищевого сырья, тыс. тонн </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ind w:left="60" w:right="60"/>
              <w:jc w:val="center"/>
              <w:widowControl w:val="off"/>
              <w:rPr>
                <w:rFonts w:ascii="PT Astra Serif" w:hAnsi="PT Astra Serif"/>
                <w:sz w:val="20"/>
                <w:szCs w:val="20"/>
              </w:rPr>
            </w:pPr>
            <w:r>
              <w:rPr>
                <w:rFonts w:ascii="PT Astra Serif" w:hAnsi="PT Astra Serif"/>
                <w:sz w:val="20"/>
                <w:szCs w:val="20"/>
              </w:rPr>
              <w:t xml:space="preserve">26,40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60" w:right="60"/>
              <w:jc w:val="center"/>
              <w:widowControl w:val="off"/>
              <w:rPr>
                <w:rFonts w:ascii="PT Astra Serif" w:hAnsi="PT Astra Serif"/>
                <w:sz w:val="20"/>
                <w:szCs w:val="20"/>
              </w:rPr>
            </w:pPr>
            <w:r>
              <w:rPr>
                <w:rFonts w:ascii="PT Astra Serif" w:hAnsi="PT Astra Serif"/>
                <w:sz w:val="20"/>
                <w:szCs w:val="20"/>
              </w:rPr>
              <w:t xml:space="preserve">26,80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ind w:left="60" w:right="60"/>
              <w:jc w:val="center"/>
              <w:rPr>
                <w:rFonts w:ascii="PT Astra Serif" w:hAnsi="PT Astra Serif" w:eastAsiaTheme="minorHAnsi"/>
                <w:szCs w:val="20"/>
                <w:lang w:eastAsia="en-US"/>
              </w:rPr>
            </w:pPr>
            <w:r>
              <w:rPr>
                <w:rFonts w:ascii="PT Astra Serif" w:hAnsi="PT Astra Serif" w:eastAsiaTheme="minorHAnsi"/>
                <w:szCs w:val="20"/>
                <w:lang w:eastAsia="en-US"/>
              </w:rPr>
              <w:t xml:space="preserve">26,80</w:t>
            </w:r>
            <w:r>
              <w:rPr>
                <w:rFonts w:ascii="PT Astra Serif" w:hAnsi="PT Astra Serif" w:eastAsiaTheme="minorHAnsi"/>
                <w:szCs w:val="20"/>
                <w:lang w:eastAsia="en-US"/>
              </w:rPr>
            </w:r>
            <w:r>
              <w:rPr>
                <w:rFonts w:ascii="PT Astra Serif" w:hAnsi="PT Astra Serif" w:eastAsiaTheme="minorHAnsi"/>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sz w:val="20"/>
                <w:szCs w:val="20"/>
              </w:rPr>
            </w:pPr>
            <w:r>
              <w:rPr>
                <w:rFonts w:ascii="PT Astra Serif" w:hAnsi="PT Astra Serif"/>
                <w:sz w:val="20"/>
                <w:szCs w:val="20"/>
              </w:rPr>
              <w:t xml:space="preserve">Объем производства пищевой продукции с применением дикорастущего пищевого сырья увеличился по сравнению с 2022 годом на 2,3% и составил 26,4 тысяч тонн, заготовлено около 13,98 тыс. тонн различн</w:t>
            </w:r>
            <w:r>
              <w:rPr>
                <w:rFonts w:ascii="PT Astra Serif" w:hAnsi="PT Astra Serif"/>
                <w:sz w:val="20"/>
                <w:szCs w:val="20"/>
              </w:rPr>
              <w:t xml:space="preserve">ых видов дикоросов, что на 16,8</w:t>
            </w:r>
            <w:r>
              <w:rPr>
                <w:rFonts w:ascii="PT Astra Serif" w:hAnsi="PT Astra Serif"/>
                <w:sz w:val="20"/>
                <w:szCs w:val="20"/>
              </w:rPr>
              <w:t xml:space="preserve">% выше показателей 2022 года. </w:t>
            </w:r>
            <w:r>
              <w:rPr>
                <w:rFonts w:ascii="PT Astra Serif" w:hAnsi="PT Astra Serif"/>
                <w:sz w:val="20"/>
                <w:szCs w:val="20"/>
              </w:rPr>
            </w:r>
            <w:r>
              <w:rPr>
                <w:rFonts w:ascii="PT Astra Serif" w:hAnsi="PT Astra Serif"/>
                <w:sz w:val="20"/>
                <w:szCs w:val="20"/>
              </w:rPr>
            </w:r>
          </w:p>
          <w:p>
            <w:pPr>
              <w:rPr>
                <w:rFonts w:ascii="PT Astra Serif" w:hAnsi="PT Astra Serif"/>
                <w:sz w:val="20"/>
                <w:szCs w:val="20"/>
              </w:rPr>
            </w:pPr>
            <w:r>
              <w:rPr>
                <w:rFonts w:ascii="PT Astra Serif" w:hAnsi="PT Astra Serif"/>
                <w:sz w:val="20"/>
                <w:szCs w:val="20"/>
              </w:rPr>
              <w:t xml:space="preserve">В 2024 году прогнозируется достижение показателя, однако риск недостижения показателя связан с возможным неуро</w:t>
            </w:r>
            <w:r>
              <w:rPr>
                <w:rFonts w:ascii="PT Astra Serif" w:hAnsi="PT Astra Serif"/>
                <w:sz w:val="20"/>
                <w:szCs w:val="20"/>
              </w:rPr>
              <w:t xml:space="preserve">жаем на основные виды дикоросов</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ind w:right="571"/>
              <w:rPr>
                <w:rFonts w:ascii="PT Astra Serif" w:hAnsi="PT Astra Serif"/>
                <w:sz w:val="20"/>
                <w:szCs w:val="20"/>
              </w:rPr>
            </w:pPr>
            <w:r>
              <w:rPr>
                <w:rFonts w:ascii="PT Astra Serif" w:hAnsi="PT Astra Serif"/>
                <w:sz w:val="20"/>
                <w:szCs w:val="20"/>
              </w:rPr>
              <w:t xml:space="preserve">Объем переработки рыбо- и морепродуктов, тыс. тонн </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ind w:left="60" w:right="60"/>
              <w:jc w:val="center"/>
              <w:widowControl w:val="off"/>
              <w:rPr>
                <w:rFonts w:ascii="PT Astra Serif" w:hAnsi="PT Astra Serif"/>
                <w:sz w:val="20"/>
                <w:szCs w:val="20"/>
              </w:rPr>
            </w:pPr>
            <w:r>
              <w:rPr>
                <w:rFonts w:ascii="PT Astra Serif" w:hAnsi="PT Astra Serif"/>
                <w:sz w:val="20"/>
                <w:szCs w:val="20"/>
              </w:rPr>
              <w:t xml:space="preserve">5,00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60" w:right="60"/>
              <w:jc w:val="center"/>
              <w:widowControl w:val="off"/>
              <w:rPr>
                <w:rFonts w:ascii="PT Astra Serif" w:hAnsi="PT Astra Serif"/>
                <w:sz w:val="20"/>
                <w:szCs w:val="20"/>
              </w:rPr>
            </w:pPr>
            <w:r>
              <w:rPr>
                <w:rFonts w:ascii="PT Astra Serif" w:hAnsi="PT Astra Serif"/>
                <w:sz w:val="20"/>
                <w:szCs w:val="20"/>
              </w:rPr>
              <w:t xml:space="preserve">5,00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ind w:left="60" w:right="60"/>
              <w:jc w:val="center"/>
              <w:rPr>
                <w:rFonts w:ascii="PT Astra Serif" w:hAnsi="PT Astra Serif" w:eastAsiaTheme="minorHAnsi"/>
                <w:szCs w:val="20"/>
                <w:lang w:eastAsia="en-US"/>
              </w:rPr>
            </w:pPr>
            <w:r>
              <w:rPr>
                <w:rFonts w:ascii="PT Astra Serif" w:hAnsi="PT Astra Serif" w:eastAsiaTheme="minorHAnsi"/>
                <w:szCs w:val="20"/>
                <w:lang w:eastAsia="en-US"/>
              </w:rPr>
              <w:t xml:space="preserve">4,20</w:t>
            </w:r>
            <w:r>
              <w:rPr>
                <w:rFonts w:ascii="PT Astra Serif" w:hAnsi="PT Astra Serif" w:eastAsiaTheme="minorHAnsi"/>
                <w:szCs w:val="20"/>
                <w:lang w:eastAsia="en-US"/>
              </w:rPr>
            </w:r>
            <w:r>
              <w:rPr>
                <w:rFonts w:ascii="PT Astra Serif" w:hAnsi="PT Astra Serif" w:eastAsiaTheme="minorHAnsi"/>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sz w:val="20"/>
                <w:szCs w:val="20"/>
              </w:rPr>
            </w:pPr>
            <w:r>
              <w:rPr>
                <w:rFonts w:ascii="PT Astra Serif" w:hAnsi="PT Astra Serif"/>
                <w:sz w:val="20"/>
                <w:szCs w:val="20"/>
              </w:rPr>
              <w:t xml:space="preserve">Объем переработки рыбной продукции в 2023</w:t>
            </w:r>
            <w:r>
              <w:rPr>
                <w:rFonts w:ascii="PT Astra Serif" w:hAnsi="PT Astra Serif"/>
                <w:sz w:val="20"/>
                <w:szCs w:val="20"/>
              </w:rPr>
              <w:t xml:space="preserve"> </w:t>
            </w:r>
            <w:r>
              <w:rPr>
                <w:rFonts w:ascii="PT Astra Serif" w:hAnsi="PT Astra Serif"/>
                <w:sz w:val="20"/>
                <w:szCs w:val="20"/>
              </w:rPr>
              <w:t xml:space="preserve">г</w:t>
            </w:r>
            <w:r>
              <w:rPr>
                <w:rFonts w:ascii="PT Astra Serif" w:hAnsi="PT Astra Serif"/>
                <w:sz w:val="20"/>
                <w:szCs w:val="20"/>
              </w:rPr>
              <w:t xml:space="preserve">оду</w:t>
            </w:r>
            <w:r>
              <w:rPr>
                <w:rFonts w:ascii="PT Astra Serif" w:hAnsi="PT Astra Serif"/>
                <w:sz w:val="20"/>
                <w:szCs w:val="20"/>
              </w:rPr>
              <w:t xml:space="preserve"> снизился по сравнению с 2022 годом на 1,8% и составил 5,0 тыс.</w:t>
            </w:r>
            <w:r>
              <w:rPr>
                <w:rFonts w:ascii="PT Astra Serif" w:hAnsi="PT Astra Serif"/>
                <w:sz w:val="20"/>
                <w:szCs w:val="20"/>
              </w:rPr>
              <w:t xml:space="preserve"> </w:t>
            </w:r>
            <w:r>
              <w:rPr>
                <w:rFonts w:ascii="PT Astra Serif" w:hAnsi="PT Astra Serif"/>
                <w:sz w:val="20"/>
                <w:szCs w:val="20"/>
              </w:rPr>
              <w:t xml:space="preserve">тонн. </w:t>
            </w:r>
            <w:r>
              <w:rPr>
                <w:rFonts w:ascii="PT Astra Serif" w:hAnsi="PT Astra Serif"/>
                <w:sz w:val="20"/>
                <w:szCs w:val="20"/>
              </w:rPr>
            </w:r>
            <w:r>
              <w:rPr>
                <w:rFonts w:ascii="PT Astra Serif" w:hAnsi="PT Astra Serif"/>
                <w:sz w:val="20"/>
                <w:szCs w:val="20"/>
              </w:rPr>
            </w:r>
          </w:p>
          <w:p>
            <w:pPr>
              <w:rPr>
                <w:rFonts w:ascii="PT Astra Serif" w:hAnsi="PT Astra Serif"/>
                <w:sz w:val="20"/>
                <w:szCs w:val="20"/>
              </w:rPr>
            </w:pPr>
            <w:r>
              <w:rPr>
                <w:rFonts w:ascii="PT Astra Serif" w:hAnsi="PT Astra Serif"/>
                <w:sz w:val="20"/>
                <w:szCs w:val="20"/>
              </w:rPr>
              <w:t xml:space="preserve">По оценке на 2024 год значение показателя останется на уровне 2023 года. </w:t>
            </w:r>
            <w:r>
              <w:rPr>
                <w:rFonts w:ascii="PT Astra Serif" w:hAnsi="PT Astra Serif"/>
                <w:sz w:val="20"/>
                <w:szCs w:val="20"/>
              </w:rPr>
            </w:r>
            <w:r>
              <w:rPr>
                <w:rFonts w:ascii="PT Astra Serif" w:hAnsi="PT Astra Serif"/>
                <w:sz w:val="20"/>
                <w:szCs w:val="20"/>
              </w:rPr>
            </w:r>
          </w:p>
          <w:p>
            <w:pPr>
              <w:rPr>
                <w:rFonts w:ascii="PT Astra Serif" w:hAnsi="PT Astra Serif"/>
                <w:sz w:val="20"/>
                <w:szCs w:val="20"/>
              </w:rPr>
            </w:pPr>
            <w:r>
              <w:rPr>
                <w:rFonts w:ascii="PT Astra Serif" w:hAnsi="PT Astra Serif"/>
                <w:sz w:val="20"/>
                <w:szCs w:val="20"/>
              </w:rPr>
              <w:t xml:space="preserve">В 20</w:t>
            </w:r>
            <w:r>
              <w:rPr>
                <w:rFonts w:ascii="PT Astra Serif" w:hAnsi="PT Astra Serif"/>
                <w:sz w:val="20"/>
                <w:szCs w:val="20"/>
              </w:rPr>
              <w:t xml:space="preserve">24 году прогнозируется достижение показателя. Однако снижение покупательского спроса на продукцию рыбопереработки, увеличение себестоимости, а также нарушение логистических цепочек и нехватка сырья в среднесрочной перспективе могут повлиять на снижение объ</w:t>
            </w:r>
            <w:r>
              <w:rPr>
                <w:rFonts w:ascii="PT Astra Serif" w:hAnsi="PT Astra Serif"/>
                <w:sz w:val="20"/>
                <w:szCs w:val="20"/>
              </w:rPr>
              <w:t xml:space="preserve">емов переработки рыбы в регионе</w:t>
            </w:r>
            <w:r>
              <w:rPr>
                <w:rFonts w:ascii="PT Astra Serif" w:hAnsi="PT Astra Serif"/>
                <w:sz w:val="20"/>
                <w:szCs w:val="20"/>
              </w:rPr>
            </w:r>
            <w:r>
              <w:rPr>
                <w:rFonts w:ascii="PT Astra Serif" w:hAnsi="PT Astra Serif"/>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Цель 3. Повышение уровня и качества жизни населения на всей территории Томской области, накопление человеческого капитала</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ind w:right="631"/>
              <w:rPr>
                <w:rFonts w:ascii="PT Astra Serif" w:hAnsi="PT Astra Serif"/>
                <w:sz w:val="20"/>
                <w:szCs w:val="20"/>
              </w:rPr>
            </w:pPr>
            <w:r>
              <w:rPr>
                <w:rFonts w:ascii="PT Astra Serif" w:hAnsi="PT Astra Serif"/>
                <w:sz w:val="20"/>
                <w:szCs w:val="20"/>
              </w:rPr>
              <w:t xml:space="preserve">Реальные располагаемые денежные доходы населения, % к 2020 году </w:t>
            </w:r>
            <w:r>
              <w:rPr>
                <w:rFonts w:ascii="PT Astra Serif" w:hAnsi="PT Astra Serif"/>
                <w:sz w:val="20"/>
                <w:szCs w:val="20"/>
              </w:rPr>
            </w:r>
            <w:r>
              <w:rPr>
                <w:rFonts w:ascii="PT Astra Serif" w:hAnsi="PT Astra Serif"/>
                <w:sz w:val="20"/>
                <w:szCs w:val="20"/>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ind w:right="34"/>
              <w:jc w:val="center"/>
              <w:rPr>
                <w:rFonts w:ascii="PT Astra Serif" w:hAnsi="PT Astra Serif"/>
                <w:sz w:val="20"/>
                <w:szCs w:val="20"/>
              </w:rPr>
            </w:pPr>
            <w:r>
              <w:rPr>
                <w:rFonts w:ascii="PT Astra Serif" w:hAnsi="PT Astra Serif"/>
                <w:sz w:val="20"/>
                <w:szCs w:val="20"/>
              </w:rPr>
              <w:t xml:space="preserve">104,70</w:t>
            </w:r>
            <w:r>
              <w:rPr>
                <w:rFonts w:ascii="PT Astra Serif" w:hAnsi="PT Astra Serif"/>
                <w:sz w:val="20"/>
                <w:szCs w:val="20"/>
              </w:rPr>
            </w:r>
            <w:r>
              <w:rPr>
                <w:rFonts w:ascii="PT Astra Serif" w:hAnsi="PT Astra Serif"/>
                <w:sz w:val="20"/>
                <w:szCs w:val="20"/>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275" w:type="dxa"/>
            <w:textDirection w:val="lrTb"/>
            <w:noWrap w:val="false"/>
          </w:tcPr>
          <w:p>
            <w:pPr>
              <w:ind w:right="34"/>
              <w:jc w:val="center"/>
              <w:rPr>
                <w:rFonts w:ascii="PT Astra Serif" w:hAnsi="PT Astra Serif"/>
                <w:sz w:val="20"/>
                <w:szCs w:val="20"/>
              </w:rPr>
            </w:pPr>
            <w:r>
              <w:rPr>
                <w:rFonts w:ascii="PT Astra Serif" w:hAnsi="PT Astra Serif"/>
                <w:sz w:val="20"/>
                <w:szCs w:val="20"/>
              </w:rPr>
              <w:t xml:space="preserve">105,60</w:t>
            </w:r>
            <w:r>
              <w:rPr>
                <w:rFonts w:ascii="PT Astra Serif" w:hAnsi="PT Astra Serif"/>
                <w:sz w:val="20"/>
                <w:szCs w:val="20"/>
              </w:rPr>
            </w:r>
            <w:r>
              <w:rPr>
                <w:rFonts w:ascii="PT Astra Serif" w:hAnsi="PT Astra Serif"/>
                <w:sz w:val="20"/>
                <w:szCs w:val="20"/>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ind w:right="34"/>
              <w:jc w:val="center"/>
              <w:rPr>
                <w:rFonts w:ascii="PT Astra Serif" w:hAnsi="PT Astra Serif"/>
                <w:szCs w:val="20"/>
                <w:lang w:eastAsia="en-US"/>
              </w:rPr>
            </w:pPr>
            <w:r>
              <w:rPr>
                <w:rFonts w:ascii="PT Astra Serif" w:hAnsi="PT Astra Serif"/>
                <w:szCs w:val="20"/>
                <w:lang w:eastAsia="en-US"/>
              </w:rPr>
              <w:t xml:space="preserve">106,10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cs="PT Astra Serif"/>
                <w:sz w:val="20"/>
                <w:szCs w:val="20"/>
              </w:rPr>
            </w:pPr>
            <w:r>
              <w:rPr>
                <w:rFonts w:ascii="PT Astra Serif" w:hAnsi="PT Astra Serif" w:cs="PT Astra Serif"/>
                <w:sz w:val="20"/>
                <w:szCs w:val="20"/>
              </w:rPr>
              <w:t xml:space="preserve">Фактическое значение показателя за 2023 год демонстрирует рост 107,1% к 2022 году, 104,7% к 2020 году.</w:t>
            </w:r>
            <w:r>
              <w:rPr>
                <w:rFonts w:ascii="PT Astra Serif" w:hAnsi="PT Astra Serif" w:cs="PT Astra Serif"/>
                <w:sz w:val="20"/>
                <w:szCs w:val="20"/>
              </w:rPr>
            </w:r>
            <w:r>
              <w:rPr>
                <w:rFonts w:ascii="PT Astra Serif" w:hAnsi="PT Astra Serif" w:cs="PT Astra Serif"/>
                <w:sz w:val="20"/>
                <w:szCs w:val="20"/>
              </w:rPr>
            </w:r>
          </w:p>
          <w:p>
            <w:pPr>
              <w:rPr>
                <w:rFonts w:ascii="PT Astra Serif" w:hAnsi="PT Astra Serif" w:cs="PT Astra Serif"/>
                <w:sz w:val="20"/>
                <w:szCs w:val="20"/>
              </w:rPr>
            </w:pPr>
            <w:r>
              <w:rPr>
                <w:rFonts w:ascii="PT Astra Serif" w:hAnsi="PT Astra Serif" w:cs="PT Astra Serif"/>
                <w:sz w:val="20"/>
                <w:szCs w:val="20"/>
              </w:rPr>
              <w:t xml:space="preserve">Однако существует риск недостижения целевого значения показателя в 2024 году, который связан с возможным опережающим темпом роста инфляции в случае реализации консервативного варианта прогноза (ИПЦ – 107,7%)</w:t>
            </w:r>
            <w:r>
              <w:rPr>
                <w:rFonts w:ascii="PT Astra Serif" w:hAnsi="PT Astra Serif" w:cs="PT Astra Serif"/>
                <w:sz w:val="20"/>
                <w:szCs w:val="20"/>
              </w:rPr>
            </w:r>
            <w:r>
              <w:rPr>
                <w:rFonts w:ascii="PT Astra Serif" w:hAnsi="PT Astra Serif" w:cs="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ind w:right="691"/>
              <w:rPr>
                <w:rFonts w:ascii="PT Astra Serif" w:hAnsi="PT Astra Serif"/>
                <w:sz w:val="20"/>
                <w:szCs w:val="20"/>
              </w:rPr>
            </w:pPr>
            <w:r>
              <w:rPr>
                <w:rFonts w:ascii="PT Astra Serif" w:hAnsi="PT Astra Serif"/>
                <w:sz w:val="20"/>
                <w:szCs w:val="20"/>
              </w:rPr>
              <w:t xml:space="preserve">Общий прирост </w:t>
            </w:r>
            <w:r>
              <w:rPr>
                <w:rFonts w:ascii="PT Astra Serif" w:hAnsi="PT Astra Serif"/>
                <w:sz w:val="20"/>
                <w:szCs w:val="20"/>
              </w:rPr>
              <w:t xml:space="preserve">численности населения, тыс. человек</w:t>
            </w:r>
            <w:r>
              <w:rPr>
                <w:rFonts w:ascii="PT Astra Serif" w:hAnsi="PT Astra Serif"/>
                <w:sz w:val="20"/>
                <w:szCs w:val="20"/>
              </w:rPr>
              <w:t xml:space="preserve"> </w:t>
            </w:r>
            <w:r>
              <w:rPr>
                <w:rFonts w:ascii="PT Astra Serif" w:hAnsi="PT Astra Serif"/>
                <w:sz w:val="20"/>
                <w:szCs w:val="20"/>
              </w:rPr>
            </w:r>
            <w:r>
              <w:rPr>
                <w:rFonts w:ascii="PT Astra Serif" w:hAnsi="PT Astra Serif"/>
                <w:sz w:val="20"/>
                <w:szCs w:val="20"/>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ind w:right="34"/>
              <w:jc w:val="center"/>
              <w:rPr>
                <w:rFonts w:ascii="PT Astra Serif" w:hAnsi="PT Astra Serif"/>
                <w:sz w:val="20"/>
                <w:szCs w:val="20"/>
              </w:rPr>
            </w:pPr>
            <w:r>
              <w:rPr>
                <w:rFonts w:ascii="PT Astra Serif" w:hAnsi="PT Astra Serif"/>
                <w:sz w:val="20"/>
                <w:szCs w:val="20"/>
              </w:rPr>
              <w:t xml:space="preserve">-8,70</w:t>
            </w:r>
            <w:r>
              <w:rPr>
                <w:rFonts w:ascii="PT Astra Serif" w:hAnsi="PT Astra Serif"/>
                <w:sz w:val="20"/>
                <w:szCs w:val="20"/>
              </w:rPr>
            </w:r>
            <w:r>
              <w:rPr>
                <w:rFonts w:ascii="PT Astra Serif" w:hAnsi="PT Astra Serif"/>
                <w:sz w:val="20"/>
                <w:szCs w:val="20"/>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275" w:type="dxa"/>
            <w:textDirection w:val="lrTb"/>
            <w:noWrap w:val="false"/>
          </w:tcPr>
          <w:p>
            <w:pPr>
              <w:ind w:right="34"/>
              <w:jc w:val="center"/>
              <w:rPr>
                <w:rFonts w:ascii="PT Astra Serif" w:hAnsi="PT Astra Serif"/>
                <w:sz w:val="20"/>
                <w:szCs w:val="20"/>
              </w:rPr>
            </w:pPr>
            <w:r>
              <w:rPr>
                <w:rFonts w:ascii="PT Astra Serif" w:hAnsi="PT Astra Serif"/>
                <w:sz w:val="20"/>
                <w:szCs w:val="20"/>
              </w:rPr>
              <w:t xml:space="preserve">-3,50</w:t>
            </w:r>
            <w:r>
              <w:rPr>
                <w:rFonts w:ascii="PT Astra Serif" w:hAnsi="PT Astra Serif"/>
                <w:sz w:val="20"/>
                <w:szCs w:val="20"/>
              </w:rPr>
            </w:r>
            <w:r>
              <w:rPr>
                <w:rFonts w:ascii="PT Astra Serif" w:hAnsi="PT Astra Serif"/>
                <w:sz w:val="20"/>
                <w:szCs w:val="20"/>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ind w:right="34"/>
              <w:jc w:val="center"/>
              <w:rPr>
                <w:rFonts w:ascii="PT Astra Serif" w:hAnsi="PT Astra Serif"/>
                <w:szCs w:val="20"/>
                <w:lang w:eastAsia="en-US"/>
              </w:rPr>
            </w:pPr>
            <w:r>
              <w:rPr>
                <w:rFonts w:ascii="PT Astra Serif" w:hAnsi="PT Astra Serif"/>
                <w:szCs w:val="20"/>
                <w:lang w:eastAsia="en-US"/>
              </w:rPr>
              <w:t xml:space="preserve">-1,80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6805" w:type="dxa"/>
            <w:vAlign w:val="center"/>
            <w:textDirection w:val="lrTb"/>
            <w:noWrap w:val="false"/>
          </w:tcPr>
          <w:p>
            <w:pPr>
              <w:rPr>
                <w:rFonts w:ascii="PT Astra Serif" w:hAnsi="PT Astra Serif" w:eastAsia="Calibri"/>
                <w:sz w:val="20"/>
                <w:szCs w:val="20"/>
                <w:lang w:eastAsia="ru-RU"/>
              </w:rPr>
            </w:pPr>
            <w:r>
              <w:rPr>
                <w:rFonts w:ascii="PT Astra Serif" w:hAnsi="PT Astra Serif" w:eastAsia="Calibri"/>
                <w:sz w:val="20"/>
                <w:szCs w:val="20"/>
                <w:lang w:eastAsia="ru-RU"/>
              </w:rPr>
              <w:t xml:space="preserve">Отрицательные значения показателя связаны с миграционным оттоком населения, усиливающим естественную убыль населения, связанную со снижением рождаемости. </w:t>
            </w:r>
            <w:r>
              <w:rPr>
                <w:rFonts w:ascii="PT Astra Serif" w:hAnsi="PT Astra Serif" w:eastAsia="Calibri"/>
                <w:sz w:val="20"/>
                <w:szCs w:val="20"/>
                <w:lang w:eastAsia="ru-RU"/>
              </w:rPr>
            </w:r>
            <w:r>
              <w:rPr>
                <w:rFonts w:ascii="PT Astra Serif" w:hAnsi="PT Astra Serif" w:eastAsia="Calibri"/>
                <w:sz w:val="20"/>
                <w:szCs w:val="20"/>
                <w:lang w:eastAsia="ru-RU"/>
              </w:rPr>
            </w:r>
          </w:p>
          <w:p>
            <w:pPr>
              <w:rPr>
                <w:rFonts w:ascii="PT Astra Serif" w:hAnsi="PT Astra Serif"/>
                <w:sz w:val="20"/>
                <w:szCs w:val="20"/>
              </w:rPr>
            </w:pPr>
            <w:r>
              <w:rPr>
                <w:rFonts w:ascii="PT Astra Serif" w:hAnsi="PT Astra Serif" w:eastAsia="Calibri"/>
                <w:sz w:val="20"/>
                <w:szCs w:val="20"/>
                <w:lang w:eastAsia="ru-RU"/>
              </w:rPr>
              <w:t xml:space="preserve">Риск недостижения целевого значения в 2024 году существует в случае усиления миграционного оттока и снижения рождаемости</w:t>
            </w:r>
            <w:r>
              <w:rPr>
                <w:rFonts w:ascii="PT Astra Serif" w:hAnsi="PT Astra Serif"/>
                <w:sz w:val="20"/>
                <w:szCs w:val="20"/>
              </w:rPr>
            </w:r>
            <w:r>
              <w:rPr>
                <w:rFonts w:ascii="PT Astra Serif" w:hAnsi="PT Astra Serif"/>
                <w:sz w:val="20"/>
                <w:szCs w:val="20"/>
              </w:rPr>
            </w:r>
          </w:p>
        </w:tc>
      </w:tr>
      <w:tr>
        <w:tblPrEx/>
        <w:trPr/>
        <w:tc>
          <w:tcPr>
            <w:gridSpan w:val="5"/>
            <w:shd w:val="clear" w:color="auto" w:fill="ffffff" w:themeFill="background1"/>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Задача 3.1. Повысить доступность медицинской помощи и эффективность предоставления медицинских услуг</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ind w:right="751"/>
              <w:rPr>
                <w:rFonts w:ascii="PT Astra Serif" w:hAnsi="PT Astra Serif" w:cs="Calibri"/>
                <w:sz w:val="20"/>
                <w:szCs w:val="20"/>
              </w:rPr>
            </w:pPr>
            <w:r>
              <w:rPr>
                <w:rFonts w:ascii="PT Astra Serif" w:hAnsi="PT Astra Serif"/>
                <w:sz w:val="20"/>
                <w:szCs w:val="20"/>
              </w:rPr>
              <w:t xml:space="preserve">Ожидаемая продолжительность жизни при рождении, лет </w:t>
            </w:r>
            <w:r>
              <w:rPr>
                <w:rFonts w:ascii="PT Astra Serif" w:hAnsi="PT Astra Serif" w:cs="Calibri"/>
                <w:sz w:val="20"/>
                <w:szCs w:val="20"/>
              </w:rPr>
            </w:r>
            <w:r>
              <w:rPr>
                <w:rFonts w:ascii="PT Astra Serif" w:hAnsi="PT Astra Serif" w:cs="Calibri"/>
                <w:sz w:val="20"/>
                <w:szCs w:val="20"/>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rPr>
                <w:rFonts w:ascii="PT Astra Serif" w:hAnsi="PT Astra Serif" w:cs="Calibri"/>
                <w:sz w:val="20"/>
                <w:szCs w:val="20"/>
              </w:rPr>
            </w:pPr>
            <w:r>
              <w:rPr>
                <w:rFonts w:ascii="PT Astra Serif" w:hAnsi="PT Astra Serif"/>
                <w:sz w:val="20"/>
                <w:szCs w:val="20"/>
              </w:rPr>
              <w:t xml:space="preserve">73,05</w:t>
            </w:r>
            <w:r>
              <w:rPr>
                <w:rFonts w:ascii="PT Astra Serif" w:hAnsi="PT Astra Serif" w:cs="Calibri"/>
                <w:sz w:val="20"/>
                <w:szCs w:val="20"/>
              </w:rPr>
            </w:r>
            <w:r>
              <w:rPr>
                <w:rFonts w:ascii="PT Astra Serif" w:hAnsi="PT Astra Serif" w:cs="Calibri"/>
                <w:sz w:val="20"/>
                <w:szCs w:val="20"/>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PT Astra Serif" w:hAnsi="PT Astra Serif" w:cs="Calibri"/>
                <w:sz w:val="20"/>
                <w:szCs w:val="20"/>
              </w:rPr>
            </w:pPr>
            <w:r>
              <w:rPr>
                <w:rFonts w:ascii="PT Astra Serif" w:hAnsi="PT Astra Serif"/>
                <w:sz w:val="20"/>
                <w:szCs w:val="20"/>
              </w:rPr>
              <w:t xml:space="preserve">73,43</w:t>
            </w:r>
            <w:r>
              <w:rPr>
                <w:rFonts w:ascii="PT Astra Serif" w:hAnsi="PT Astra Serif" w:cs="Calibri"/>
                <w:sz w:val="20"/>
                <w:szCs w:val="20"/>
              </w:rPr>
            </w:r>
            <w:r>
              <w:rPr>
                <w:rFonts w:ascii="PT Astra Serif" w:hAnsi="PT Astra Serif" w:cs="Calibri"/>
                <w:sz w:val="20"/>
                <w:szCs w:val="20"/>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eastAsia="Times New Roman"/>
                <w:szCs w:val="20"/>
                <w:lang w:eastAsia="en-US"/>
              </w:rPr>
            </w:pPr>
            <w:r>
              <w:rPr>
                <w:rFonts w:ascii="PT Astra Serif" w:hAnsi="PT Astra Serif"/>
                <w:szCs w:val="20"/>
                <w:lang w:eastAsia="en-US"/>
              </w:rPr>
              <w:t xml:space="preserve">73,43</w:t>
            </w:r>
            <w:r>
              <w:rPr>
                <w:rFonts w:ascii="PT Astra Serif" w:hAnsi="PT Astra Serif" w:eastAsia="Times New Roman"/>
                <w:szCs w:val="20"/>
                <w:lang w:eastAsia="en-US"/>
              </w:rPr>
            </w:r>
            <w:r>
              <w:rPr>
                <w:rFonts w:ascii="PT Astra Serif" w:hAnsi="PT Astra Serif" w:eastAsia="Times New Roman"/>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6805" w:type="dxa"/>
            <w:textDirection w:val="lrTb"/>
            <w:noWrap w:val="false"/>
          </w:tcPr>
          <w:p>
            <w:pPr>
              <w:ind w:right="751"/>
              <w:jc w:val="both"/>
              <w:rPr>
                <w:rFonts w:ascii="PT Astra Serif" w:hAnsi="PT Astra Serif"/>
                <w:sz w:val="20"/>
                <w:szCs w:val="20"/>
              </w:rPr>
            </w:pPr>
            <w:r>
              <w:rPr>
                <w:rFonts w:ascii="PT Astra Serif" w:hAnsi="PT Astra Serif"/>
                <w:sz w:val="20"/>
                <w:szCs w:val="20"/>
              </w:rPr>
              <w:t xml:space="preserve">Рост показателя, наблюдаемый два последних года в 2022</w:t>
            </w:r>
            <w:r>
              <w:rPr>
                <w:rFonts w:ascii="PT Astra Serif" w:hAnsi="PT Astra Serif"/>
                <w:sz w:val="20"/>
                <w:szCs w:val="20"/>
              </w:rPr>
              <w:t xml:space="preserve"> –</w:t>
            </w:r>
            <w:r>
              <w:rPr>
                <w:rFonts w:ascii="PT Astra Serif" w:hAnsi="PT Astra Serif"/>
                <w:sz w:val="20"/>
                <w:szCs w:val="20"/>
              </w:rPr>
              <w:t xml:space="preserve">2023 годах</w:t>
            </w:r>
            <w:r>
              <w:rPr>
                <w:rFonts w:ascii="PT Astra Serif" w:hAnsi="PT Astra Serif"/>
                <w:sz w:val="20"/>
                <w:szCs w:val="20"/>
              </w:rPr>
              <w:t xml:space="preserve">,</w:t>
            </w:r>
            <w:r>
              <w:rPr>
                <w:rFonts w:ascii="PT Astra Serif" w:hAnsi="PT Astra Serif"/>
                <w:sz w:val="20"/>
                <w:szCs w:val="20"/>
              </w:rPr>
              <w:t xml:space="preserve"> связан со снижением смертности, которая значительно возросла в 2020 </w:t>
            </w:r>
            <w:r>
              <w:rPr>
                <w:rFonts w:ascii="PT Astra Serif" w:hAnsi="PT Astra Serif"/>
                <w:sz w:val="20"/>
                <w:szCs w:val="20"/>
              </w:rPr>
              <w:t xml:space="preserve">– </w:t>
            </w:r>
            <w:r>
              <w:rPr>
                <w:rFonts w:ascii="PT Astra Serif" w:hAnsi="PT Astra Serif"/>
                <w:sz w:val="20"/>
                <w:szCs w:val="20"/>
              </w:rPr>
              <w:t xml:space="preserve">2021 годах в связи с распространением новой коронавирусной инфекции.</w:t>
            </w:r>
            <w:r>
              <w:rPr>
                <w:rFonts w:ascii="PT Astra Serif" w:hAnsi="PT Astra Serif"/>
                <w:sz w:val="20"/>
                <w:szCs w:val="20"/>
              </w:rPr>
            </w:r>
            <w:r>
              <w:rPr>
                <w:rFonts w:ascii="PT Astra Serif" w:hAnsi="PT Astra Serif"/>
                <w:sz w:val="20"/>
                <w:szCs w:val="20"/>
              </w:rPr>
            </w:r>
          </w:p>
          <w:p>
            <w:pPr>
              <w:ind w:right="751"/>
              <w:rPr>
                <w:rFonts w:ascii="PT Astra Serif" w:hAnsi="PT Astra Serif" w:cs="Calibri"/>
                <w:sz w:val="20"/>
                <w:szCs w:val="20"/>
              </w:rPr>
            </w:pPr>
            <w:r>
              <w:rPr>
                <w:rFonts w:ascii="PT Astra Serif" w:hAnsi="PT Astra Serif"/>
                <w:sz w:val="20"/>
                <w:szCs w:val="20"/>
              </w:rPr>
              <w:t xml:space="preserve">По оценке Департамента здравоохранения Томской области</w:t>
            </w:r>
            <w:r>
              <w:rPr>
                <w:rFonts w:ascii="PT Astra Serif" w:hAnsi="PT Astra Serif"/>
                <w:sz w:val="20"/>
                <w:szCs w:val="20"/>
              </w:rPr>
              <w:t xml:space="preserve">,</w:t>
            </w:r>
            <w:r>
              <w:rPr>
                <w:rFonts w:ascii="PT Astra Serif" w:hAnsi="PT Astra Serif"/>
                <w:sz w:val="20"/>
                <w:szCs w:val="20"/>
              </w:rPr>
              <w:t xml:space="preserve"> в 2024 году ожидается достижение показателя</w:t>
            </w:r>
            <w:r>
              <w:rPr>
                <w:rFonts w:ascii="PT Astra Serif" w:hAnsi="PT Astra Serif" w:cs="Calibri"/>
                <w:sz w:val="20"/>
                <w:szCs w:val="20"/>
              </w:rPr>
            </w:r>
            <w:r>
              <w:rPr>
                <w:rFonts w:ascii="PT Astra Serif" w:hAnsi="PT Astra Serif" w:cs="Calibri"/>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ind w:right="751"/>
              <w:rPr>
                <w:rFonts w:ascii="PT Astra Serif" w:hAnsi="PT Astra Serif"/>
                <w:sz w:val="20"/>
                <w:szCs w:val="20"/>
              </w:rPr>
            </w:pPr>
            <w:r>
              <w:rPr>
                <w:rFonts w:ascii="PT Astra Serif" w:hAnsi="PT Astra Serif"/>
                <w:sz w:val="20"/>
                <w:szCs w:val="20"/>
              </w:rPr>
              <w:t xml:space="preserve">Коэффициент смертности на 1000 населения </w:t>
            </w:r>
            <w:r>
              <w:rPr>
                <w:rFonts w:ascii="PT Astra Serif" w:hAnsi="PT Astra Serif"/>
                <w:sz w:val="20"/>
                <w:szCs w:val="20"/>
              </w:rPr>
            </w:r>
            <w:r>
              <w:rPr>
                <w:rFonts w:ascii="PT Astra Serif" w:hAnsi="PT Astra Serif"/>
                <w:sz w:val="20"/>
                <w:szCs w:val="20"/>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rPr>
                <w:rFonts w:ascii="PT Astra Serif" w:hAnsi="PT Astra Serif"/>
                <w:sz w:val="20"/>
                <w:szCs w:val="20"/>
              </w:rPr>
            </w:pPr>
            <w:r>
              <w:rPr>
                <w:rFonts w:ascii="PT Astra Serif" w:hAnsi="PT Astra Serif"/>
                <w:sz w:val="20"/>
                <w:szCs w:val="20"/>
              </w:rPr>
              <w:t xml:space="preserve">11,30</w:t>
            </w:r>
            <w:r>
              <w:rPr>
                <w:rFonts w:ascii="PT Astra Serif" w:hAnsi="PT Astra Serif"/>
                <w:sz w:val="20"/>
                <w:szCs w:val="20"/>
              </w:rPr>
            </w:r>
            <w:r>
              <w:rPr>
                <w:rFonts w:ascii="PT Astra Serif" w:hAnsi="PT Astra Serif"/>
                <w:sz w:val="20"/>
                <w:szCs w:val="20"/>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PT Astra Serif" w:hAnsi="PT Astra Serif"/>
                <w:sz w:val="20"/>
                <w:szCs w:val="20"/>
              </w:rPr>
            </w:pPr>
            <w:r>
              <w:rPr>
                <w:rFonts w:ascii="PT Astra Serif" w:hAnsi="PT Astra Serif"/>
                <w:sz w:val="20"/>
                <w:szCs w:val="20"/>
              </w:rPr>
              <w:t xml:space="preserve">11,20</w:t>
            </w:r>
            <w:r>
              <w:rPr>
                <w:rFonts w:ascii="PT Astra Serif" w:hAnsi="PT Astra Serif"/>
                <w:sz w:val="20"/>
                <w:szCs w:val="20"/>
              </w:rPr>
            </w:r>
            <w:r>
              <w:rPr>
                <w:rFonts w:ascii="PT Astra Serif" w:hAnsi="PT Astra Serif"/>
                <w:sz w:val="20"/>
                <w:szCs w:val="20"/>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10,90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6805" w:type="dxa"/>
            <w:textDirection w:val="lrTb"/>
            <w:noWrap w:val="false"/>
          </w:tcPr>
          <w:p>
            <w:pPr>
              <w:ind w:right="751"/>
              <w:rPr>
                <w:rFonts w:ascii="PT Astra Serif" w:hAnsi="PT Astra Serif"/>
                <w:sz w:val="20"/>
                <w:szCs w:val="20"/>
              </w:rPr>
            </w:pPr>
            <w:r>
              <w:rPr>
                <w:rFonts w:ascii="PT Astra Serif" w:hAnsi="PT Astra Serif"/>
                <w:sz w:val="20"/>
                <w:szCs w:val="20"/>
              </w:rPr>
              <w:t xml:space="preserve">После роста смертности в период распространения новой коронавирусной инфекции в 2020</w:t>
            </w:r>
            <w:r>
              <w:rPr>
                <w:rFonts w:ascii="PT Astra Serif" w:hAnsi="PT Astra Serif"/>
                <w:sz w:val="20"/>
                <w:szCs w:val="20"/>
              </w:rPr>
              <w:t xml:space="preserve"> – </w:t>
            </w:r>
            <w:r>
              <w:rPr>
                <w:rFonts w:ascii="PT Astra Serif" w:hAnsi="PT Astra Serif"/>
                <w:sz w:val="20"/>
                <w:szCs w:val="20"/>
              </w:rPr>
              <w:t xml:space="preserve">2021 годах показатель смертности снизился</w:t>
            </w:r>
            <w:r>
              <w:rPr>
                <w:rFonts w:ascii="PT Astra Serif" w:hAnsi="PT Astra Serif"/>
                <w:sz w:val="20"/>
                <w:szCs w:val="20"/>
              </w:rPr>
              <w:t xml:space="preserve"> в 2022 – 2023 годах</w:t>
            </w:r>
            <w:r>
              <w:rPr>
                <w:rFonts w:ascii="PT Astra Serif" w:hAnsi="PT Astra Serif"/>
                <w:sz w:val="20"/>
                <w:szCs w:val="20"/>
              </w:rPr>
              <w:t xml:space="preserve">. По итогам 2023 года показатель по сравнен</w:t>
            </w:r>
            <w:r>
              <w:rPr>
                <w:rFonts w:ascii="PT Astra Serif" w:hAnsi="PT Astra Serif"/>
                <w:sz w:val="20"/>
                <w:szCs w:val="20"/>
              </w:rPr>
              <w:t xml:space="preserve">ию с уровнем 2022 года (12,0‰) </w:t>
            </w:r>
            <w:r>
              <w:rPr>
                <w:rFonts w:ascii="PT Astra Serif" w:hAnsi="PT Astra Serif"/>
                <w:sz w:val="20"/>
                <w:szCs w:val="20"/>
              </w:rPr>
              <w:t xml:space="preserve">улучшился и составил 11,3‰, что ниже общероссийских тенденций (12,0‰) и по СФО (13,0‰). В 2024 году существу</w:t>
            </w:r>
            <w:r>
              <w:rPr>
                <w:rFonts w:ascii="PT Astra Serif" w:hAnsi="PT Astra Serif"/>
                <w:sz w:val="20"/>
                <w:szCs w:val="20"/>
              </w:rPr>
              <w:t xml:space="preserve">ет риск недостижения показателя</w:t>
            </w:r>
            <w:r>
              <w:rPr>
                <w:rFonts w:ascii="PT Astra Serif" w:hAnsi="PT Astra Serif"/>
                <w:sz w:val="20"/>
                <w:szCs w:val="20"/>
              </w:rPr>
            </w:r>
            <w:r>
              <w:rPr>
                <w:rFonts w:ascii="PT Astra Serif" w:hAnsi="PT Astra Serif"/>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Задача 3.2. Содействовать повышению качества образования в Томской области</w:t>
            </w:r>
            <w:r>
              <w:rPr>
                <w:rFonts w:ascii="PT Astra Serif" w:hAnsi="PT Astra Serif"/>
                <w:sz w:val="20"/>
                <w:szCs w:val="20"/>
              </w:rPr>
            </w:r>
            <w:r>
              <w:rPr>
                <w:rFonts w:ascii="PT Astra Serif" w:hAnsi="PT Astra Serif"/>
                <w:sz w:val="20"/>
                <w:szCs w:val="20"/>
              </w:rPr>
            </w:r>
          </w:p>
        </w:tc>
      </w:tr>
      <w:tr>
        <w:tblPrEx/>
        <w:trPr>
          <w:trHeight w:val="77"/>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Обеспеченность детей дошкольного возраста местами в дошкольных образовательных организациях (количество мест на 1000 детей от 0 до 7 лет)</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743,00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751,00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751,00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eastAsia="Calibri"/>
                <w:sz w:val="20"/>
                <w:szCs w:val="20"/>
                <w:lang w:eastAsia="ru-RU"/>
              </w:rPr>
            </w:pPr>
            <w:r>
              <w:rPr>
                <w:rFonts w:ascii="PT Astra Serif" w:hAnsi="PT Astra Serif" w:eastAsia="Calibri"/>
                <w:sz w:val="20"/>
                <w:szCs w:val="20"/>
                <w:lang w:eastAsia="ru-RU"/>
              </w:rPr>
              <w:t xml:space="preserve">Значение показателя увеличилось по сравнению с 2022 годом (735 мест).</w:t>
            </w:r>
            <w:r>
              <w:rPr>
                <w:rFonts w:ascii="PT Astra Serif" w:hAnsi="PT Astra Serif" w:eastAsia="Calibri"/>
                <w:sz w:val="20"/>
                <w:szCs w:val="20"/>
                <w:lang w:eastAsia="ru-RU"/>
              </w:rPr>
            </w:r>
            <w:r>
              <w:rPr>
                <w:rFonts w:ascii="PT Astra Serif" w:hAnsi="PT Astra Serif" w:eastAsia="Calibri"/>
                <w:sz w:val="20"/>
                <w:szCs w:val="20"/>
                <w:lang w:eastAsia="ru-RU"/>
              </w:rPr>
            </w:r>
          </w:p>
          <w:p>
            <w:pPr>
              <w:rPr>
                <w:rFonts w:ascii="PT Astra Serif" w:hAnsi="PT Astra Serif"/>
                <w:sz w:val="20"/>
                <w:szCs w:val="20"/>
              </w:rPr>
            </w:pPr>
            <w:r>
              <w:rPr>
                <w:rFonts w:ascii="PT Astra Serif" w:hAnsi="PT Astra Serif"/>
                <w:sz w:val="20"/>
                <w:szCs w:val="20"/>
              </w:rPr>
              <w:t xml:space="preserve">В целях исключения рисков обеспечения доступности</w:t>
            </w:r>
            <w:r>
              <w:rPr>
                <w:rFonts w:ascii="PT Astra Serif" w:hAnsi="PT Astra Serif"/>
                <w:sz w:val="20"/>
                <w:szCs w:val="20"/>
              </w:rPr>
              <w:t xml:space="preserve"> дошкольного образования, в том числе</w:t>
            </w:r>
            <w:r>
              <w:rPr>
                <w:rFonts w:ascii="PT Astra Serif" w:hAnsi="PT Astra Serif"/>
                <w:sz w:val="20"/>
                <w:szCs w:val="20"/>
              </w:rPr>
              <w:t xml:space="preserve"> детей в возрасте от 1,5 до 3 лет, проводится еженедельный мониторинг данных а</w:t>
            </w:r>
            <w:r>
              <w:rPr>
                <w:rFonts w:ascii="PT Astra Serif" w:hAnsi="PT Astra Serif"/>
                <w:sz w:val="20"/>
                <w:szCs w:val="20"/>
              </w:rPr>
              <w:t xml:space="preserve">ктуальной очереди детей в ГИС «Образование Томской области», мероприятия по доукомплектованию, индивидуальные беседы с родителями по направлению детей на свободные места в государственном (муниципальном) и негосударственном секторе дошкольного образования.</w:t>
            </w:r>
            <w:r>
              <w:rPr>
                <w:rFonts w:ascii="PT Astra Serif" w:hAnsi="PT Astra Serif"/>
                <w:sz w:val="20"/>
                <w:szCs w:val="20"/>
              </w:rPr>
            </w:r>
            <w:r>
              <w:rPr>
                <w:rFonts w:ascii="PT Astra Serif" w:hAnsi="PT Astra Serif"/>
                <w:sz w:val="20"/>
                <w:szCs w:val="20"/>
              </w:rPr>
            </w:r>
          </w:p>
          <w:p>
            <w:pPr>
              <w:rPr>
                <w:rFonts w:ascii="PT Astra Serif" w:hAnsi="PT Astra Serif"/>
                <w:sz w:val="20"/>
                <w:szCs w:val="20"/>
              </w:rPr>
            </w:pPr>
            <w:r>
              <w:rPr>
                <w:rFonts w:ascii="PT Astra Serif" w:hAnsi="PT Astra Serif"/>
                <w:sz w:val="20"/>
                <w:szCs w:val="20"/>
              </w:rPr>
              <w:t xml:space="preserve">В 2024 году в рамках федеральной адресной инвестиционной программы будет продолжено строительство детского сада</w:t>
            </w:r>
            <w:r>
              <w:rPr>
                <w:rFonts w:ascii="PT Astra Serif" w:hAnsi="PT Astra Serif"/>
                <w:sz w:val="20"/>
                <w:szCs w:val="20"/>
              </w:rPr>
              <w:t xml:space="preserve"> – </w:t>
            </w:r>
            <w:r>
              <w:rPr>
                <w:rFonts w:ascii="PT Astra Serif" w:hAnsi="PT Astra Serif"/>
                <w:sz w:val="20"/>
                <w:szCs w:val="20"/>
              </w:rPr>
              <w:t xml:space="preserve">яслей на 280 мест в мкр. Левобережный Томского района. </w:t>
            </w:r>
            <w:r>
              <w:rPr>
                <w:rFonts w:ascii="PT Astra Serif" w:hAnsi="PT Astra Serif"/>
                <w:sz w:val="20"/>
                <w:szCs w:val="20"/>
              </w:rPr>
            </w:r>
            <w:r>
              <w:rPr>
                <w:rFonts w:ascii="PT Astra Serif" w:hAnsi="PT Astra Serif"/>
                <w:sz w:val="20"/>
                <w:szCs w:val="20"/>
              </w:rPr>
            </w:r>
          </w:p>
          <w:p>
            <w:pPr>
              <w:rPr>
                <w:rFonts w:ascii="PT Astra Serif" w:hAnsi="PT Astra Serif"/>
                <w:sz w:val="20"/>
                <w:szCs w:val="20"/>
              </w:rPr>
            </w:pPr>
            <w:r>
              <w:rPr>
                <w:rFonts w:ascii="PT Astra Serif" w:hAnsi="PT Astra Serif"/>
                <w:sz w:val="20"/>
                <w:szCs w:val="20"/>
              </w:rPr>
              <w:t xml:space="preserve">В 2024 году </w:t>
            </w:r>
            <w:r>
              <w:rPr>
                <w:rFonts w:ascii="PT Astra Serif" w:hAnsi="PT Astra Serif"/>
                <w:sz w:val="20"/>
                <w:szCs w:val="20"/>
              </w:rPr>
              <w:t xml:space="preserve">ожидается достижение показателя</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Доля детей в возрасте от 5 до 18 лет, охваченных услугами дополнительного образования, % </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79,70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80,00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80,00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6805" w:type="dxa"/>
            <w:textDirection w:val="lrTb"/>
            <w:noWrap w:val="false"/>
          </w:tcPr>
          <w:p>
            <w:pPr>
              <w:jc w:val="both"/>
              <w:rPr>
                <w:rFonts w:ascii="PT Astra Serif" w:hAnsi="PT Astra Serif"/>
                <w:sz w:val="20"/>
                <w:szCs w:val="20"/>
              </w:rPr>
            </w:pPr>
            <w:r>
              <w:rPr>
                <w:rFonts w:ascii="PT Astra Serif" w:hAnsi="PT Astra Serif"/>
                <w:sz w:val="20"/>
                <w:szCs w:val="20"/>
              </w:rPr>
              <w:t xml:space="preserve">Снижение значения показателя на 1,9 процентного пункта по сравнению с 2022 годом (81,6%) обусловлено увеличением количества детей в возрасте 5-17 лет, а также снижением охвата по программам спор</w:t>
            </w:r>
            <w:r>
              <w:rPr>
                <w:rFonts w:ascii="PT Astra Serif" w:hAnsi="PT Astra Serif"/>
                <w:sz w:val="20"/>
                <w:szCs w:val="20"/>
              </w:rPr>
              <w:t xml:space="preserve">тивной подготовки (с 11 251 человек</w:t>
            </w:r>
            <w:r>
              <w:rPr>
                <w:rFonts w:ascii="PT Astra Serif" w:hAnsi="PT Astra Serif"/>
                <w:sz w:val="20"/>
                <w:szCs w:val="20"/>
              </w:rPr>
              <w:t xml:space="preserve"> в 2022</w:t>
            </w:r>
            <w:r>
              <w:rPr>
                <w:rFonts w:ascii="PT Astra Serif" w:hAnsi="PT Astra Serif"/>
                <w:sz w:val="20"/>
                <w:szCs w:val="20"/>
              </w:rPr>
              <w:t xml:space="preserve"> году до 9 938 человек</w:t>
            </w:r>
            <w:r>
              <w:rPr>
                <w:rFonts w:ascii="PT Astra Serif" w:hAnsi="PT Astra Serif"/>
                <w:sz w:val="20"/>
                <w:szCs w:val="20"/>
              </w:rPr>
              <w:t xml:space="preserve"> в 2023 году), что обусловлено введением двойной системы фиксации данных: введение данных в региональную информационную систему «Навигатор» и АИС «Мой спорт» (ряд спортивных школ отказались заполнять большие данные одновременно в двух системах).</w:t>
            </w:r>
            <w:r>
              <w:rPr>
                <w:rFonts w:ascii="PT Astra Serif" w:hAnsi="PT Astra Serif"/>
                <w:sz w:val="20"/>
                <w:szCs w:val="20"/>
              </w:rPr>
            </w:r>
            <w:r>
              <w:rPr>
                <w:rFonts w:ascii="PT Astra Serif" w:hAnsi="PT Astra Serif"/>
                <w:sz w:val="20"/>
                <w:szCs w:val="20"/>
              </w:rPr>
            </w:r>
          </w:p>
          <w:p>
            <w:pPr>
              <w:jc w:val="both"/>
              <w:rPr>
                <w:rFonts w:ascii="PT Astra Serif" w:hAnsi="PT Astra Serif"/>
                <w:sz w:val="20"/>
                <w:szCs w:val="20"/>
              </w:rPr>
            </w:pPr>
            <w:r>
              <w:rPr>
                <w:rFonts w:ascii="PT Astra Serif" w:hAnsi="PT Astra Serif"/>
                <w:sz w:val="20"/>
                <w:szCs w:val="20"/>
              </w:rPr>
              <w:t xml:space="preserve">В 2024 году прогнозируется достижение показателя в связи с интеграцией первичных данных об обучающихся на этапах спортивной подготовки в региональную информационную систему «Навигатор»</w:t>
            </w:r>
            <w:r>
              <w:rPr>
                <w:rFonts w:ascii="PT Astra Serif" w:hAnsi="PT Astra Serif"/>
                <w:sz w:val="20"/>
                <w:szCs w:val="20"/>
              </w:rPr>
            </w:r>
            <w:r>
              <w:rPr>
                <w:rFonts w:ascii="PT Astra Serif" w:hAnsi="PT Astra Serif"/>
                <w:sz w:val="20"/>
                <w:szCs w:val="20"/>
              </w:rPr>
            </w:r>
          </w:p>
        </w:tc>
      </w:tr>
      <w:tr>
        <w:tblPrEx/>
        <w:trPr>
          <w:trHeight w:val="404"/>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ind w:left="60" w:right="60"/>
              <w:spacing w:before="100"/>
              <w:rPr>
                <w:rFonts w:ascii="PT Astra Serif" w:hAnsi="PT Astra Serif"/>
                <w:szCs w:val="20"/>
                <w:lang w:eastAsia="en-US"/>
              </w:rPr>
            </w:pPr>
            <w:r>
              <w:rPr>
                <w:rFonts w:ascii="PT Astra Serif" w:hAnsi="PT Astra Serif"/>
                <w:szCs w:val="20"/>
                <w:lang w:eastAsia="en-US"/>
              </w:rPr>
              <w:t xml:space="preserve">Уровень образования, % </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ind w:left="60"/>
              <w:jc w:val="center"/>
              <w:rPr>
                <w:rFonts w:ascii="PT Astra Serif" w:hAnsi="PT Astra Serif"/>
                <w:szCs w:val="20"/>
                <w:lang w:eastAsia="en-US"/>
              </w:rPr>
            </w:pPr>
            <w:r>
              <w:rPr>
                <w:rFonts w:ascii="PT Astra Serif" w:hAnsi="PT Astra Serif"/>
                <w:szCs w:val="20"/>
                <w:lang w:eastAsia="en-US"/>
              </w:rPr>
              <w:t xml:space="preserve">75,54</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ind w:left="60"/>
              <w:jc w:val="center"/>
              <w:rPr>
                <w:rFonts w:ascii="PT Astra Serif" w:hAnsi="PT Astra Serif"/>
                <w:szCs w:val="20"/>
                <w:lang w:eastAsia="en-US"/>
              </w:rPr>
            </w:pPr>
            <w:r>
              <w:rPr>
                <w:rFonts w:ascii="PT Astra Serif" w:hAnsi="PT Astra Serif"/>
                <w:szCs w:val="20"/>
                <w:lang w:eastAsia="en-US"/>
              </w:rPr>
              <w:t xml:space="preserve">76,40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61,8</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sz w:val="20"/>
                <w:szCs w:val="20"/>
              </w:rPr>
            </w:pPr>
            <w:r>
              <w:rPr>
                <w:rFonts w:ascii="PT Astra Serif" w:hAnsi="PT Astra Serif"/>
                <w:sz w:val="20"/>
                <w:szCs w:val="20"/>
              </w:rPr>
              <w:t xml:space="preserve">В 2023 году изменилась методика расчета показателя, к 4-м компонентам добавлены еще 3 - создание новых</w:t>
            </w:r>
            <w:r>
              <w:rPr>
                <w:rFonts w:ascii="PT Astra Serif" w:hAnsi="PT Astra Serif"/>
                <w:sz w:val="20"/>
                <w:szCs w:val="20"/>
              </w:rPr>
              <w:t xml:space="preserve"> мест в общеобразовательных организациях, обеспеченность дошкольных образовательных организаций и общеобразовательных организаций охраной, доступность дошкольных образовательных организаций и общеобразовательных организаций для инвалидов (детей-инвалидов).</w:t>
            </w:r>
            <w:r>
              <w:rPr>
                <w:rFonts w:ascii="PT Astra Serif" w:hAnsi="PT Astra Serif"/>
                <w:sz w:val="20"/>
                <w:szCs w:val="20"/>
              </w:rPr>
            </w:r>
            <w:r>
              <w:rPr>
                <w:rFonts w:ascii="PT Astra Serif" w:hAnsi="PT Astra Serif"/>
                <w:sz w:val="20"/>
                <w:szCs w:val="20"/>
              </w:rPr>
            </w:r>
          </w:p>
          <w:p>
            <w:pPr>
              <w:rPr>
                <w:rFonts w:ascii="PT Astra Serif" w:hAnsi="PT Astra Serif"/>
                <w:sz w:val="20"/>
                <w:szCs w:val="20"/>
              </w:rPr>
            </w:pPr>
            <w:r>
              <w:rPr>
                <w:rFonts w:ascii="PT Astra Serif" w:hAnsi="PT Astra Serif"/>
                <w:sz w:val="20"/>
                <w:szCs w:val="20"/>
              </w:rPr>
              <w:t xml:space="preserve">При пересчете показателя по 7 компонентам в 2023 году показатель составил 75,54% и увеличился на 0,52 процентн</w:t>
            </w:r>
            <w:r>
              <w:rPr>
                <w:rFonts w:ascii="PT Astra Serif" w:hAnsi="PT Astra Serif"/>
                <w:sz w:val="20"/>
                <w:szCs w:val="20"/>
              </w:rPr>
              <w:t xml:space="preserve">ого</w:t>
            </w:r>
            <w:r>
              <w:rPr>
                <w:rFonts w:ascii="PT Astra Serif" w:hAnsi="PT Astra Serif"/>
                <w:sz w:val="20"/>
                <w:szCs w:val="20"/>
              </w:rPr>
              <w:t xml:space="preserve"> пункта (в 2022 году по новой методике расчета значение показателя составило 75,02%).</w:t>
            </w:r>
            <w:r>
              <w:rPr>
                <w:rFonts w:ascii="PT Astra Serif" w:hAnsi="PT Astra Serif"/>
                <w:sz w:val="20"/>
                <w:szCs w:val="20"/>
              </w:rPr>
            </w:r>
            <w:r>
              <w:rPr>
                <w:rFonts w:ascii="PT Astra Serif" w:hAnsi="PT Astra Serif"/>
                <w:sz w:val="20"/>
                <w:szCs w:val="20"/>
              </w:rPr>
            </w:r>
          </w:p>
          <w:p>
            <w:pPr>
              <w:pStyle w:val="1166"/>
              <w:rPr>
                <w:rFonts w:ascii="PT Astra Serif" w:hAnsi="PT Astra Serif"/>
                <w:szCs w:val="20"/>
                <w:lang w:eastAsia="en-US"/>
              </w:rPr>
            </w:pPr>
            <w:r>
              <w:rPr>
                <w:rFonts w:ascii="PT Astra Serif" w:hAnsi="PT Astra Serif"/>
                <w:szCs w:val="20"/>
              </w:rPr>
              <w:t xml:space="preserve">В 2024 году </w:t>
            </w:r>
            <w:r>
              <w:rPr>
                <w:rFonts w:ascii="PT Astra Serif" w:hAnsi="PT Astra Serif"/>
                <w:szCs w:val="20"/>
              </w:rPr>
              <w:t xml:space="preserve">ожидается достижение показателя</w:t>
            </w:r>
            <w:r>
              <w:rPr>
                <w:rFonts w:ascii="PT Astra Serif" w:hAnsi="PT Astra Serif"/>
                <w:szCs w:val="20"/>
                <w:lang w:eastAsia="en-US"/>
              </w:rPr>
            </w:r>
            <w:r>
              <w:rPr>
                <w:rFonts w:ascii="PT Astra Serif" w:hAnsi="PT Astra Serif"/>
                <w:szCs w:val="20"/>
                <w:lang w:eastAsia="en-US"/>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Задача 3.3. Содействовать развитию строительного комплекса, повышению качества жилищных условий, доступности жилья и качества городской среды </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Количество семей, улучшивших жилищные условия, тыс. семей </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ind w:left="120"/>
              <w:jc w:val="center"/>
              <w:rPr>
                <w:rFonts w:ascii="PT Astra Serif" w:hAnsi="PT Astra Serif"/>
                <w:szCs w:val="20"/>
                <w:lang w:eastAsia="en-US"/>
              </w:rPr>
            </w:pPr>
            <w:r>
              <w:rPr>
                <w:rFonts w:ascii="PT Astra Serif" w:hAnsi="PT Astra Serif"/>
                <w:szCs w:val="20"/>
                <w:lang w:eastAsia="en-US"/>
              </w:rPr>
              <w:t xml:space="preserve">28,00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ind w:left="120"/>
              <w:jc w:val="center"/>
              <w:rPr>
                <w:rFonts w:ascii="PT Astra Serif" w:hAnsi="PT Astra Serif"/>
                <w:szCs w:val="20"/>
                <w:lang w:eastAsia="en-US"/>
              </w:rPr>
            </w:pPr>
            <w:r>
              <w:rPr>
                <w:rFonts w:ascii="PT Astra Serif" w:hAnsi="PT Astra Serif"/>
                <w:szCs w:val="20"/>
                <w:lang w:eastAsia="en-US"/>
              </w:rPr>
              <w:t xml:space="preserve">31,10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31,60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eastAsia="Calibri"/>
                <w:sz w:val="20"/>
                <w:szCs w:val="20"/>
                <w:lang w:eastAsia="ru-RU"/>
              </w:rPr>
            </w:pPr>
            <w:r>
              <w:rPr>
                <w:rFonts w:ascii="PT Astra Serif" w:hAnsi="PT Astra Serif" w:eastAsia="Calibri"/>
                <w:sz w:val="20"/>
                <w:szCs w:val="20"/>
                <w:lang w:eastAsia="ru-RU"/>
              </w:rPr>
              <w:t xml:space="preserve">По итогам 2023 года фактическое значение показателя выросло к уровню 2022 год</w:t>
            </w:r>
            <w:r>
              <w:rPr>
                <w:rFonts w:ascii="PT Astra Serif" w:hAnsi="PT Astra Serif" w:eastAsia="Calibri"/>
                <w:sz w:val="20"/>
                <w:szCs w:val="20"/>
                <w:lang w:eastAsia="ru-RU"/>
              </w:rPr>
              <w:t xml:space="preserve">а</w:t>
            </w:r>
            <w:r>
              <w:rPr>
                <w:rFonts w:ascii="PT Astra Serif" w:hAnsi="PT Astra Serif" w:eastAsia="Calibri"/>
                <w:sz w:val="20"/>
                <w:szCs w:val="20"/>
                <w:lang w:eastAsia="ru-RU"/>
              </w:rPr>
              <w:t xml:space="preserve"> на 22,8% (22,8 тыс. семей) и составило 28 тыс. семей. Достижению значения показателя способствует реализация на территории Томской области жилищных программ. </w:t>
            </w:r>
            <w:r>
              <w:rPr>
                <w:rFonts w:ascii="PT Astra Serif" w:hAnsi="PT Astra Serif" w:eastAsia="Calibri"/>
                <w:sz w:val="20"/>
                <w:szCs w:val="20"/>
                <w:lang w:eastAsia="ru-RU"/>
              </w:rPr>
            </w:r>
            <w:r>
              <w:rPr>
                <w:rFonts w:ascii="PT Astra Serif" w:hAnsi="PT Astra Serif" w:eastAsia="Calibri"/>
                <w:sz w:val="20"/>
                <w:szCs w:val="20"/>
                <w:lang w:eastAsia="ru-RU"/>
              </w:rPr>
            </w:r>
          </w:p>
          <w:p>
            <w:pPr>
              <w:rPr>
                <w:rFonts w:ascii="PT Astra Serif" w:hAnsi="PT Astra Serif"/>
                <w:sz w:val="20"/>
                <w:szCs w:val="20"/>
              </w:rPr>
            </w:pPr>
            <w:r>
              <w:rPr>
                <w:rFonts w:ascii="PT Astra Serif" w:hAnsi="PT Astra Serif" w:eastAsia="Calibri"/>
                <w:sz w:val="20"/>
                <w:szCs w:val="20"/>
              </w:rPr>
              <w:t xml:space="preserve">В 2024 году прогн</w:t>
            </w:r>
            <w:r>
              <w:rPr>
                <w:rFonts w:ascii="PT Astra Serif" w:hAnsi="PT Astra Serif" w:eastAsia="Calibri"/>
                <w:sz w:val="20"/>
                <w:szCs w:val="20"/>
              </w:rPr>
              <w:t xml:space="preserve">озируется достижение показателя</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Объем жилищного строительства, млн кв. метров </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0,535</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0,546</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0,546</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pStyle w:val="1179"/>
              <w:contextualSpacing/>
              <w:jc w:val="both"/>
              <w:spacing w:before="0" w:beforeAutospacing="0" w:after="0" w:afterAutospacing="0"/>
              <w:rPr>
                <w:rFonts w:ascii="PT Astra Serif" w:hAnsi="PT Astra Serif" w:eastAsia="Calibri"/>
                <w:sz w:val="20"/>
                <w:szCs w:val="20"/>
                <w:lang w:eastAsia="en-US"/>
              </w:rPr>
            </w:pPr>
            <w:r>
              <w:rPr>
                <w:rFonts w:ascii="PT Astra Serif" w:hAnsi="PT Astra Serif" w:eastAsia="Calibri"/>
                <w:sz w:val="20"/>
                <w:szCs w:val="20"/>
                <w:lang w:eastAsia="en-US"/>
              </w:rPr>
              <w:t xml:space="preserve">По итогам 2023 года в Томской области введено 535,3 тыс. кв. метров жилья</w:t>
            </w:r>
            <w:r>
              <w:rPr>
                <w:rFonts w:ascii="PT Astra Serif" w:hAnsi="PT Astra Serif" w:eastAsia="Calibri"/>
                <w:sz w:val="20"/>
                <w:szCs w:val="20"/>
                <w:lang w:eastAsia="en-US"/>
              </w:rPr>
              <w:t xml:space="preserve">,</w:t>
            </w:r>
            <w:r>
              <w:rPr>
                <w:rFonts w:ascii="PT Astra Serif" w:hAnsi="PT Astra Serif" w:eastAsia="Calibri"/>
                <w:sz w:val="20"/>
                <w:szCs w:val="20"/>
                <w:lang w:eastAsia="en-US"/>
              </w:rPr>
              <w:t xml:space="preserve"> что выше уровня 2022 года на 47% (364 тыс. кв. метров, из них: МКД – 260,7 тыс. кв. метров; ИЖС – 274,6 тыс. кв. метров</w:t>
            </w:r>
            <w:r>
              <w:rPr>
                <w:rFonts w:ascii="PT Astra Serif" w:hAnsi="PT Astra Serif" w:eastAsia="Calibri"/>
                <w:sz w:val="20"/>
                <w:szCs w:val="20"/>
                <w:lang w:eastAsia="en-US"/>
              </w:rPr>
              <w:t xml:space="preserve">)</w:t>
            </w:r>
            <w:r>
              <w:rPr>
                <w:rFonts w:ascii="PT Astra Serif" w:hAnsi="PT Astra Serif" w:eastAsia="Calibri"/>
                <w:sz w:val="20"/>
                <w:szCs w:val="20"/>
                <w:lang w:eastAsia="en-US"/>
              </w:rPr>
              <w:t xml:space="preserve">.</w:t>
            </w:r>
            <w:r>
              <w:rPr>
                <w:rFonts w:ascii="PT Astra Serif" w:hAnsi="PT Astra Serif" w:eastAsia="Calibri"/>
                <w:sz w:val="20"/>
                <w:szCs w:val="20"/>
                <w:lang w:eastAsia="en-US"/>
              </w:rPr>
            </w:r>
            <w:r>
              <w:rPr>
                <w:rFonts w:ascii="PT Astra Serif" w:hAnsi="PT Astra Serif" w:eastAsia="Calibri"/>
                <w:sz w:val="20"/>
                <w:szCs w:val="20"/>
                <w:lang w:eastAsia="en-US"/>
              </w:rPr>
            </w:r>
          </w:p>
          <w:p>
            <w:pPr>
              <w:rPr>
                <w:rFonts w:ascii="PT Astra Serif" w:hAnsi="PT Astra Serif" w:eastAsia="Calibri"/>
                <w:sz w:val="20"/>
                <w:szCs w:val="20"/>
              </w:rPr>
            </w:pPr>
            <w:r>
              <w:rPr>
                <w:rFonts w:ascii="PT Astra Serif" w:hAnsi="PT Astra Serif" w:eastAsia="Calibri"/>
                <w:sz w:val="20"/>
                <w:szCs w:val="20"/>
              </w:rPr>
              <w:t xml:space="preserve">Согла</w:t>
            </w:r>
            <w:r>
              <w:rPr>
                <w:rFonts w:ascii="PT Astra Serif" w:hAnsi="PT Astra Serif" w:eastAsia="Calibri"/>
                <w:sz w:val="20"/>
                <w:szCs w:val="20"/>
              </w:rPr>
              <w:t xml:space="preserve">сно региональному проекту «Жилье</w:t>
            </w:r>
            <w:r>
              <w:rPr>
                <w:rFonts w:ascii="PT Astra Serif" w:hAnsi="PT Astra Serif" w:eastAsia="Calibri"/>
                <w:sz w:val="20"/>
                <w:szCs w:val="20"/>
              </w:rPr>
              <w:t xml:space="preserve">» на территории Томской области установлен плановый показатель годового объема ввода жилья на 2024 год – 546,0 тыс. кв. метров. </w:t>
            </w:r>
            <w:r>
              <w:rPr>
                <w:rFonts w:ascii="PT Astra Serif" w:hAnsi="PT Astra Serif" w:eastAsia="Calibri"/>
                <w:sz w:val="20"/>
                <w:szCs w:val="20"/>
              </w:rPr>
            </w:r>
            <w:r>
              <w:rPr>
                <w:rFonts w:ascii="PT Astra Serif" w:hAnsi="PT Astra Serif" w:eastAsia="Calibri"/>
                <w:sz w:val="20"/>
                <w:szCs w:val="20"/>
              </w:rPr>
            </w:r>
          </w:p>
          <w:p>
            <w:pPr>
              <w:rPr>
                <w:rFonts w:ascii="PT Astra Serif" w:hAnsi="PT Astra Serif"/>
                <w:sz w:val="20"/>
                <w:szCs w:val="20"/>
              </w:rPr>
            </w:pPr>
            <w:r>
              <w:rPr>
                <w:rFonts w:ascii="PT Astra Serif" w:hAnsi="PT Astra Serif" w:eastAsia="Calibri"/>
                <w:sz w:val="20"/>
                <w:szCs w:val="20"/>
              </w:rPr>
              <w:t xml:space="preserve">В случае роста цен на строительные материалы, нехватки трудовых ресурсов достижение запланированных значени</w:t>
            </w:r>
            <w:r>
              <w:rPr>
                <w:rFonts w:ascii="PT Astra Serif" w:hAnsi="PT Astra Serif" w:eastAsia="Calibri"/>
                <w:sz w:val="20"/>
                <w:szCs w:val="20"/>
              </w:rPr>
              <w:t xml:space="preserve">й в 2024 году будет затруднено</w:t>
            </w:r>
            <w:r>
              <w:rPr>
                <w:rFonts w:ascii="PT Astra Serif" w:hAnsi="PT Astra Serif"/>
                <w:sz w:val="20"/>
                <w:szCs w:val="20"/>
              </w:rPr>
            </w:r>
            <w:r>
              <w:rPr>
                <w:rFonts w:ascii="PT Astra Serif" w:hAnsi="PT Astra Serif"/>
                <w:sz w:val="20"/>
                <w:szCs w:val="20"/>
              </w:rPr>
            </w:r>
          </w:p>
        </w:tc>
      </w:tr>
      <w:tr>
        <w:tblPrEx/>
        <w:trPr/>
        <w:tc>
          <w:tcPr>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Прирост среднего индекса качества городской среды по отношению к 2019 году, % </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18,00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22,00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23,00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В соответствии с оценкой Минстроя России в 2023 году показатель улучшился по сравнению с 2022 годом (14,0%) и составил 18,0%. </w:t>
            </w:r>
            <w:r>
              <w:rPr>
                <w:rFonts w:ascii="PT Astra Serif" w:hAnsi="PT Astra Serif"/>
                <w:szCs w:val="20"/>
                <w:lang w:eastAsia="en-US"/>
              </w:rPr>
            </w:r>
            <w:r>
              <w:rPr>
                <w:rFonts w:ascii="PT Astra Serif" w:hAnsi="PT Astra Serif"/>
                <w:szCs w:val="20"/>
                <w:lang w:eastAsia="en-US"/>
              </w:rPr>
            </w:r>
          </w:p>
          <w:p>
            <w:pPr>
              <w:pStyle w:val="1166"/>
              <w:rPr>
                <w:rFonts w:ascii="PT Astra Serif" w:hAnsi="PT Astra Serif"/>
                <w:szCs w:val="20"/>
                <w:lang w:eastAsia="en-US"/>
              </w:rPr>
            </w:pPr>
            <w:r>
              <w:rPr>
                <w:rFonts w:ascii="PT Astra Serif" w:hAnsi="PT Astra Serif"/>
                <w:szCs w:val="20"/>
                <w:lang w:eastAsia="en-US"/>
              </w:rPr>
              <w:t xml:space="preserve">В 2024 году ожидается достижение показателя.</w:t>
            </w:r>
            <w:r>
              <w:rPr>
                <w:rFonts w:ascii="PT Astra Serif" w:hAnsi="PT Astra Serif"/>
                <w:szCs w:val="20"/>
                <w:lang w:eastAsia="en-US"/>
              </w:rPr>
            </w:r>
            <w:r>
              <w:rPr>
                <w:rFonts w:ascii="PT Astra Serif" w:hAnsi="PT Astra Serif"/>
                <w:szCs w:val="20"/>
                <w:lang w:eastAsia="en-US"/>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Задача 3.4. Обеспечить повышение безопасности жизнедеятельности населения</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Количество населения, погибшего и пострадавшего при чрезвычайных ситу</w:t>
            </w:r>
            <w:r>
              <w:rPr>
                <w:rFonts w:ascii="PT Astra Serif" w:hAnsi="PT Astra Serif"/>
                <w:szCs w:val="20"/>
                <w:lang w:eastAsia="en-US"/>
              </w:rPr>
              <w:t xml:space="preserve">ациях, погибших на пожарах, человек</w:t>
            </w:r>
            <w:r>
              <w:rPr>
                <w:rFonts w:ascii="PT Astra Serif" w:hAnsi="PT Astra Serif"/>
                <w:szCs w:val="20"/>
                <w:lang w:eastAsia="en-US"/>
              </w:rPr>
              <w:t xml:space="preserve"> </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55,00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54,00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68,00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sz w:val="20"/>
                <w:szCs w:val="20"/>
              </w:rPr>
            </w:pPr>
            <w:r>
              <w:rPr>
                <w:rFonts w:ascii="PT Astra Serif" w:hAnsi="PT Astra Serif"/>
                <w:sz w:val="20"/>
                <w:szCs w:val="20"/>
              </w:rPr>
              <w:t xml:space="preserve">В 2023 году наблюдается снижени</w:t>
            </w:r>
            <w:r>
              <w:rPr>
                <w:rFonts w:ascii="PT Astra Serif" w:hAnsi="PT Astra Serif"/>
                <w:sz w:val="20"/>
                <w:szCs w:val="20"/>
              </w:rPr>
              <w:t xml:space="preserve">е значения показателя на 25 человек</w:t>
            </w:r>
            <w:r>
              <w:rPr>
                <w:rFonts w:ascii="PT Astra Serif" w:hAnsi="PT Astra Serif"/>
                <w:sz w:val="20"/>
                <w:szCs w:val="20"/>
              </w:rPr>
              <w:t xml:space="preserve"> (2022 год</w:t>
            </w:r>
            <w:r>
              <w:rPr>
                <w:rFonts w:ascii="PT Astra Serif" w:hAnsi="PT Astra Serif"/>
                <w:sz w:val="20"/>
                <w:szCs w:val="20"/>
              </w:rPr>
              <w:t xml:space="preserve"> </w:t>
            </w:r>
            <w:r>
              <w:rPr>
                <w:rFonts w:ascii="PT Astra Serif" w:hAnsi="PT Astra Serif"/>
                <w:sz w:val="20"/>
                <w:szCs w:val="20"/>
              </w:rPr>
              <w:t xml:space="preserve"> -</w:t>
            </w:r>
            <w:r>
              <w:rPr>
                <w:rFonts w:ascii="PT Astra Serif" w:hAnsi="PT Astra Serif"/>
                <w:sz w:val="20"/>
                <w:szCs w:val="20"/>
              </w:rPr>
              <w:t xml:space="preserve"> </w:t>
            </w:r>
            <w:r>
              <w:rPr>
                <w:rFonts w:ascii="PT Astra Serif" w:hAnsi="PT Astra Serif"/>
                <w:sz w:val="20"/>
                <w:szCs w:val="20"/>
              </w:rPr>
              <w:t xml:space="preserve">80 человек), благодаря своевременному реагированию и профилактической работе. В 2023 году на территории области зарегистрирована 1 чрезвычайная ситуация природного характера, пожаров </w:t>
            </w:r>
            <w:r>
              <w:rPr>
                <w:rFonts w:ascii="PT Astra Serif" w:hAnsi="PT Astra Serif"/>
                <w:sz w:val="20"/>
                <w:szCs w:val="20"/>
              </w:rPr>
              <w:t xml:space="preserve">– </w:t>
            </w:r>
            <w:r>
              <w:rPr>
                <w:rFonts w:ascii="PT Astra Serif" w:hAnsi="PT Astra Serif"/>
                <w:sz w:val="20"/>
                <w:szCs w:val="20"/>
              </w:rPr>
              <w:t xml:space="preserve">2 224.</w:t>
            </w:r>
            <w:r>
              <w:rPr>
                <w:rFonts w:ascii="PT Astra Serif" w:hAnsi="PT Astra Serif"/>
                <w:sz w:val="20"/>
                <w:szCs w:val="20"/>
              </w:rPr>
            </w:r>
            <w:r>
              <w:rPr>
                <w:rFonts w:ascii="PT Astra Serif" w:hAnsi="PT Astra Serif"/>
                <w:sz w:val="20"/>
                <w:szCs w:val="20"/>
              </w:rPr>
            </w:r>
          </w:p>
          <w:p>
            <w:pPr>
              <w:rPr>
                <w:rFonts w:ascii="PT Astra Serif" w:hAnsi="PT Astra Serif" w:eastAsia="Calibri"/>
                <w:sz w:val="20"/>
                <w:szCs w:val="20"/>
              </w:rPr>
            </w:pPr>
            <w:r>
              <w:rPr>
                <w:rFonts w:ascii="PT Astra Serif" w:hAnsi="PT Astra Serif"/>
                <w:sz w:val="20"/>
                <w:szCs w:val="20"/>
              </w:rPr>
              <w:t xml:space="preserve">В целях профилактики отрицательной динамики показ</w:t>
            </w:r>
            <w:r>
              <w:rPr>
                <w:rFonts w:ascii="PT Astra Serif" w:hAnsi="PT Astra Serif"/>
                <w:sz w:val="20"/>
                <w:szCs w:val="20"/>
              </w:rPr>
              <w:t xml:space="preserve">ателя и для более оперативного реагирования по оказанию помощи и спасению людей в труднодоступной местности в 2023 году создан отряд Томской областной поисково-спасательной службы в с. Молчаново, в 2024 году запланировано создание такого отряда в г. Асино.</w:t>
            </w:r>
            <w:r>
              <w:rPr>
                <w:rFonts w:ascii="PT Astra Serif" w:hAnsi="PT Astra Serif" w:eastAsia="Calibri"/>
                <w:sz w:val="20"/>
                <w:szCs w:val="20"/>
              </w:rPr>
            </w:r>
            <w:r>
              <w:rPr>
                <w:rFonts w:ascii="PT Astra Serif" w:hAnsi="PT Astra Serif" w:eastAsia="Calibri"/>
                <w:sz w:val="20"/>
                <w:szCs w:val="20"/>
              </w:rPr>
            </w:r>
          </w:p>
          <w:p>
            <w:pPr>
              <w:rPr>
                <w:rFonts w:ascii="PT Astra Serif" w:hAnsi="PT Astra Serif"/>
                <w:sz w:val="20"/>
                <w:szCs w:val="20"/>
              </w:rPr>
            </w:pPr>
            <w:r>
              <w:rPr>
                <w:rFonts w:ascii="PT Astra Serif" w:hAnsi="PT Astra Serif" w:eastAsia="Calibri"/>
                <w:sz w:val="20"/>
                <w:szCs w:val="20"/>
              </w:rPr>
              <w:t xml:space="preserve">Риски недостижения показателя в 2024 году отсутствуют</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Количество зарегистрированных преступлений (на 100 тыс. населения), ед. </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1842,80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val="en-US" w:eastAsia="en-US"/>
              </w:rPr>
              <w:t xml:space="preserve">1842</w:t>
            </w:r>
            <w:r>
              <w:rPr>
                <w:rFonts w:ascii="PT Astra Serif" w:hAnsi="PT Astra Serif"/>
                <w:szCs w:val="20"/>
                <w:lang w:eastAsia="en-US"/>
              </w:rPr>
              <w:t xml:space="preserve">,00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1611,00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sz w:val="20"/>
                <w:szCs w:val="20"/>
              </w:rPr>
            </w:pPr>
            <w:r>
              <w:rPr>
                <w:rFonts w:ascii="PT Astra Serif" w:hAnsi="PT Astra Serif"/>
                <w:sz w:val="20"/>
                <w:szCs w:val="20"/>
              </w:rPr>
              <w:t xml:space="preserve">Рост преступлений в 2023 году (на 121,8 ед. относительно 2022 года) обусловлен увеличением количества преступлений с использованием интернет</w:t>
            </w:r>
            <w:r>
              <w:rPr>
                <w:rFonts w:ascii="PT Astra Serif" w:hAnsi="PT Astra Serif"/>
                <w:sz w:val="20"/>
                <w:szCs w:val="20"/>
              </w:rPr>
              <w:t xml:space="preserve"> – </w:t>
            </w:r>
            <w:r>
              <w:rPr>
                <w:rFonts w:ascii="PT Astra Serif" w:hAnsi="PT Astra Serif"/>
                <w:sz w:val="20"/>
                <w:szCs w:val="20"/>
              </w:rPr>
              <w:t xml:space="preserve">технологий. </w:t>
            </w:r>
            <w:r>
              <w:rPr>
                <w:rFonts w:ascii="PT Astra Serif" w:hAnsi="PT Astra Serif"/>
                <w:sz w:val="20"/>
                <w:szCs w:val="20"/>
              </w:rPr>
            </w:r>
            <w:r>
              <w:rPr>
                <w:rFonts w:ascii="PT Astra Serif" w:hAnsi="PT Astra Serif"/>
                <w:sz w:val="20"/>
                <w:szCs w:val="20"/>
              </w:rPr>
            </w:r>
          </w:p>
          <w:p>
            <w:pPr>
              <w:rPr>
                <w:rFonts w:ascii="PT Astra Serif" w:hAnsi="PT Astra Serif"/>
                <w:sz w:val="20"/>
                <w:szCs w:val="20"/>
              </w:rPr>
            </w:pPr>
            <w:r>
              <w:rPr>
                <w:rFonts w:ascii="PT Astra Serif" w:hAnsi="PT Astra Serif"/>
                <w:sz w:val="20"/>
                <w:szCs w:val="20"/>
              </w:rPr>
              <w:t xml:space="preserve">В целях профилактики рисков недостижения показателей в 2024 году организовано проведение оперативно-профилактических мероприятий, направленных на укрепление личной и иму</w:t>
            </w:r>
            <w:r>
              <w:rPr>
                <w:rFonts w:ascii="PT Astra Serif" w:hAnsi="PT Astra Serif"/>
                <w:sz w:val="20"/>
                <w:szCs w:val="20"/>
              </w:rPr>
              <w:t xml:space="preserve">щественной безопасности граждан</w:t>
            </w:r>
            <w:r>
              <w:rPr>
                <w:rFonts w:ascii="PT Astra Serif" w:hAnsi="PT Astra Serif"/>
                <w:sz w:val="20"/>
                <w:szCs w:val="20"/>
              </w:rPr>
            </w:r>
            <w:r>
              <w:rPr>
                <w:rFonts w:ascii="PT Astra Serif" w:hAnsi="PT Astra Serif"/>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Задача 3.5. Обеспечить развитие физической культуры и спорта, проведение эффективной молодежной политики в Томской области</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Доля граждан, систематически занимающихся физической культурой и спортом, % </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54,70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55,00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55,00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sz w:val="20"/>
                <w:szCs w:val="20"/>
              </w:rPr>
            </w:pPr>
            <w:r>
              <w:rPr>
                <w:rFonts w:ascii="PT Astra Serif" w:hAnsi="PT Astra Serif"/>
                <w:sz w:val="20"/>
                <w:szCs w:val="20"/>
              </w:rPr>
              <w:t xml:space="preserve">Значени</w:t>
            </w:r>
            <w:r>
              <w:rPr>
                <w:rFonts w:ascii="PT Astra Serif" w:hAnsi="PT Astra Serif"/>
                <w:sz w:val="20"/>
                <w:szCs w:val="20"/>
              </w:rPr>
              <w:t xml:space="preserve">е показателя увеличилось на 5,1 процентного пункта по сравнению с 2022 годом, что обусловлено развитием спортивной инфраструктуры, проведением физкультурно-спортивной работы с населением, повышением привлекательности занятий физической культурой и спортом.</w:t>
            </w:r>
            <w:r>
              <w:rPr>
                <w:rFonts w:ascii="PT Astra Serif" w:hAnsi="PT Astra Serif"/>
                <w:sz w:val="20"/>
                <w:szCs w:val="20"/>
              </w:rPr>
            </w:r>
            <w:r>
              <w:rPr>
                <w:rFonts w:ascii="PT Astra Serif" w:hAnsi="PT Astra Serif"/>
                <w:sz w:val="20"/>
                <w:szCs w:val="20"/>
              </w:rPr>
            </w:r>
          </w:p>
          <w:p>
            <w:pPr>
              <w:rPr>
                <w:rFonts w:ascii="PT Astra Serif" w:hAnsi="PT Astra Serif"/>
                <w:sz w:val="20"/>
                <w:szCs w:val="20"/>
              </w:rPr>
            </w:pPr>
            <w:r>
              <w:rPr>
                <w:rFonts w:ascii="PT Astra Serif" w:hAnsi="PT Astra Serif"/>
                <w:sz w:val="20"/>
                <w:szCs w:val="20"/>
              </w:rPr>
              <w:t xml:space="preserve">К 2024 году ожидается достижен</w:t>
            </w:r>
            <w:r>
              <w:rPr>
                <w:rFonts w:ascii="PT Astra Serif" w:hAnsi="PT Astra Serif"/>
                <w:sz w:val="20"/>
                <w:szCs w:val="20"/>
              </w:rPr>
              <w:t xml:space="preserve">ие целевого значения показателя</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Об</w:t>
            </w:r>
            <w:r>
              <w:rPr>
                <w:rFonts w:ascii="PT Astra Serif" w:hAnsi="PT Astra Serif"/>
                <w:szCs w:val="20"/>
                <w:lang w:eastAsia="en-US"/>
              </w:rPr>
              <w:t xml:space="preserve">щая численность граждан Российской Федерации, вовлеченных центрами (сообществами, объединениями) поддержки добровольчества на базе образовательных организаций, некоммерческих организаций, государственных и муниципальных учреждений в добровольческую (волонт</w:t>
            </w:r>
            <w:r>
              <w:rPr>
                <w:rFonts w:ascii="PT Astra Serif" w:hAnsi="PT Astra Serif"/>
                <w:szCs w:val="20"/>
                <w:lang w:eastAsia="en-US"/>
              </w:rPr>
              <w:t xml:space="preserve">ерскую) деятельность), тыс. человек</w:t>
            </w:r>
            <w:r>
              <w:rPr>
                <w:rFonts w:ascii="PT Astra Serif" w:hAnsi="PT Astra Serif"/>
                <w:szCs w:val="20"/>
                <w:lang w:eastAsia="en-US"/>
              </w:rPr>
              <w:t xml:space="preserve"> </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ind w:left="240" w:right="240"/>
              <w:jc w:val="center"/>
              <w:rPr>
                <w:rFonts w:ascii="PT Astra Serif" w:hAnsi="PT Astra Serif"/>
                <w:szCs w:val="20"/>
                <w:lang w:eastAsia="en-US"/>
              </w:rPr>
            </w:pPr>
            <w:r>
              <w:rPr>
                <w:rFonts w:ascii="PT Astra Serif" w:hAnsi="PT Astra Serif"/>
                <w:szCs w:val="20"/>
                <w:lang w:eastAsia="en-US"/>
              </w:rPr>
              <w:t xml:space="preserve">60,15</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ind w:left="240" w:right="240"/>
              <w:jc w:val="center"/>
              <w:rPr>
                <w:rFonts w:ascii="PT Astra Serif" w:hAnsi="PT Astra Serif"/>
                <w:szCs w:val="20"/>
                <w:lang w:eastAsia="en-US"/>
              </w:rPr>
            </w:pPr>
            <w:r>
              <w:rPr>
                <w:rFonts w:ascii="PT Astra Serif" w:hAnsi="PT Astra Serif"/>
                <w:szCs w:val="20"/>
                <w:lang w:eastAsia="en-US"/>
              </w:rPr>
              <w:t xml:space="preserve">72,00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72,00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6805" w:type="dxa"/>
            <w:textDirection w:val="lrTb"/>
            <w:noWrap w:val="false"/>
          </w:tcPr>
          <w:p>
            <w:pPr>
              <w:contextualSpacing/>
              <w:rPr>
                <w:rFonts w:ascii="PT Astra Serif" w:hAnsi="PT Astra Serif" w:eastAsia="Calibri"/>
                <w:sz w:val="20"/>
                <w:szCs w:val="20"/>
                <w:lang w:eastAsia="ru-RU"/>
              </w:rPr>
            </w:pPr>
            <w:r>
              <w:rPr>
                <w:rFonts w:ascii="PT Astra Serif" w:hAnsi="PT Astra Serif" w:eastAsia="Calibri"/>
                <w:sz w:val="20"/>
                <w:szCs w:val="20"/>
                <w:lang w:eastAsia="ru-RU"/>
              </w:rPr>
              <w:t xml:space="preserve">Увеличение показателя на 11,85 тыс. человек по сравнению с 2022 годом связано с развитием системы </w:t>
            </w:r>
            <w:r>
              <w:rPr>
                <w:rFonts w:ascii="PT Astra Serif" w:hAnsi="PT Astra Serif"/>
                <w:sz w:val="20"/>
                <w:szCs w:val="20"/>
              </w:rPr>
              <w:t xml:space="preserve">добровольчества</w:t>
            </w:r>
            <w:r>
              <w:rPr>
                <w:rFonts w:ascii="PT Astra Serif" w:hAnsi="PT Astra Serif" w:eastAsia="Calibri"/>
                <w:sz w:val="20"/>
                <w:szCs w:val="20"/>
                <w:lang w:eastAsia="ru-RU"/>
              </w:rPr>
              <w:t xml:space="preserve">  и вовлечением молодежи и детей.</w:t>
            </w:r>
            <w:r>
              <w:rPr>
                <w:rFonts w:ascii="PT Astra Serif" w:hAnsi="PT Astra Serif" w:eastAsia="Calibri"/>
                <w:sz w:val="20"/>
                <w:szCs w:val="20"/>
                <w:lang w:eastAsia="ru-RU"/>
              </w:rPr>
            </w:r>
            <w:r>
              <w:rPr>
                <w:rFonts w:ascii="PT Astra Serif" w:hAnsi="PT Astra Serif" w:eastAsia="Calibri"/>
                <w:sz w:val="20"/>
                <w:szCs w:val="20"/>
                <w:lang w:eastAsia="ru-RU"/>
              </w:rPr>
            </w:r>
          </w:p>
          <w:p>
            <w:pPr>
              <w:ind w:hanging="4"/>
              <w:rPr>
                <w:rFonts w:ascii="PT Astra Serif" w:hAnsi="PT Astra Serif"/>
                <w:sz w:val="20"/>
                <w:szCs w:val="20"/>
              </w:rPr>
            </w:pPr>
            <w:r>
              <w:rPr>
                <w:rFonts w:ascii="PT Astra Serif" w:hAnsi="PT Astra Serif"/>
                <w:sz w:val="20"/>
                <w:szCs w:val="20"/>
              </w:rPr>
              <w:t xml:space="preserve">В 2024 году прогнозируется достижение показателя</w:t>
            </w:r>
            <w:r>
              <w:rPr>
                <w:rFonts w:ascii="PT Astra Serif" w:hAnsi="PT Astra Serif"/>
                <w:sz w:val="20"/>
                <w:szCs w:val="20"/>
              </w:rPr>
            </w:r>
            <w:r>
              <w:rPr>
                <w:rFonts w:ascii="PT Astra Serif" w:hAnsi="PT Astra Serif"/>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Задача 3.6. Содействовать развитию эффективного рынка труда и кадровому обеспечению экономики Томской области</w:t>
            </w:r>
            <w:r>
              <w:rPr>
                <w:rFonts w:ascii="PT Astra Serif" w:hAnsi="PT Astra Serif"/>
                <w:szCs w:val="20"/>
                <w:lang w:eastAsia="en-US"/>
              </w:rPr>
            </w:r>
            <w:r>
              <w:rPr>
                <w:rFonts w:ascii="PT Astra Serif" w:hAnsi="PT Astra Serif"/>
                <w:szCs w:val="20"/>
                <w:lang w:eastAsia="en-US"/>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Уровень безработицы (по методологии Международной организации труда), % </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4,00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4,00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6,30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sz w:val="20"/>
                <w:szCs w:val="20"/>
              </w:rPr>
            </w:pPr>
            <w:r>
              <w:rPr>
                <w:rFonts w:ascii="PT Astra Serif" w:hAnsi="PT Astra Serif"/>
                <w:sz w:val="20"/>
                <w:szCs w:val="20"/>
              </w:rPr>
              <w:t xml:space="preserve">Отмечается положительная динамика показ</w:t>
            </w:r>
            <w:r>
              <w:rPr>
                <w:rFonts w:ascii="PT Astra Serif" w:hAnsi="PT Astra Serif"/>
                <w:sz w:val="20"/>
                <w:szCs w:val="20"/>
              </w:rPr>
              <w:t xml:space="preserve">ателя: снижение на 1,2 процентн</w:t>
            </w:r>
            <w:r>
              <w:rPr>
                <w:rFonts w:ascii="PT Astra Serif" w:hAnsi="PT Astra Serif"/>
                <w:sz w:val="20"/>
                <w:szCs w:val="20"/>
              </w:rPr>
              <w:t xml:space="preserve">ого</w:t>
            </w:r>
            <w:r>
              <w:rPr>
                <w:rFonts w:ascii="PT Astra Serif" w:hAnsi="PT Astra Serif"/>
                <w:sz w:val="20"/>
                <w:szCs w:val="20"/>
              </w:rPr>
              <w:t xml:space="preserve"> пу</w:t>
            </w:r>
            <w:r>
              <w:rPr>
                <w:rFonts w:ascii="PT Astra Serif" w:hAnsi="PT Astra Serif"/>
                <w:sz w:val="20"/>
                <w:szCs w:val="20"/>
              </w:rPr>
              <w:t xml:space="preserve">нкта по сравнению с 2022 годом (5,2%), что является результатом повышения качества и доступности государственных услуг в сфере занятости населения и нарастанием кадрового дефицита (количество вакансий превышает численность безработных граждан в 2,7 раза). </w:t>
            </w:r>
            <w:r>
              <w:rPr>
                <w:rFonts w:ascii="PT Astra Serif" w:hAnsi="PT Astra Serif"/>
                <w:sz w:val="20"/>
                <w:szCs w:val="20"/>
              </w:rPr>
            </w:r>
            <w:r>
              <w:rPr>
                <w:rFonts w:ascii="PT Astra Serif" w:hAnsi="PT Astra Serif"/>
                <w:sz w:val="20"/>
                <w:szCs w:val="20"/>
              </w:rPr>
            </w:r>
          </w:p>
          <w:p>
            <w:pPr>
              <w:rPr>
                <w:rFonts w:ascii="PT Astra Serif" w:hAnsi="PT Astra Serif"/>
                <w:sz w:val="20"/>
                <w:szCs w:val="20"/>
              </w:rPr>
            </w:pPr>
            <w:r>
              <w:rPr>
                <w:rFonts w:ascii="PT Astra Serif" w:hAnsi="PT Astra Serif"/>
                <w:sz w:val="20"/>
                <w:szCs w:val="20"/>
              </w:rPr>
              <w:t xml:space="preserve">Риск недостижения пок</w:t>
            </w:r>
            <w:r>
              <w:rPr>
                <w:rFonts w:ascii="PT Astra Serif" w:hAnsi="PT Astra Serif"/>
                <w:sz w:val="20"/>
                <w:szCs w:val="20"/>
              </w:rPr>
              <w:t xml:space="preserve">азателя в 2024 году отсутствует</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Индекс реальной среднемесячной заработной платы, % к базовому году </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106,30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108,70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109,90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6805" w:type="dxa"/>
            <w:textDirection w:val="lrTb"/>
            <w:noWrap w:val="false"/>
          </w:tcPr>
          <w:p>
            <w:pPr>
              <w:jc w:val="both"/>
              <w:rPr>
                <w:rFonts w:ascii="PT Astra Serif" w:hAnsi="PT Astra Serif" w:cs="PT Astra Serif"/>
                <w:sz w:val="20"/>
                <w:szCs w:val="20"/>
              </w:rPr>
            </w:pPr>
            <w:r>
              <w:rPr>
                <w:rFonts w:ascii="PT Astra Serif" w:hAnsi="PT Astra Serif" w:cs="PT Astra Serif"/>
                <w:sz w:val="20"/>
                <w:szCs w:val="20"/>
              </w:rPr>
              <w:t xml:space="preserve">В 2023 году отмечается рост показателя, обусловленный темпом роста номинальной заработной платы (114,2%), существенно превышающим инфляцию (105,8%).</w:t>
            </w:r>
            <w:r>
              <w:rPr>
                <w:rFonts w:ascii="PT Astra Serif" w:hAnsi="PT Astra Serif" w:cs="PT Astra Serif"/>
                <w:sz w:val="20"/>
                <w:szCs w:val="20"/>
              </w:rPr>
            </w:r>
            <w:r>
              <w:rPr>
                <w:rFonts w:ascii="PT Astra Serif" w:hAnsi="PT Astra Serif" w:cs="PT Astra Serif"/>
                <w:sz w:val="20"/>
                <w:szCs w:val="20"/>
              </w:rPr>
            </w:r>
          </w:p>
          <w:p>
            <w:pPr>
              <w:jc w:val="both"/>
              <w:rPr>
                <w:rFonts w:ascii="PT Astra Serif" w:hAnsi="PT Astra Serif" w:cs="PT Astra Serif"/>
                <w:sz w:val="20"/>
                <w:szCs w:val="20"/>
              </w:rPr>
            </w:pPr>
            <w:r>
              <w:rPr>
                <w:rFonts w:ascii="PT Astra Serif" w:hAnsi="PT Astra Serif" w:cs="PT Astra Serif"/>
                <w:sz w:val="20"/>
                <w:szCs w:val="20"/>
              </w:rPr>
              <w:t xml:space="preserve">В 2024 году существует риск недостижения целевого значения показателя в связи с накопленным отрицательны</w:t>
            </w:r>
            <w:r>
              <w:rPr>
                <w:rFonts w:ascii="PT Astra Serif" w:hAnsi="PT Astra Serif" w:cs="PT Astra Serif"/>
                <w:sz w:val="20"/>
                <w:szCs w:val="20"/>
              </w:rPr>
              <w:t xml:space="preserve">м эффектом предыдущих периодов</w:t>
            </w:r>
            <w:r>
              <w:rPr>
                <w:rFonts w:ascii="PT Astra Serif" w:hAnsi="PT Astra Serif" w:cs="PT Astra Serif"/>
                <w:sz w:val="20"/>
                <w:szCs w:val="20"/>
              </w:rPr>
            </w:r>
            <w:r>
              <w:rPr>
                <w:rFonts w:ascii="PT Astra Serif" w:hAnsi="PT Astra Serif" w:cs="PT Astra Serif"/>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Задача 3.7. Повысить качество, актуальность и доступность услуг в сфере культуры в Томской области</w:t>
            </w:r>
            <w:r>
              <w:rPr>
                <w:rFonts w:ascii="PT Astra Serif" w:hAnsi="PT Astra Serif"/>
                <w:sz w:val="20"/>
                <w:szCs w:val="20"/>
              </w:rPr>
            </w:r>
            <w:r>
              <w:rPr>
                <w:rFonts w:ascii="PT Astra Serif" w:hAnsi="PT Astra Serif"/>
                <w:sz w:val="20"/>
                <w:szCs w:val="20"/>
              </w:rPr>
            </w:r>
          </w:p>
        </w:tc>
      </w:tr>
      <w:tr>
        <w:tblPrEx/>
        <w:trPr>
          <w:trHeight w:val="59"/>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Количество созданных (реконструированных) и капитально отремонтированных объектов организаций культуры, ед. нарастающим итогом (к 01.01.2018) </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31,00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36,00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22,00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6805"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Значение показателя в 2023 году увеличилось на 4 ед. относительно уровня 2022 года (2022 год – 27 ед.).</w:t>
            </w:r>
            <w:r>
              <w:rPr>
                <w:rFonts w:ascii="PT Astra Serif" w:hAnsi="PT Astra Serif"/>
                <w:szCs w:val="20"/>
                <w:lang w:eastAsia="en-US"/>
              </w:rPr>
            </w:r>
            <w:r>
              <w:rPr>
                <w:rFonts w:ascii="PT Astra Serif" w:hAnsi="PT Astra Serif"/>
                <w:szCs w:val="20"/>
                <w:lang w:eastAsia="en-US"/>
              </w:rPr>
            </w:r>
          </w:p>
          <w:p>
            <w:pPr>
              <w:pStyle w:val="1166"/>
              <w:rPr>
                <w:rFonts w:ascii="PT Astra Serif" w:hAnsi="PT Astra Serif"/>
                <w:szCs w:val="20"/>
                <w:lang w:eastAsia="en-US"/>
              </w:rPr>
            </w:pPr>
            <w:r>
              <w:rPr>
                <w:rFonts w:ascii="PT Astra Serif" w:hAnsi="PT Astra Serif"/>
                <w:szCs w:val="20"/>
                <w:lang w:eastAsia="en-US"/>
              </w:rPr>
              <w:t xml:space="preserve">В 2024 году ожидается достижение показателя.</w:t>
            </w:r>
            <w:r>
              <w:rPr>
                <w:rFonts w:ascii="PT Astra Serif" w:hAnsi="PT Astra Serif"/>
                <w:szCs w:val="20"/>
                <w:lang w:eastAsia="en-US"/>
              </w:rPr>
            </w:r>
            <w:r>
              <w:rPr>
                <w:rFonts w:ascii="PT Astra Serif" w:hAnsi="PT Astra Serif"/>
                <w:szCs w:val="20"/>
                <w:lang w:eastAsia="en-US"/>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Число посещений культурных мероприятий, тыс. единиц </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16 312,06</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16 229,22</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16 229,00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6805"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По итогам 2023 года отмечается рост показателя относительно значения 2022 года на 2 729,4 тыс. ед., что связано с увеличением количества мероприятий, проводимых учреждениями</w:t>
            </w:r>
            <w:r>
              <w:rPr>
                <w:rFonts w:ascii="PT Astra Serif" w:hAnsi="PT Astra Serif"/>
                <w:szCs w:val="20"/>
                <w:lang w:eastAsia="en-US"/>
              </w:rPr>
              <w:t xml:space="preserve">,</w:t>
            </w:r>
            <w:r>
              <w:rPr>
                <w:rFonts w:ascii="PT Astra Serif" w:hAnsi="PT Astra Serif"/>
                <w:szCs w:val="20"/>
                <w:lang w:eastAsia="en-US"/>
              </w:rPr>
              <w:t xml:space="preserve"> и с активизацией информационного сопровождения данных мероприятий. </w:t>
            </w:r>
            <w:r>
              <w:rPr>
                <w:rFonts w:ascii="PT Astra Serif" w:hAnsi="PT Astra Serif"/>
                <w:szCs w:val="20"/>
                <w:lang w:eastAsia="en-US"/>
              </w:rPr>
            </w:r>
            <w:r>
              <w:rPr>
                <w:rFonts w:ascii="PT Astra Serif" w:hAnsi="PT Astra Serif"/>
                <w:szCs w:val="20"/>
                <w:lang w:eastAsia="en-US"/>
              </w:rPr>
            </w:r>
          </w:p>
          <w:p>
            <w:pPr>
              <w:pStyle w:val="1166"/>
              <w:rPr>
                <w:rFonts w:ascii="PT Astra Serif" w:hAnsi="PT Astra Serif"/>
                <w:szCs w:val="20"/>
                <w:lang w:eastAsia="en-US"/>
              </w:rPr>
            </w:pPr>
            <w:r>
              <w:rPr>
                <w:rFonts w:ascii="PT Astra Serif" w:hAnsi="PT Astra Serif"/>
                <w:szCs w:val="20"/>
                <w:lang w:eastAsia="en-US"/>
              </w:rPr>
              <w:t xml:space="preserve">Риск недостижения показателя в</w:t>
            </w:r>
            <w:r>
              <w:rPr>
                <w:rFonts w:ascii="PT Astra Serif" w:hAnsi="PT Astra Serif"/>
                <w:szCs w:val="20"/>
                <w:lang w:eastAsia="en-US"/>
              </w:rPr>
              <w:t xml:space="preserve"> 2024 году отсутствует</w:t>
            </w:r>
            <w:r>
              <w:rPr>
                <w:rFonts w:ascii="PT Astra Serif" w:hAnsi="PT Astra Serif"/>
                <w:szCs w:val="20"/>
                <w:lang w:eastAsia="en-US"/>
              </w:rPr>
            </w:r>
            <w:r>
              <w:rPr>
                <w:rFonts w:ascii="PT Astra Serif" w:hAnsi="PT Astra Serif"/>
                <w:szCs w:val="20"/>
                <w:lang w:eastAsia="en-US"/>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Задача 3.8. Повысить качество и доступность социальной поддержки и социального обслуживания населения, в том числе детей</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Уровень бедности, % </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11,90</w:t>
            </w:r>
            <w:r>
              <w:rPr>
                <w:rFonts w:ascii="PT Astra Serif" w:hAnsi="PT Astra Serif"/>
                <w:szCs w:val="20"/>
                <w:lang w:eastAsia="en-US"/>
              </w:rPr>
            </w:r>
            <w:r>
              <w:rPr>
                <w:rFonts w:ascii="PT Astra Serif" w:hAnsi="PT Astra Serif"/>
                <w:szCs w:val="20"/>
                <w:lang w:eastAsia="en-US"/>
              </w:rPr>
            </w:r>
          </w:p>
          <w:p>
            <w:pPr>
              <w:pStyle w:val="1166"/>
              <w:jc w:val="center"/>
              <w:rPr>
                <w:rFonts w:ascii="PT Astra Serif" w:hAnsi="PT Astra Serif"/>
                <w:szCs w:val="20"/>
                <w:lang w:eastAsia="en-US"/>
              </w:rPr>
            </w:pPr>
            <w:r>
              <w:rPr>
                <w:rFonts w:ascii="PT Astra Serif" w:hAnsi="PT Astra Serif"/>
                <w:szCs w:val="20"/>
                <w:lang w:eastAsia="en-US"/>
              </w:rPr>
              <w:t xml:space="preserve">(оценка)</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11,20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12,80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cs="Arial"/>
                <w:sz w:val="20"/>
                <w:szCs w:val="20"/>
              </w:rPr>
            </w:pPr>
            <w:r>
              <w:rPr>
                <w:rFonts w:ascii="PT Astra Serif" w:hAnsi="PT Astra Serif" w:cs="Arial"/>
                <w:sz w:val="20"/>
                <w:szCs w:val="20"/>
              </w:rPr>
              <w:t xml:space="preserve">По оценке Департамента социальной защиты населения Томской области</w:t>
            </w:r>
            <w:r>
              <w:rPr>
                <w:rFonts w:ascii="PT Astra Serif" w:hAnsi="PT Astra Serif" w:cs="Arial"/>
                <w:sz w:val="20"/>
                <w:szCs w:val="20"/>
              </w:rPr>
              <w:t xml:space="preserve">,</w:t>
            </w:r>
            <w:r>
              <w:rPr>
                <w:rFonts w:ascii="PT Astra Serif" w:hAnsi="PT Astra Serif" w:cs="Arial"/>
                <w:sz w:val="20"/>
                <w:szCs w:val="20"/>
              </w:rPr>
              <w:t xml:space="preserve"> в 2023 году показатель составил 11,9%.</w:t>
            </w:r>
            <w:r>
              <w:rPr>
                <w:rFonts w:ascii="PT Astra Serif" w:hAnsi="PT Astra Serif" w:cs="Arial"/>
                <w:sz w:val="20"/>
                <w:szCs w:val="20"/>
              </w:rPr>
            </w:r>
            <w:r>
              <w:rPr>
                <w:rFonts w:ascii="PT Astra Serif" w:hAnsi="PT Astra Serif" w:cs="Arial"/>
                <w:sz w:val="20"/>
                <w:szCs w:val="20"/>
              </w:rPr>
            </w:r>
          </w:p>
          <w:p>
            <w:pPr>
              <w:rPr>
                <w:rFonts w:ascii="PT Astra Serif" w:hAnsi="PT Astra Serif" w:cs="Arial"/>
                <w:sz w:val="20"/>
                <w:szCs w:val="20"/>
              </w:rPr>
            </w:pPr>
            <w:r>
              <w:rPr>
                <w:rFonts w:ascii="PT Astra Serif" w:hAnsi="PT Astra Serif" w:cs="Arial"/>
                <w:sz w:val="20"/>
                <w:szCs w:val="20"/>
              </w:rPr>
              <w:t xml:space="preserve">Публикация статистических показателей по итогам 2023 года в апреле 2024 года. </w:t>
            </w:r>
            <w:r>
              <w:rPr>
                <w:rFonts w:ascii="PT Astra Serif" w:hAnsi="PT Astra Serif" w:cs="Arial"/>
                <w:sz w:val="20"/>
                <w:szCs w:val="20"/>
              </w:rPr>
            </w:r>
            <w:r>
              <w:rPr>
                <w:rFonts w:ascii="PT Astra Serif" w:hAnsi="PT Astra Serif" w:cs="Arial"/>
                <w:sz w:val="20"/>
                <w:szCs w:val="20"/>
              </w:rPr>
            </w:r>
          </w:p>
          <w:p>
            <w:pPr>
              <w:rPr>
                <w:rFonts w:ascii="PT Astra Serif" w:hAnsi="PT Astra Serif"/>
                <w:sz w:val="20"/>
                <w:szCs w:val="20"/>
              </w:rPr>
            </w:pPr>
            <w:r>
              <w:rPr>
                <w:rFonts w:ascii="PT Astra Serif" w:hAnsi="PT Astra Serif"/>
                <w:sz w:val="20"/>
                <w:szCs w:val="20"/>
              </w:rPr>
              <w:t xml:space="preserve">В 2024 году ожидается достижение показателя за счет реализации мер государственной поддержки граждан и развития сектора бизнеса</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Доля мер социальной поддержки, предоставляемых с учетом критериев нуждаемости, % </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30,00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30,00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40,20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cs="Arial"/>
                <w:sz w:val="20"/>
                <w:szCs w:val="20"/>
              </w:rPr>
            </w:pPr>
            <w:r>
              <w:rPr>
                <w:rFonts w:ascii="PT Astra Serif" w:hAnsi="PT Astra Serif" w:cs="Arial"/>
                <w:sz w:val="20"/>
                <w:szCs w:val="20"/>
              </w:rPr>
              <w:t xml:space="preserve">Снижение значения показателя в 2023 году связан</w:t>
            </w:r>
            <w:r>
              <w:rPr>
                <w:rFonts w:ascii="PT Astra Serif" w:hAnsi="PT Astra Serif" w:cs="Arial"/>
                <w:sz w:val="20"/>
                <w:szCs w:val="20"/>
              </w:rPr>
              <w:t xml:space="preserve">о с передачей полномочий по предоставлению отдельных мер поддержки семьям с детьми Фонду пенсионного и социального страхования Российской Федерации, а также с отменой критериев нуждаемости при предоставлении мер поддержки участникам СВО и членам их семей. </w:t>
            </w:r>
            <w:r>
              <w:rPr>
                <w:rFonts w:ascii="PT Astra Serif" w:hAnsi="PT Astra Serif" w:cs="Arial"/>
                <w:sz w:val="20"/>
                <w:szCs w:val="20"/>
              </w:rPr>
            </w:r>
            <w:r>
              <w:rPr>
                <w:rFonts w:ascii="PT Astra Serif" w:hAnsi="PT Astra Serif" w:cs="Arial"/>
                <w:sz w:val="20"/>
                <w:szCs w:val="20"/>
              </w:rPr>
            </w:r>
          </w:p>
          <w:p>
            <w:pPr>
              <w:rPr>
                <w:rFonts w:ascii="PT Astra Serif" w:hAnsi="PT Astra Serif"/>
                <w:sz w:val="20"/>
                <w:szCs w:val="20"/>
              </w:rPr>
            </w:pPr>
            <w:r>
              <w:rPr>
                <w:rFonts w:ascii="PT Astra Serif" w:hAnsi="PT Astra Serif" w:cs="Arial"/>
                <w:sz w:val="20"/>
                <w:szCs w:val="20"/>
              </w:rPr>
              <w:t xml:space="preserve">В 2024 году прогнозируется недостижение показ</w:t>
            </w:r>
            <w:r>
              <w:rPr>
                <w:rFonts w:ascii="PT Astra Serif" w:hAnsi="PT Astra Serif" w:cs="Arial"/>
                <w:sz w:val="20"/>
                <w:szCs w:val="20"/>
              </w:rPr>
              <w:t xml:space="preserve">ателя по вышеуказанным причинам</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Доля детей-сирот и детей, оставшихся без попечения родителей, в общей численности детского населения, % </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1,70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1,82</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1,82</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6805" w:type="dxa"/>
            <w:textDirection w:val="lrTb"/>
            <w:noWrap w:val="false"/>
          </w:tcPr>
          <w:p>
            <w:pPr>
              <w:contextualSpacing/>
              <w:jc w:val="both"/>
              <w:rPr>
                <w:rFonts w:ascii="PT Astra Serif" w:hAnsi="PT Astra Serif"/>
                <w:sz w:val="20"/>
                <w:szCs w:val="20"/>
              </w:rPr>
            </w:pPr>
            <w:r>
              <w:rPr>
                <w:rFonts w:ascii="PT Astra Serif" w:hAnsi="PT Astra Serif" w:eastAsia="Calibri"/>
                <w:sz w:val="20"/>
                <w:szCs w:val="20"/>
                <w:lang w:eastAsia="ru-RU"/>
              </w:rPr>
              <w:t xml:space="preserve">Значение показателя по сравнению с 2022 годом снизилось на 0,2 процентн</w:t>
            </w:r>
            <w:r>
              <w:rPr>
                <w:rFonts w:ascii="PT Astra Serif" w:hAnsi="PT Astra Serif" w:eastAsia="Calibri"/>
                <w:sz w:val="20"/>
                <w:szCs w:val="20"/>
                <w:lang w:eastAsia="ru-RU"/>
              </w:rPr>
              <w:t xml:space="preserve">ого</w:t>
            </w:r>
            <w:r>
              <w:rPr>
                <w:rFonts w:ascii="PT Astra Serif" w:hAnsi="PT Astra Serif" w:eastAsia="Calibri"/>
                <w:sz w:val="20"/>
                <w:szCs w:val="20"/>
                <w:lang w:eastAsia="ru-RU"/>
              </w:rPr>
              <w:t xml:space="preserve"> пункта (1,9% в 2022 году). Благодаря реализации технологии межведомственного взаимодействия раннего выявления детей, нуждающихся в государственной защите</w:t>
            </w:r>
            <w:r>
              <w:rPr>
                <w:rFonts w:ascii="PT Astra Serif" w:hAnsi="PT Astra Serif" w:eastAsia="Calibri"/>
                <w:sz w:val="20"/>
                <w:szCs w:val="20"/>
                <w:lang w:eastAsia="ru-RU"/>
              </w:rPr>
              <w:t xml:space="preserve">,</w:t>
            </w:r>
            <w:r>
              <w:rPr>
                <w:rFonts w:ascii="PT Astra Serif" w:hAnsi="PT Astra Serif" w:eastAsia="Calibri"/>
                <w:sz w:val="20"/>
                <w:szCs w:val="20"/>
                <w:lang w:eastAsia="ru-RU"/>
              </w:rPr>
              <w:t xml:space="preserve"> по модели «полного цикла» риска недостижения показателя в 2024 году не прогнозируется</w:t>
            </w:r>
            <w:r>
              <w:rPr>
                <w:rFonts w:ascii="PT Astra Serif" w:hAnsi="PT Astra Serif"/>
                <w:sz w:val="20"/>
                <w:szCs w:val="20"/>
              </w:rPr>
            </w:r>
            <w:r>
              <w:rPr>
                <w:rFonts w:ascii="PT Astra Serif" w:hAnsi="PT Astra Serif"/>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Цель 4. Сбалансированное территориальное развитие, в том числе за счет развития инфраструктуры в Томской области</w:t>
            </w:r>
            <w:r>
              <w:rPr>
                <w:rFonts w:ascii="PT Astra Serif" w:hAnsi="PT Astra Serif"/>
                <w:sz w:val="20"/>
                <w:szCs w:val="20"/>
              </w:rPr>
            </w:r>
            <w:r>
              <w:rPr>
                <w:rFonts w:ascii="PT Astra Serif" w:hAnsi="PT Astra Serif"/>
                <w:sz w:val="20"/>
                <w:szCs w:val="20"/>
              </w:rPr>
            </w:r>
          </w:p>
        </w:tc>
      </w:tr>
      <w:tr>
        <w:tblPrEx/>
        <w:trPr/>
        <w:tc>
          <w:tcPr>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Энергоемкость валового регионального продукта, кг условного топлива/10 тыс. рублей </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ind w:left="-108" w:right="-108"/>
              <w:jc w:val="center"/>
              <w:rPr>
                <w:rFonts w:ascii="PT Astra Serif" w:hAnsi="PT Astra Serif"/>
                <w:szCs w:val="20"/>
                <w:lang w:eastAsia="en-US"/>
              </w:rPr>
            </w:pPr>
            <w:r>
              <w:rPr>
                <w:rFonts w:ascii="PT Astra Serif" w:hAnsi="PT Astra Serif"/>
                <w:szCs w:val="20"/>
                <w:lang w:eastAsia="en-US"/>
              </w:rPr>
              <w:t xml:space="preserve">77,00</w:t>
            </w:r>
            <w:r>
              <w:rPr>
                <w:rFonts w:ascii="PT Astra Serif" w:hAnsi="PT Astra Serif"/>
                <w:szCs w:val="20"/>
                <w:lang w:eastAsia="en-US"/>
              </w:rPr>
            </w:r>
            <w:r>
              <w:rPr>
                <w:rFonts w:ascii="PT Astra Serif" w:hAnsi="PT Astra Serif"/>
                <w:szCs w:val="20"/>
                <w:lang w:eastAsia="en-US"/>
              </w:rPr>
            </w:r>
          </w:p>
          <w:p>
            <w:pPr>
              <w:pStyle w:val="1166"/>
              <w:ind w:left="-108" w:right="-108"/>
              <w:jc w:val="center"/>
              <w:rPr>
                <w:rFonts w:ascii="PT Astra Serif" w:hAnsi="PT Astra Serif"/>
                <w:szCs w:val="20"/>
                <w:lang w:eastAsia="en-US"/>
              </w:rPr>
            </w:pPr>
            <w:r>
              <w:rPr>
                <w:rFonts w:ascii="PT Astra Serif" w:hAnsi="PT Astra Serif"/>
                <w:szCs w:val="20"/>
                <w:lang w:eastAsia="en-US"/>
              </w:rPr>
              <w:t xml:space="preserve">(оценка)</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ind w:left="-108" w:right="-108"/>
              <w:jc w:val="center"/>
              <w:rPr>
                <w:rFonts w:ascii="PT Astra Serif" w:hAnsi="PT Astra Serif"/>
                <w:szCs w:val="20"/>
                <w:lang w:eastAsia="en-US"/>
              </w:rPr>
            </w:pPr>
            <w:r>
              <w:rPr>
                <w:rFonts w:ascii="PT Astra Serif" w:hAnsi="PT Astra Serif"/>
                <w:szCs w:val="20"/>
                <w:lang w:eastAsia="en-US"/>
              </w:rPr>
              <w:t xml:space="preserve">75,81</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ind w:left="-108" w:right="-108"/>
              <w:jc w:val="center"/>
              <w:rPr>
                <w:rFonts w:ascii="PT Astra Serif" w:hAnsi="PT Astra Serif"/>
                <w:szCs w:val="20"/>
                <w:lang w:eastAsia="en-US"/>
              </w:rPr>
            </w:pPr>
            <w:r>
              <w:rPr>
                <w:rFonts w:ascii="PT Astra Serif" w:hAnsi="PT Astra Serif"/>
                <w:szCs w:val="20"/>
                <w:lang w:eastAsia="en-US"/>
              </w:rPr>
              <w:t xml:space="preserve">75,81</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pStyle w:val="1166"/>
              <w:ind w:right="360"/>
              <w:rPr>
                <w:rFonts w:ascii="PT Astra Serif" w:hAnsi="PT Astra Serif"/>
                <w:szCs w:val="20"/>
                <w:lang w:eastAsia="en-US"/>
              </w:rPr>
            </w:pPr>
            <w:r>
              <w:rPr>
                <w:rFonts w:ascii="PT Astra Serif" w:hAnsi="PT Astra Serif"/>
                <w:szCs w:val="20"/>
                <w:lang w:eastAsia="en-US"/>
              </w:rPr>
              <w:t xml:space="preserve">Расчет показателя осуществляется Росстатом, значение за 2023 год будет опубликовано в 2025 году.</w:t>
            </w:r>
            <w:r>
              <w:rPr>
                <w:rFonts w:ascii="PT Astra Serif" w:hAnsi="PT Astra Serif"/>
                <w:szCs w:val="20"/>
                <w:lang w:eastAsia="en-US"/>
              </w:rPr>
            </w:r>
            <w:r>
              <w:rPr>
                <w:rFonts w:ascii="PT Astra Serif" w:hAnsi="PT Astra Serif"/>
                <w:szCs w:val="20"/>
                <w:lang w:eastAsia="en-US"/>
              </w:rPr>
            </w:r>
          </w:p>
          <w:p>
            <w:pPr>
              <w:pStyle w:val="1166"/>
              <w:ind w:right="360"/>
              <w:rPr>
                <w:rFonts w:ascii="PT Astra Serif" w:hAnsi="PT Astra Serif"/>
                <w:szCs w:val="20"/>
                <w:lang w:eastAsia="en-US"/>
              </w:rPr>
            </w:pPr>
            <w:r>
              <w:rPr>
                <w:rFonts w:ascii="PT Astra Serif" w:hAnsi="PT Astra Serif"/>
                <w:szCs w:val="20"/>
                <w:lang w:eastAsia="en-US"/>
              </w:rPr>
              <w:t xml:space="preserve">По оценке Департамента пр</w:t>
            </w:r>
            <w:r>
              <w:rPr>
                <w:rFonts w:ascii="PT Astra Serif" w:hAnsi="PT Astra Serif"/>
                <w:szCs w:val="20"/>
                <w:lang w:eastAsia="en-US"/>
              </w:rPr>
              <w:t xml:space="preserve">омышленности и энергетики Администрации Томской области, прогнозируется достижение показателя. Вклад в его достижение вносят мероприятия в области энергосбережения и повышения энергетической эффективности, реализуемые всеми отраслями и сферами деятельности</w:t>
            </w:r>
            <w:r>
              <w:rPr>
                <w:rFonts w:ascii="PT Astra Serif" w:hAnsi="PT Astra Serif"/>
                <w:szCs w:val="20"/>
                <w:lang w:eastAsia="en-US"/>
              </w:rPr>
            </w:r>
            <w:r>
              <w:rPr>
                <w:rFonts w:ascii="PT Astra Serif" w:hAnsi="PT Astra Serif"/>
                <w:szCs w:val="20"/>
                <w:lang w:eastAsia="en-US"/>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Протяженность дорог общего пользования с твердым покрытием, км </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ind w:right="34"/>
              <w:jc w:val="center"/>
              <w:rPr>
                <w:rFonts w:ascii="PT Astra Serif" w:hAnsi="PT Astra Serif"/>
                <w:szCs w:val="20"/>
                <w:lang w:eastAsia="en-US"/>
              </w:rPr>
            </w:pPr>
            <w:r>
              <w:rPr>
                <w:rFonts w:ascii="PT Astra Serif" w:hAnsi="PT Astra Serif"/>
                <w:szCs w:val="20"/>
                <w:lang w:eastAsia="en-US"/>
              </w:rPr>
              <w:t xml:space="preserve">8003,50</w:t>
            </w:r>
            <w:r>
              <w:rPr>
                <w:rFonts w:ascii="PT Astra Serif" w:hAnsi="PT Astra Serif"/>
                <w:szCs w:val="20"/>
                <w:lang w:eastAsia="en-US"/>
              </w:rPr>
            </w:r>
            <w:r>
              <w:rPr>
                <w:rFonts w:ascii="PT Astra Serif" w:hAnsi="PT Astra Serif"/>
                <w:szCs w:val="20"/>
                <w:lang w:eastAsia="en-US"/>
              </w:rPr>
            </w:r>
          </w:p>
          <w:p>
            <w:pPr>
              <w:pStyle w:val="1166"/>
              <w:ind w:right="34"/>
              <w:jc w:val="center"/>
              <w:rPr>
                <w:rFonts w:ascii="PT Astra Serif" w:hAnsi="PT Astra Serif"/>
                <w:szCs w:val="20"/>
                <w:lang w:eastAsia="en-US"/>
              </w:rPr>
            </w:pPr>
            <w:r>
              <w:rPr>
                <w:rFonts w:ascii="PT Astra Serif" w:hAnsi="PT Astra Serif"/>
                <w:szCs w:val="20"/>
                <w:lang w:eastAsia="en-US"/>
              </w:rPr>
              <w:t xml:space="preserve">(оценка)</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ind w:right="34"/>
              <w:jc w:val="center"/>
              <w:rPr>
                <w:rFonts w:ascii="PT Astra Serif" w:hAnsi="PT Astra Serif"/>
                <w:szCs w:val="20"/>
                <w:lang w:eastAsia="en-US"/>
              </w:rPr>
            </w:pPr>
            <w:r>
              <w:rPr>
                <w:rFonts w:ascii="PT Astra Serif" w:hAnsi="PT Astra Serif"/>
                <w:szCs w:val="20"/>
                <w:lang w:eastAsia="en-US"/>
              </w:rPr>
              <w:t xml:space="preserve">8003,50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ind w:right="34"/>
              <w:jc w:val="center"/>
              <w:rPr>
                <w:rFonts w:ascii="PT Astra Serif" w:hAnsi="PT Astra Serif"/>
                <w:szCs w:val="20"/>
                <w:lang w:eastAsia="en-US"/>
              </w:rPr>
            </w:pPr>
            <w:r>
              <w:rPr>
                <w:rFonts w:ascii="PT Astra Serif" w:hAnsi="PT Astra Serif"/>
                <w:szCs w:val="20"/>
                <w:lang w:eastAsia="en-US"/>
              </w:rPr>
              <w:t xml:space="preserve">7 522,70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pStyle w:val="1166"/>
              <w:ind w:left="34" w:right="360"/>
              <w:rPr>
                <w:rFonts w:ascii="PT Astra Serif" w:hAnsi="PT Astra Serif"/>
                <w:szCs w:val="20"/>
                <w:lang w:eastAsia="en-US"/>
              </w:rPr>
            </w:pPr>
            <w:r>
              <w:rPr>
                <w:rFonts w:ascii="PT Astra Serif" w:hAnsi="PT Astra Serif"/>
                <w:szCs w:val="20"/>
                <w:lang w:eastAsia="en-US"/>
              </w:rPr>
              <w:t xml:space="preserve">По оценке Департамента транспорта, дорожной деятельности и связи </w:t>
            </w:r>
            <w:r>
              <w:rPr>
                <w:rFonts w:ascii="PT Astra Serif" w:hAnsi="PT Astra Serif"/>
                <w:szCs w:val="20"/>
                <w:lang w:eastAsia="en-US"/>
              </w:rPr>
              <w:t xml:space="preserve">Томской области, </w:t>
            </w:r>
            <w:r>
              <w:rPr>
                <w:rFonts w:ascii="PT Astra Serif" w:hAnsi="PT Astra Serif"/>
                <w:szCs w:val="20"/>
                <w:lang w:eastAsia="en-US"/>
              </w:rPr>
              <w:t xml:space="preserve">протяженность дорог общего </w:t>
            </w:r>
            <w:r>
              <w:rPr>
                <w:rFonts w:ascii="PT Astra Serif" w:hAnsi="PT Astra Serif"/>
                <w:szCs w:val="20"/>
                <w:lang w:eastAsia="en-US"/>
              </w:rPr>
              <w:t xml:space="preserve">пользования с твердым покрытием</w:t>
            </w:r>
            <w:r>
              <w:rPr>
                <w:rFonts w:ascii="PT Astra Serif" w:hAnsi="PT Astra Serif"/>
                <w:szCs w:val="20"/>
                <w:lang w:eastAsia="en-US"/>
              </w:rPr>
              <w:t xml:space="preserve"> на конец 2023 года увеличилась на 26,8 км и составит 8 003,50 км.</w:t>
            </w:r>
            <w:r>
              <w:rPr>
                <w:rFonts w:ascii="PT Astra Serif" w:hAnsi="PT Astra Serif"/>
                <w:szCs w:val="20"/>
                <w:lang w:eastAsia="en-US"/>
              </w:rPr>
            </w:r>
            <w:r>
              <w:rPr>
                <w:rFonts w:ascii="PT Astra Serif" w:hAnsi="PT Astra Serif"/>
                <w:szCs w:val="20"/>
                <w:lang w:eastAsia="en-US"/>
              </w:rPr>
            </w:r>
          </w:p>
          <w:p>
            <w:pPr>
              <w:pStyle w:val="1166"/>
              <w:ind w:left="34" w:right="360"/>
              <w:rPr>
                <w:rFonts w:ascii="PT Astra Serif" w:hAnsi="PT Astra Serif"/>
                <w:szCs w:val="20"/>
                <w:lang w:eastAsia="en-US"/>
              </w:rPr>
            </w:pPr>
            <w:r>
              <w:rPr>
                <w:rFonts w:ascii="PT Astra Serif" w:hAnsi="PT Astra Serif"/>
                <w:szCs w:val="20"/>
                <w:lang w:eastAsia="en-US"/>
              </w:rPr>
              <w:t xml:space="preserve">По итогам 2024 года ожидается сохранение протяженности дорог общего пользования с твердым покрытием на уровне 2023 года. </w:t>
            </w:r>
            <w:r>
              <w:rPr>
                <w:rFonts w:ascii="PT Astra Serif" w:hAnsi="PT Astra Serif"/>
                <w:szCs w:val="20"/>
                <w:lang w:eastAsia="en-US"/>
              </w:rPr>
            </w:r>
            <w:r>
              <w:rPr>
                <w:rFonts w:ascii="PT Astra Serif" w:hAnsi="PT Astra Serif"/>
                <w:szCs w:val="20"/>
                <w:lang w:eastAsia="en-US"/>
              </w:rPr>
            </w:r>
          </w:p>
          <w:p>
            <w:pPr>
              <w:pStyle w:val="1166"/>
              <w:ind w:left="34" w:right="360"/>
              <w:rPr>
                <w:rFonts w:ascii="PT Astra Serif" w:hAnsi="PT Astra Serif"/>
                <w:szCs w:val="20"/>
                <w:lang w:eastAsia="en-US"/>
              </w:rPr>
            </w:pPr>
            <w:r>
              <w:rPr>
                <w:rFonts w:ascii="PT Astra Serif" w:hAnsi="PT Astra Serif"/>
                <w:szCs w:val="20"/>
                <w:lang w:eastAsia="en-US"/>
              </w:rPr>
              <w:t xml:space="preserve">Исходя из текущих тенденций, отсутствуют риски недостижения целевого значения на 2024 год</w:t>
            </w:r>
            <w:r>
              <w:rPr>
                <w:rFonts w:ascii="PT Astra Serif" w:hAnsi="PT Astra Serif"/>
                <w:szCs w:val="20"/>
                <w:lang w:eastAsia="en-US"/>
              </w:rPr>
            </w:r>
            <w:r>
              <w:rPr>
                <w:rFonts w:ascii="PT Astra Serif" w:hAnsi="PT Astra Serif"/>
                <w:szCs w:val="20"/>
                <w:lang w:eastAsia="en-US"/>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Рост доли домохозяйств, которым обеспечена возможность широкополосного доступа к информационно-телекоммуникационной сети Интернет, %</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95,0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95,2</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ind w:right="34"/>
              <w:jc w:val="center"/>
              <w:rPr>
                <w:rFonts w:ascii="PT Astra Serif" w:hAnsi="PT Astra Serif"/>
                <w:szCs w:val="20"/>
                <w:lang w:eastAsia="en-US"/>
              </w:rPr>
            </w:pPr>
            <w:r>
              <w:rPr>
                <w:rFonts w:ascii="PT Astra Serif" w:hAnsi="PT Astra Serif"/>
                <w:szCs w:val="20"/>
                <w:lang w:eastAsia="en-US"/>
              </w:rPr>
              <w:t xml:space="preserve">90,20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pStyle w:val="1166"/>
              <w:ind w:left="34" w:right="360"/>
              <w:rPr>
                <w:rFonts w:ascii="PT Astra Serif" w:hAnsi="PT Astra Serif"/>
                <w:szCs w:val="20"/>
                <w:lang w:eastAsia="en-US"/>
              </w:rPr>
            </w:pPr>
            <w:r>
              <w:rPr>
                <w:rFonts w:ascii="PT Astra Serif" w:hAnsi="PT Astra Serif"/>
                <w:szCs w:val="20"/>
                <w:lang w:eastAsia="en-US"/>
              </w:rPr>
              <w:t xml:space="preserve">По итогам 2023 года значение показат</w:t>
            </w:r>
            <w:r>
              <w:rPr>
                <w:rFonts w:ascii="PT Astra Serif" w:hAnsi="PT Astra Serif"/>
                <w:szCs w:val="20"/>
                <w:lang w:eastAsia="en-US"/>
              </w:rPr>
              <w:t xml:space="preserve">еля увеличилось на 0,8 процентного</w:t>
            </w:r>
            <w:r>
              <w:rPr>
                <w:rFonts w:ascii="PT Astra Serif" w:hAnsi="PT Astra Serif"/>
                <w:szCs w:val="20"/>
                <w:lang w:eastAsia="en-US"/>
              </w:rPr>
              <w:t xml:space="preserve"> пункта и составило 95%, чему способствовала реализация мероприятий государственной программы и федерального проекта «Устранение цифрового неравенства».</w:t>
            </w:r>
            <w:r>
              <w:rPr>
                <w:rFonts w:ascii="PT Astra Serif" w:hAnsi="PT Astra Serif"/>
                <w:szCs w:val="20"/>
                <w:lang w:eastAsia="en-US"/>
              </w:rPr>
            </w:r>
            <w:r>
              <w:rPr>
                <w:rFonts w:ascii="PT Astra Serif" w:hAnsi="PT Astra Serif"/>
                <w:szCs w:val="20"/>
                <w:lang w:eastAsia="en-US"/>
              </w:rPr>
            </w:r>
          </w:p>
          <w:p>
            <w:pPr>
              <w:pStyle w:val="1166"/>
              <w:ind w:left="34" w:right="360"/>
              <w:rPr>
                <w:rFonts w:ascii="PT Astra Serif" w:hAnsi="PT Astra Serif"/>
                <w:szCs w:val="20"/>
                <w:lang w:eastAsia="en-US"/>
              </w:rPr>
            </w:pPr>
            <w:r>
              <w:rPr>
                <w:rFonts w:ascii="PT Astra Serif" w:hAnsi="PT Astra Serif"/>
                <w:szCs w:val="20"/>
                <w:lang w:eastAsia="en-US"/>
              </w:rPr>
              <w:t xml:space="preserve">По итогам 2024 года ожидается, что доля домохозяйств, которым обеспечена возмож</w:t>
            </w:r>
            <w:r>
              <w:rPr>
                <w:rFonts w:ascii="PT Astra Serif" w:hAnsi="PT Astra Serif"/>
                <w:szCs w:val="20"/>
                <w:lang w:eastAsia="en-US"/>
              </w:rPr>
              <w:t xml:space="preserve">ность широкополосного доступа к</w:t>
            </w:r>
            <w:r>
              <w:rPr>
                <w:rFonts w:ascii="PT Astra Serif" w:hAnsi="PT Astra Serif"/>
                <w:szCs w:val="20"/>
                <w:lang w:eastAsia="en-US"/>
              </w:rPr>
              <w:t xml:space="preserve"> сети Интернет достигнет 95,2%. </w:t>
            </w:r>
            <w:r>
              <w:rPr>
                <w:rFonts w:ascii="PT Astra Serif" w:hAnsi="PT Astra Serif"/>
                <w:szCs w:val="20"/>
                <w:lang w:eastAsia="en-US"/>
              </w:rPr>
            </w:r>
            <w:r>
              <w:rPr>
                <w:rFonts w:ascii="PT Astra Serif" w:hAnsi="PT Astra Serif"/>
                <w:szCs w:val="20"/>
                <w:lang w:eastAsia="en-US"/>
              </w:rPr>
            </w:r>
          </w:p>
          <w:p>
            <w:pPr>
              <w:pStyle w:val="1166"/>
              <w:ind w:left="34" w:right="360"/>
              <w:rPr>
                <w:rFonts w:ascii="PT Astra Serif" w:hAnsi="PT Astra Serif"/>
                <w:szCs w:val="20"/>
                <w:lang w:eastAsia="en-US"/>
              </w:rPr>
            </w:pPr>
            <w:r>
              <w:rPr>
                <w:rFonts w:ascii="PT Astra Serif" w:hAnsi="PT Astra Serif"/>
                <w:szCs w:val="20"/>
                <w:lang w:eastAsia="en-US"/>
              </w:rPr>
              <w:t xml:space="preserve">Исходя из текущих тенденций, в 2024 году ожидается достижение целевого значения</w:t>
            </w:r>
            <w:r>
              <w:rPr>
                <w:rFonts w:ascii="PT Astra Serif" w:hAnsi="PT Astra Serif"/>
                <w:szCs w:val="20"/>
                <w:lang w:eastAsia="en-US"/>
              </w:rPr>
            </w:r>
            <w:r>
              <w:rPr>
                <w:rFonts w:ascii="PT Astra Serif" w:hAnsi="PT Astra Serif"/>
                <w:szCs w:val="20"/>
                <w:lang w:eastAsia="en-US"/>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Задача 4.1. Обеспечить устойчивое развитие муниципальных образований Томской области, в том числе сельских территорий Томской области </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Соотношение среднемесячных располагаемых ресурсов сельского и городского домохозяйств, % </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95,34</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79,69</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79,69</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eastAsia="Calibri"/>
                <w:sz w:val="20"/>
                <w:szCs w:val="20"/>
                <w:lang w:eastAsia="ru-RU"/>
              </w:rPr>
            </w:pPr>
            <w:r>
              <w:rPr>
                <w:rFonts w:ascii="PT Astra Serif" w:hAnsi="PT Astra Serif" w:eastAsia="Calibri"/>
                <w:sz w:val="20"/>
                <w:szCs w:val="20"/>
                <w:lang w:eastAsia="ru-RU"/>
              </w:rPr>
              <w:t xml:space="preserve">По предварительной оценке Департамента по социально-экономическому развитию села Томской области</w:t>
            </w:r>
            <w:r>
              <w:rPr>
                <w:rFonts w:ascii="PT Astra Serif" w:hAnsi="PT Astra Serif" w:eastAsia="Calibri"/>
                <w:sz w:val="20"/>
                <w:szCs w:val="20"/>
                <w:lang w:eastAsia="ru-RU"/>
              </w:rPr>
              <w:t xml:space="preserve">,</w:t>
            </w:r>
            <w:r>
              <w:rPr>
                <w:rFonts w:ascii="PT Astra Serif" w:hAnsi="PT Astra Serif" w:eastAsia="Calibri"/>
                <w:sz w:val="20"/>
                <w:szCs w:val="20"/>
                <w:lang w:eastAsia="ru-RU"/>
              </w:rPr>
              <w:t xml:space="preserve"> в 2023 год значение показателя </w:t>
            </w:r>
            <w:r>
              <w:rPr>
                <w:rFonts w:ascii="PT Astra Serif" w:hAnsi="PT Astra Serif"/>
                <w:sz w:val="20"/>
                <w:szCs w:val="20"/>
              </w:rPr>
              <w:t xml:space="preserve">составит 95,34%</w:t>
            </w:r>
            <w:r>
              <w:rPr>
                <w:rFonts w:ascii="PT Astra Serif" w:hAnsi="PT Astra Serif" w:eastAsia="Calibri"/>
                <w:sz w:val="20"/>
                <w:szCs w:val="20"/>
                <w:lang w:eastAsia="ru-RU"/>
              </w:rPr>
              <w:t xml:space="preserve">. Данные указаны на основании прогнозных данных Минсельхоза России. Официальные данные с Томскстата ожидаются после 1-го полугодия текущего года, после чего по</w:t>
            </w:r>
            <w:r>
              <w:rPr>
                <w:rFonts w:ascii="PT Astra Serif" w:hAnsi="PT Astra Serif" w:eastAsia="Calibri"/>
                <w:sz w:val="20"/>
                <w:szCs w:val="20"/>
                <w:lang w:eastAsia="ru-RU"/>
              </w:rPr>
              <w:t xml:space="preserve">явится возможность оценить степень достижения показателя, поскольку при анализе показателя Томскстатом учитываются доходы граждан, в том числе кредитование населения, что влияет на динамику изменения показателя. В 2024 году ожидается достижение показателя.</w:t>
            </w:r>
            <w:r>
              <w:rPr>
                <w:rFonts w:ascii="PT Astra Serif" w:hAnsi="PT Astra Serif" w:eastAsia="Calibri"/>
                <w:sz w:val="20"/>
                <w:szCs w:val="20"/>
                <w:lang w:eastAsia="ru-RU"/>
              </w:rPr>
            </w:r>
            <w:r>
              <w:rPr>
                <w:rFonts w:ascii="PT Astra Serif" w:hAnsi="PT Astra Serif" w:eastAsia="Calibri"/>
                <w:sz w:val="20"/>
                <w:szCs w:val="20"/>
                <w:lang w:eastAsia="ru-RU"/>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Доля сельского населения в общей численности населения Томской области, %</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28,84</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28,70</w:t>
            </w:r>
            <w:r>
              <w:rPr>
                <w:rFonts w:ascii="PT Astra Serif" w:hAnsi="PT Astra Serif"/>
                <w:szCs w:val="20"/>
                <w:lang w:eastAsia="en-US"/>
              </w:rPr>
            </w:r>
            <w:r>
              <w:rPr>
                <w:rFonts w:ascii="PT Astra Serif" w:hAnsi="PT Astra Serif"/>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eastAsia="Calibri" w:cs="Times New Roman"/>
                <w:szCs w:val="20"/>
                <w:lang w:eastAsia="en-US"/>
              </w:rPr>
            </w:pPr>
            <w:r>
              <w:rPr>
                <w:rFonts w:ascii="PT Astra Serif" w:hAnsi="PT Astra Serif" w:eastAsia="Calibri" w:cs="Times New Roman"/>
                <w:szCs w:val="20"/>
                <w:lang w:eastAsia="en-US"/>
              </w:rPr>
              <w:t xml:space="preserve">27,33</w:t>
            </w:r>
            <w:r>
              <w:rPr>
                <w:rFonts w:ascii="PT Astra Serif" w:hAnsi="PT Astra Serif" w:eastAsia="Calibri" w:cs="Times New Roman"/>
                <w:szCs w:val="20"/>
                <w:lang w:eastAsia="en-US"/>
              </w:rPr>
            </w:r>
            <w:r>
              <w:rPr>
                <w:rFonts w:ascii="PT Astra Serif" w:hAnsi="PT Astra Serif" w:eastAsia="Calibri" w:cs="Times New Roman"/>
                <w:szCs w:val="20"/>
                <w:lang w:eastAsia="en-US"/>
              </w:rPr>
            </w:r>
          </w:p>
        </w:tc>
        <w:tc>
          <w:tcPr>
            <w:shd w:val="clear" w:color="auto" w:fill="ffffff" w:themeFill="background1"/>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eastAsia="Calibri"/>
                <w:sz w:val="20"/>
                <w:szCs w:val="20"/>
                <w:lang w:eastAsia="ru-RU"/>
              </w:rPr>
            </w:pPr>
            <w:r>
              <w:rPr>
                <w:rFonts w:ascii="PT Astra Serif" w:hAnsi="PT Astra Serif" w:eastAsia="Calibri"/>
                <w:sz w:val="20"/>
                <w:szCs w:val="20"/>
                <w:lang w:eastAsia="ru-RU"/>
              </w:rPr>
              <w:t xml:space="preserve">В 2023 год</w:t>
            </w:r>
            <w:r>
              <w:rPr>
                <w:rFonts w:ascii="PT Astra Serif" w:hAnsi="PT Astra Serif" w:eastAsia="Calibri"/>
                <w:sz w:val="20"/>
                <w:szCs w:val="20"/>
                <w:lang w:eastAsia="ru-RU"/>
              </w:rPr>
              <w:t xml:space="preserve">у</w:t>
            </w:r>
            <w:r>
              <w:rPr>
                <w:rFonts w:ascii="PT Astra Serif" w:hAnsi="PT Astra Serif" w:eastAsia="Calibri"/>
                <w:sz w:val="20"/>
                <w:szCs w:val="20"/>
                <w:lang w:eastAsia="ru-RU"/>
              </w:rPr>
              <w:t xml:space="preserve"> значение показателя составило 28,84%. Прогнозный показатель на 202</w:t>
            </w:r>
            <w:r>
              <w:rPr>
                <w:rFonts w:ascii="PT Astra Serif" w:hAnsi="PT Astra Serif" w:eastAsia="Calibri"/>
                <w:sz w:val="20"/>
                <w:szCs w:val="20"/>
                <w:lang w:eastAsia="ru-RU"/>
              </w:rPr>
              <w:t xml:space="preserve">4 год установлен не менее 28,70</w:t>
            </w:r>
            <w:r>
              <w:rPr>
                <w:rFonts w:ascii="PT Astra Serif" w:hAnsi="PT Astra Serif" w:eastAsia="Calibri"/>
                <w:sz w:val="20"/>
                <w:szCs w:val="20"/>
                <w:lang w:eastAsia="ru-RU"/>
              </w:rPr>
              <w:t xml:space="preserve">%. Показатель установлен с учетом прогноза миграционных потоков на текущий год. </w:t>
            </w:r>
            <w:r>
              <w:rPr>
                <w:rFonts w:ascii="PT Astra Serif" w:hAnsi="PT Astra Serif" w:eastAsia="Calibri"/>
                <w:sz w:val="20"/>
                <w:szCs w:val="20"/>
                <w:lang w:eastAsia="ru-RU"/>
              </w:rPr>
            </w:r>
            <w:r>
              <w:rPr>
                <w:rFonts w:ascii="PT Astra Serif" w:hAnsi="PT Astra Serif" w:eastAsia="Calibri"/>
                <w:sz w:val="20"/>
                <w:szCs w:val="20"/>
                <w:lang w:eastAsia="ru-RU"/>
              </w:rPr>
            </w:r>
          </w:p>
          <w:p>
            <w:pPr>
              <w:rPr>
                <w:rFonts w:ascii="PT Astra Serif" w:hAnsi="PT Astra Serif" w:eastAsia="Calibri"/>
                <w:sz w:val="20"/>
                <w:szCs w:val="20"/>
                <w:lang w:eastAsia="ru-RU"/>
              </w:rPr>
            </w:pPr>
            <w:r>
              <w:rPr>
                <w:rFonts w:ascii="PT Astra Serif" w:hAnsi="PT Astra Serif" w:eastAsia="Calibri"/>
                <w:sz w:val="20"/>
                <w:szCs w:val="20"/>
                <w:lang w:eastAsia="ru-RU"/>
              </w:rPr>
              <w:t xml:space="preserve">В 2024 году о</w:t>
            </w:r>
            <w:r>
              <w:rPr>
                <w:rFonts w:ascii="PT Astra Serif" w:hAnsi="PT Astra Serif" w:eastAsia="Calibri"/>
                <w:sz w:val="20"/>
                <w:szCs w:val="20"/>
                <w:lang w:eastAsia="ru-RU"/>
              </w:rPr>
              <w:t xml:space="preserve">жидается достижение показателя</w:t>
            </w:r>
            <w:r>
              <w:rPr>
                <w:rFonts w:ascii="PT Astra Serif" w:hAnsi="PT Astra Serif" w:eastAsia="Calibri"/>
                <w:sz w:val="20"/>
                <w:szCs w:val="20"/>
                <w:lang w:eastAsia="ru-RU"/>
              </w:rPr>
            </w:r>
            <w:r>
              <w:rPr>
                <w:rFonts w:ascii="PT Astra Serif" w:hAnsi="PT Astra Serif" w:eastAsia="Calibri"/>
                <w:sz w:val="20"/>
                <w:szCs w:val="20"/>
                <w:lang w:eastAsia="ru-RU"/>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Задача 4.2. Содействовать повышению эффективности транспортной системы и информационно-коммуникационной </w:t>
            </w:r>
            <w:r>
              <w:rPr>
                <w:rFonts w:ascii="PT Astra Serif" w:hAnsi="PT Astra Serif"/>
                <w:sz w:val="20"/>
                <w:szCs w:val="20"/>
              </w:rPr>
              <w:t xml:space="preserve">инфраструктуры Томской области </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Доля дорожной сети в городских агломерациях, находящихся в нормативном состоянии, % </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76,60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76,06</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85,00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В 2023 году значение показате</w:t>
            </w:r>
            <w:r>
              <w:rPr>
                <w:rFonts w:ascii="PT Astra Serif" w:hAnsi="PT Astra Serif"/>
                <w:szCs w:val="20"/>
                <w:lang w:eastAsia="en-US"/>
              </w:rPr>
              <w:t xml:space="preserve">ля увеличилось на 3,77 процентного</w:t>
            </w:r>
            <w:r>
              <w:rPr>
                <w:rFonts w:ascii="PT Astra Serif" w:hAnsi="PT Astra Serif"/>
                <w:szCs w:val="20"/>
                <w:lang w:eastAsia="en-US"/>
              </w:rPr>
              <w:t xml:space="preserve"> пункта</w:t>
            </w:r>
            <w:r>
              <w:rPr>
                <w:rFonts w:ascii="PT Astra Serif" w:hAnsi="PT Astra Serif"/>
                <w:strike/>
                <w:szCs w:val="20"/>
                <w:lang w:eastAsia="en-US"/>
              </w:rPr>
              <w:t xml:space="preserve"> </w:t>
            </w:r>
            <w:r>
              <w:rPr>
                <w:rFonts w:ascii="PT Astra Serif" w:hAnsi="PT Astra Serif"/>
                <w:szCs w:val="20"/>
                <w:lang w:eastAsia="en-US"/>
              </w:rPr>
              <w:t xml:space="preserve">составило 76,60%.</w:t>
            </w:r>
            <w:r>
              <w:rPr>
                <w:rFonts w:ascii="PT Astra Serif" w:hAnsi="PT Astra Serif"/>
                <w:szCs w:val="20"/>
                <w:lang w:eastAsia="en-US"/>
              </w:rPr>
            </w:r>
            <w:r>
              <w:rPr>
                <w:rFonts w:ascii="PT Astra Serif" w:hAnsi="PT Astra Serif"/>
                <w:szCs w:val="20"/>
                <w:lang w:eastAsia="en-US"/>
              </w:rPr>
            </w:r>
          </w:p>
          <w:p>
            <w:pPr>
              <w:pStyle w:val="1166"/>
              <w:rPr>
                <w:rFonts w:ascii="PT Astra Serif" w:hAnsi="PT Astra Serif"/>
                <w:szCs w:val="20"/>
                <w:lang w:eastAsia="en-US"/>
              </w:rPr>
            </w:pPr>
            <w:r>
              <w:rPr>
                <w:rFonts w:ascii="PT Astra Serif" w:hAnsi="PT Astra Serif"/>
                <w:szCs w:val="20"/>
                <w:lang w:eastAsia="en-US"/>
              </w:rPr>
              <w:t xml:space="preserve">По оценке Департамента транспорта, дорожной деятельности и связи Томской области</w:t>
            </w:r>
            <w:r>
              <w:rPr>
                <w:rFonts w:ascii="PT Astra Serif" w:hAnsi="PT Astra Serif"/>
                <w:szCs w:val="20"/>
                <w:lang w:eastAsia="en-US"/>
              </w:rPr>
              <w:t xml:space="preserve">,</w:t>
            </w:r>
            <w:r>
              <w:rPr>
                <w:rFonts w:ascii="PT Astra Serif" w:hAnsi="PT Astra Serif"/>
                <w:szCs w:val="20"/>
                <w:lang w:eastAsia="en-US"/>
              </w:rPr>
              <w:t xml:space="preserve"> по итогам 2024 года ожидается снижение значения показателя до 76,06%. Низкая динамика показателя связана с выбытием из нормативного состояния ранее отремонтированных дорог и недостаточным объемом финансирования на ремонт </w:t>
            </w:r>
            <w:r>
              <w:rPr>
                <w:rFonts w:ascii="PT Astra Serif" w:hAnsi="PT Astra Serif"/>
                <w:szCs w:val="20"/>
                <w:lang w:eastAsia="en-US"/>
              </w:rPr>
              <w:t xml:space="preserve">дорог агломерации в границах МО </w:t>
            </w:r>
            <w:r>
              <w:rPr>
                <w:rFonts w:ascii="PT Astra Serif" w:hAnsi="PT Astra Serif"/>
                <w:szCs w:val="20"/>
                <w:lang w:eastAsia="en-US"/>
              </w:rPr>
              <w:t xml:space="preserve">«Город Томск»</w:t>
            </w:r>
            <w:r>
              <w:rPr>
                <w:rFonts w:ascii="PT Astra Serif" w:hAnsi="PT Astra Serif"/>
                <w:szCs w:val="20"/>
                <w:lang w:eastAsia="en-US"/>
              </w:rPr>
            </w:r>
            <w:r>
              <w:rPr>
                <w:rFonts w:ascii="PT Astra Serif" w:hAnsi="PT Astra Serif"/>
                <w:szCs w:val="20"/>
                <w:lang w:eastAsia="en-US"/>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Объем пассажиропотока авиасообщения Томской области, тыс. пассажиров </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599,00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650,00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808,17</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pStyle w:val="1166"/>
              <w:rPr>
                <w:rFonts w:ascii="PT Astra Serif" w:hAnsi="PT Astra Serif"/>
                <w:bCs/>
                <w:szCs w:val="20"/>
                <w:lang w:eastAsia="en-US"/>
              </w:rPr>
            </w:pPr>
            <w:r>
              <w:rPr>
                <w:rFonts w:ascii="PT Astra Serif" w:hAnsi="PT Astra Serif"/>
                <w:szCs w:val="20"/>
                <w:lang w:eastAsia="en-US"/>
              </w:rPr>
              <w:t xml:space="preserve">Показатель в 2023 году составил 599 тыс. пассажиров. Увеличение пассажиропотока на 58,3 тыс. пассажиров связано с</w:t>
            </w:r>
            <w:r>
              <w:rPr>
                <w:rFonts w:ascii="PT Astra Serif" w:hAnsi="PT Astra Serif" w:eastAsiaTheme="minorHAnsi"/>
                <w:bCs/>
                <w:szCs w:val="20"/>
                <w:lang w:eastAsia="en-US"/>
              </w:rPr>
              <w:t xml:space="preserve"> </w:t>
            </w:r>
            <w:r>
              <w:rPr>
                <w:rFonts w:ascii="PT Astra Serif" w:hAnsi="PT Astra Serif"/>
                <w:bCs/>
                <w:szCs w:val="20"/>
                <w:lang w:eastAsia="en-US"/>
              </w:rPr>
              <w:t xml:space="preserve">работой по формированию в течение последних лет оптимальной маршрутной сети.</w:t>
            </w:r>
            <w:r>
              <w:rPr>
                <w:rFonts w:ascii="PT Astra Serif" w:hAnsi="PT Astra Serif"/>
                <w:bCs/>
                <w:szCs w:val="20"/>
                <w:lang w:eastAsia="en-US"/>
              </w:rPr>
            </w:r>
            <w:r>
              <w:rPr>
                <w:rFonts w:ascii="PT Astra Serif" w:hAnsi="PT Astra Serif"/>
                <w:bCs/>
                <w:szCs w:val="20"/>
                <w:lang w:eastAsia="en-US"/>
              </w:rPr>
            </w:r>
          </w:p>
          <w:p>
            <w:pPr>
              <w:pStyle w:val="1166"/>
              <w:rPr>
                <w:rFonts w:ascii="PT Astra Serif" w:hAnsi="PT Astra Serif"/>
                <w:szCs w:val="20"/>
                <w:lang w:eastAsia="en-US"/>
              </w:rPr>
            </w:pPr>
            <w:r>
              <w:rPr>
                <w:rFonts w:ascii="PT Astra Serif" w:hAnsi="PT Astra Serif"/>
                <w:szCs w:val="20"/>
                <w:lang w:eastAsia="en-US"/>
              </w:rPr>
              <w:t xml:space="preserve">По итога</w:t>
            </w:r>
            <w:r>
              <w:rPr>
                <w:rFonts w:ascii="PT Astra Serif" w:hAnsi="PT Astra Serif"/>
                <w:szCs w:val="20"/>
                <w:lang w:eastAsia="en-US"/>
              </w:rPr>
              <w:t xml:space="preserve">м 2024 года ожидается, что объем пассажиропотока авиасообщения Томской области составит 650 тыс. пассажиров. Существуют риски недостижения целевого показателя с учетом сложившейся экономической ситуации, ограничением полетов на южные направления и ограниче</w:t>
            </w:r>
            <w:r>
              <w:rPr>
                <w:rFonts w:ascii="PT Astra Serif" w:hAnsi="PT Astra Serif"/>
                <w:szCs w:val="20"/>
                <w:lang w:eastAsia="en-US"/>
              </w:rPr>
              <w:t xml:space="preserve">нием количества воздушных судов</w:t>
            </w:r>
            <w:r>
              <w:rPr>
                <w:rFonts w:ascii="PT Astra Serif" w:hAnsi="PT Astra Serif"/>
                <w:szCs w:val="20"/>
                <w:lang w:eastAsia="en-US"/>
              </w:rPr>
            </w:r>
            <w:r>
              <w:rPr>
                <w:rFonts w:ascii="PT Astra Serif" w:hAnsi="PT Astra Serif"/>
                <w:szCs w:val="20"/>
                <w:lang w:eastAsia="en-US"/>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Задача 4.3. Обеспечить модернизацию и развитие коммунальной инфраструктуры, в том числе повысить энергоэффективность в Томской области </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Количество аварий в системах теплоснабжения, водоснабжения и очистки сточных вод, ед. </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32,00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51,00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129,00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eastAsia="Calibri"/>
                <w:sz w:val="20"/>
                <w:szCs w:val="20"/>
                <w:lang w:eastAsia="ru-RU"/>
              </w:rPr>
            </w:pPr>
            <w:r>
              <w:rPr>
                <w:rFonts w:ascii="PT Astra Serif" w:hAnsi="PT Astra Serif" w:eastAsia="Calibri"/>
                <w:sz w:val="20"/>
                <w:szCs w:val="20"/>
                <w:lang w:eastAsia="ru-RU"/>
              </w:rPr>
              <w:t xml:space="preserve">Значение показателя по сравнению с 2022 год</w:t>
            </w:r>
            <w:r>
              <w:rPr>
                <w:rFonts w:ascii="PT Astra Serif" w:hAnsi="PT Astra Serif" w:eastAsia="Calibri"/>
                <w:sz w:val="20"/>
                <w:szCs w:val="20"/>
                <w:lang w:eastAsia="ru-RU"/>
              </w:rPr>
              <w:t xml:space="preserve">ом</w:t>
            </w:r>
            <w:r>
              <w:rPr>
                <w:rFonts w:ascii="PT Astra Serif" w:hAnsi="PT Astra Serif" w:eastAsia="Calibri"/>
                <w:sz w:val="20"/>
                <w:szCs w:val="20"/>
                <w:lang w:eastAsia="ru-RU"/>
              </w:rPr>
              <w:t xml:space="preserve"> снизилось на 23 е</w:t>
            </w:r>
            <w:r>
              <w:rPr>
                <w:rFonts w:ascii="PT Astra Serif" w:hAnsi="PT Astra Serif" w:eastAsia="Calibri"/>
                <w:sz w:val="20"/>
                <w:szCs w:val="20"/>
                <w:lang w:eastAsia="ru-RU"/>
              </w:rPr>
              <w:t xml:space="preserve">д.</w:t>
            </w:r>
            <w:r>
              <w:rPr>
                <w:rFonts w:ascii="PT Astra Serif" w:hAnsi="PT Astra Serif" w:eastAsia="Calibri"/>
                <w:sz w:val="20"/>
                <w:szCs w:val="20"/>
                <w:lang w:eastAsia="ru-RU"/>
              </w:rPr>
              <w:t xml:space="preserve"> Снижению аварийности способствует система субсидирования затрат муниципальных образований на проведение капитальных ремонтов объектов коммунальной инфраструктуры. </w:t>
            </w:r>
            <w:r>
              <w:rPr>
                <w:rFonts w:ascii="PT Astra Serif" w:hAnsi="PT Astra Serif" w:eastAsia="Calibri"/>
                <w:sz w:val="20"/>
                <w:szCs w:val="20"/>
                <w:lang w:eastAsia="ru-RU"/>
              </w:rPr>
            </w:r>
            <w:r>
              <w:rPr>
                <w:rFonts w:ascii="PT Astra Serif" w:hAnsi="PT Astra Serif" w:eastAsia="Calibri"/>
                <w:sz w:val="20"/>
                <w:szCs w:val="20"/>
                <w:lang w:eastAsia="ru-RU"/>
              </w:rPr>
            </w:r>
          </w:p>
          <w:p>
            <w:pPr>
              <w:rPr>
                <w:rFonts w:ascii="PT Astra Serif" w:hAnsi="PT Astra Serif" w:eastAsia="Calibri"/>
                <w:sz w:val="20"/>
                <w:szCs w:val="20"/>
                <w:lang w:eastAsia="ru-RU"/>
              </w:rPr>
            </w:pPr>
            <w:r>
              <w:rPr>
                <w:rFonts w:ascii="PT Astra Serif" w:hAnsi="PT Astra Serif"/>
                <w:sz w:val="20"/>
                <w:szCs w:val="20"/>
              </w:rPr>
              <w:t xml:space="preserve">Ф</w:t>
            </w:r>
            <w:r>
              <w:rPr>
                <w:rFonts w:ascii="PT Astra Serif" w:hAnsi="PT Astra Serif" w:eastAsia="Calibri"/>
                <w:sz w:val="20"/>
                <w:szCs w:val="20"/>
                <w:lang w:eastAsia="ru-RU"/>
              </w:rPr>
              <w:t xml:space="preserve">актическое</w:t>
            </w:r>
            <w:r>
              <w:rPr>
                <w:rFonts w:ascii="PT Astra Serif" w:hAnsi="PT Astra Serif" w:eastAsia="Calibri"/>
                <w:sz w:val="20"/>
                <w:szCs w:val="20"/>
                <w:lang w:eastAsia="ru-RU"/>
              </w:rPr>
              <w:t xml:space="preserve"> значение показателя указано на основании данных системы мониторинга и контроля устранения аварий и инцидентов в сфере ЖКХ, в которую вносятся аварии и инциденты согласно методическим рекомендациям Минстроя России в зависимости от продолжительности события</w:t>
            </w:r>
            <w:r>
              <w:rPr>
                <w:rFonts w:ascii="PT Astra Serif" w:hAnsi="PT Astra Serif" w:eastAsia="Calibri"/>
                <w:sz w:val="20"/>
                <w:szCs w:val="20"/>
                <w:lang w:eastAsia="ru-RU"/>
              </w:rPr>
              <w:t xml:space="preserve">, в то время как планирование целевых значений происходит на основе статистических данных предыдущих лет, которые учитывают все аварии и инциденты, произошедшие на территории Томской области. В связи с этим ожидаются риски недостижения показателя 2024 году</w:t>
            </w:r>
            <w:r>
              <w:rPr>
                <w:rFonts w:ascii="PT Astra Serif" w:hAnsi="PT Astra Serif" w:eastAsia="Calibri"/>
                <w:sz w:val="20"/>
                <w:szCs w:val="20"/>
                <w:lang w:eastAsia="ru-RU"/>
              </w:rPr>
            </w:r>
            <w:r>
              <w:rPr>
                <w:rFonts w:ascii="PT Astra Serif" w:hAnsi="PT Astra Serif" w:eastAsia="Calibri"/>
                <w:sz w:val="20"/>
                <w:szCs w:val="20"/>
                <w:lang w:eastAsia="ru-RU"/>
              </w:rPr>
            </w:r>
          </w:p>
          <w:p>
            <w:pPr>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c>
          <w:tcPr>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Уровень газификации природным газом жилищного фонда Томской области, подлежащего газификации, % </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48,50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50,00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44,00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sz w:val="20"/>
                <w:szCs w:val="20"/>
              </w:rPr>
            </w:pPr>
            <w:r>
              <w:rPr>
                <w:rFonts w:ascii="PT Astra Serif" w:hAnsi="PT Astra Serif"/>
                <w:sz w:val="20"/>
                <w:szCs w:val="20"/>
              </w:rPr>
              <w:t xml:space="preserve">Значение показателя в 2023 году по прогнозным значениям увеличилось на 1,5 процентн</w:t>
            </w:r>
            <w:r>
              <w:rPr>
                <w:rFonts w:ascii="PT Astra Serif" w:hAnsi="PT Astra Serif"/>
                <w:sz w:val="20"/>
                <w:szCs w:val="20"/>
              </w:rPr>
              <w:t xml:space="preserve">ого</w:t>
            </w:r>
            <w:r>
              <w:rPr>
                <w:rFonts w:ascii="PT Astra Serif" w:hAnsi="PT Astra Serif"/>
                <w:sz w:val="20"/>
                <w:szCs w:val="20"/>
              </w:rPr>
              <w:t xml:space="preserve"> пункта и составило 48,5%. Прирост числа абонентов </w:t>
            </w:r>
            <w:r>
              <w:rPr>
                <w:rFonts w:ascii="PT Astra Serif" w:hAnsi="PT Astra Serif"/>
                <w:sz w:val="20"/>
                <w:szCs w:val="20"/>
              </w:rPr>
              <w:t xml:space="preserve">–</w:t>
            </w:r>
            <w:r>
              <w:rPr>
                <w:rFonts w:ascii="PT Astra Serif" w:hAnsi="PT Astra Serif"/>
                <w:sz w:val="20"/>
                <w:szCs w:val="20"/>
              </w:rPr>
              <w:t xml:space="preserve"> физических лиц, использующих природный газ для бытовых нужд, за год составил 3 218 абонент</w:t>
            </w:r>
            <w:r>
              <w:rPr>
                <w:rFonts w:ascii="PT Astra Serif" w:hAnsi="PT Astra Serif"/>
                <w:sz w:val="20"/>
                <w:szCs w:val="20"/>
              </w:rPr>
              <w:t xml:space="preserve">ов</w:t>
            </w:r>
            <w:r>
              <w:rPr>
                <w:rFonts w:ascii="PT Astra Serif" w:hAnsi="PT Astra Serif"/>
                <w:sz w:val="20"/>
                <w:szCs w:val="20"/>
              </w:rPr>
              <w:t xml:space="preserve"> (53 112 абонент</w:t>
            </w:r>
            <w:r>
              <w:rPr>
                <w:rFonts w:ascii="PT Astra Serif" w:hAnsi="PT Astra Serif"/>
                <w:sz w:val="20"/>
                <w:szCs w:val="20"/>
              </w:rPr>
              <w:t xml:space="preserve">ов</w:t>
            </w:r>
            <w:r>
              <w:rPr>
                <w:rFonts w:ascii="PT Astra Serif" w:hAnsi="PT Astra Serif"/>
                <w:sz w:val="20"/>
                <w:szCs w:val="20"/>
              </w:rPr>
              <w:t xml:space="preserve">).</w:t>
            </w:r>
            <w:r>
              <w:rPr>
                <w:rFonts w:ascii="PT Astra Serif" w:hAnsi="PT Astra Serif"/>
                <w:sz w:val="20"/>
                <w:szCs w:val="20"/>
              </w:rPr>
            </w:r>
            <w:r>
              <w:rPr>
                <w:rFonts w:ascii="PT Astra Serif" w:hAnsi="PT Astra Serif"/>
                <w:sz w:val="20"/>
                <w:szCs w:val="20"/>
              </w:rPr>
            </w:r>
          </w:p>
          <w:p>
            <w:pPr>
              <w:rPr>
                <w:rFonts w:ascii="PT Astra Serif" w:hAnsi="PT Astra Serif"/>
                <w:sz w:val="20"/>
                <w:szCs w:val="20"/>
              </w:rPr>
            </w:pPr>
            <w:r>
              <w:rPr>
                <w:rFonts w:ascii="PT Astra Serif" w:hAnsi="PT Astra Serif"/>
                <w:sz w:val="20"/>
                <w:szCs w:val="20"/>
              </w:rPr>
              <w:t xml:space="preserve">Для обеспечения технической возможности</w:t>
            </w:r>
            <w:r>
              <w:rPr>
                <w:rFonts w:ascii="PT Astra Serif" w:hAnsi="PT Astra Serif"/>
                <w:sz w:val="20"/>
                <w:szCs w:val="20"/>
              </w:rPr>
              <w:t xml:space="preserve"> подключения к сети газоснабжения за 2023 год построено более 500 км распределительных газопроводов и газопроводов-вводов. В 2023 году завершился муниципальный контракт на строительство первого этапа сетей газоснабжения протяженностью 17,9 км в с. Зырянско</w:t>
            </w:r>
            <w:r>
              <w:rPr>
                <w:rFonts w:ascii="PT Astra Serif" w:hAnsi="PT Astra Serif"/>
                <w:sz w:val="20"/>
                <w:szCs w:val="20"/>
              </w:rPr>
              <w:t xml:space="preserve">м</w:t>
            </w:r>
            <w:r>
              <w:rPr>
                <w:rFonts w:ascii="PT Astra Serif" w:hAnsi="PT Astra Serif"/>
                <w:sz w:val="20"/>
                <w:szCs w:val="20"/>
              </w:rPr>
              <w:t xml:space="preserve">, 257 домовладений получили возможность использовать природный газ для бытовых нужд.</w:t>
            </w:r>
            <w:r>
              <w:rPr>
                <w:rFonts w:ascii="PT Astra Serif" w:hAnsi="PT Astra Serif"/>
                <w:sz w:val="20"/>
                <w:szCs w:val="20"/>
              </w:rPr>
            </w:r>
            <w:r>
              <w:rPr>
                <w:rFonts w:ascii="PT Astra Serif" w:hAnsi="PT Astra Serif"/>
                <w:sz w:val="20"/>
                <w:szCs w:val="20"/>
              </w:rPr>
            </w:r>
          </w:p>
          <w:p>
            <w:pPr>
              <w:rPr>
                <w:rFonts w:ascii="PT Astra Serif" w:hAnsi="PT Astra Serif"/>
                <w:sz w:val="20"/>
                <w:szCs w:val="20"/>
              </w:rPr>
            </w:pPr>
            <w:r>
              <w:rPr>
                <w:rFonts w:ascii="PT Astra Serif" w:hAnsi="PT Astra Serif"/>
                <w:sz w:val="20"/>
                <w:szCs w:val="20"/>
              </w:rPr>
              <w:t xml:space="preserve">В 2024 году </w:t>
            </w:r>
            <w:r>
              <w:rPr>
                <w:rFonts w:ascii="PT Astra Serif" w:hAnsi="PT Astra Serif"/>
                <w:sz w:val="20"/>
                <w:szCs w:val="20"/>
              </w:rPr>
              <w:t xml:space="preserve">ожидается достижение показателя</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Удельный расход топлива на отпущенную электрическую энергию объектами, функционирующими в режиме комбинированной выработки электрической и тепловой энергии, г.у.т/кВт x ч </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ind w:firstLine="34"/>
              <w:jc w:val="center"/>
              <w:rPr>
                <w:rFonts w:ascii="PT Astra Serif" w:hAnsi="PT Astra Serif"/>
                <w:sz w:val="20"/>
                <w:szCs w:val="20"/>
              </w:rPr>
            </w:pPr>
            <w:r>
              <w:rPr>
                <w:rFonts w:ascii="PT Astra Serif" w:hAnsi="PT Astra Serif"/>
                <w:sz w:val="20"/>
                <w:szCs w:val="20"/>
              </w:rPr>
              <w:t xml:space="preserve">320,38</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firstLine="34"/>
              <w:jc w:val="center"/>
              <w:rPr>
                <w:rFonts w:ascii="PT Astra Serif" w:hAnsi="PT Astra Serif"/>
                <w:sz w:val="20"/>
                <w:szCs w:val="20"/>
              </w:rPr>
            </w:pPr>
            <w:r>
              <w:rPr>
                <w:rFonts w:ascii="PT Astra Serif" w:hAnsi="PT Astra Serif"/>
                <w:sz w:val="20"/>
                <w:szCs w:val="20"/>
              </w:rPr>
              <w:t xml:space="preserve">328,30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ind w:firstLine="34"/>
              <w:jc w:val="center"/>
              <w:rPr>
                <w:rFonts w:ascii="PT Astra Serif" w:hAnsi="PT Astra Serif"/>
                <w:sz w:val="20"/>
                <w:szCs w:val="20"/>
              </w:rPr>
            </w:pPr>
            <w:r>
              <w:rPr>
                <w:rFonts w:ascii="PT Astra Serif" w:hAnsi="PT Astra Serif"/>
                <w:sz w:val="20"/>
                <w:szCs w:val="20"/>
              </w:rPr>
              <w:t xml:space="preserve">328,30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sz w:val="20"/>
                <w:szCs w:val="20"/>
                <w:lang w:eastAsia="ru-RU"/>
              </w:rPr>
            </w:pPr>
            <w:r>
              <w:rPr>
                <w:rFonts w:ascii="PT Astra Serif" w:hAnsi="PT Astra Serif"/>
                <w:sz w:val="20"/>
                <w:szCs w:val="20"/>
                <w:lang w:eastAsia="ru-RU"/>
              </w:rPr>
              <w:t xml:space="preserve">По сравнению с 2022 годом значение показателя </w:t>
            </w:r>
            <w:r>
              <w:rPr>
                <w:rFonts w:ascii="PT Astra Serif" w:hAnsi="PT Astra Serif"/>
                <w:sz w:val="20"/>
                <w:szCs w:val="20"/>
                <w:lang w:eastAsia="ru-RU"/>
              </w:rPr>
              <w:t xml:space="preserve">отражает </w:t>
            </w:r>
            <w:r>
              <w:rPr>
                <w:rFonts w:ascii="PT Astra Serif" w:hAnsi="PT Astra Serif"/>
                <w:sz w:val="20"/>
                <w:szCs w:val="20"/>
                <w:lang w:eastAsia="ru-RU"/>
              </w:rPr>
              <w:t xml:space="preserve">положительную динамику и обусловлено </w:t>
            </w:r>
            <w:r>
              <w:rPr>
                <w:rFonts w:ascii="PT Astra Serif" w:hAnsi="PT Astra Serif"/>
                <w:sz w:val="20"/>
                <w:szCs w:val="20"/>
                <w:lang w:eastAsia="ru-RU"/>
              </w:rPr>
              <w:t xml:space="preserve">проведением </w:t>
            </w:r>
            <w:r>
              <w:rPr>
                <w:rFonts w:ascii="PT Astra Serif" w:hAnsi="PT Astra Serif"/>
                <w:sz w:val="20"/>
                <w:szCs w:val="20"/>
                <w:lang w:eastAsia="ru-RU"/>
              </w:rPr>
              <w:t xml:space="preserve">энергосберегающих мероприятий и применением энергоэффективных технологий, а также рационализации баланса топливных ресурсов за счет разработки и внедрения новых технологий и модернизации оборудования.</w:t>
            </w:r>
            <w:r>
              <w:rPr>
                <w:rFonts w:ascii="PT Astra Serif" w:hAnsi="PT Astra Serif"/>
                <w:sz w:val="20"/>
                <w:szCs w:val="20"/>
                <w:lang w:eastAsia="ru-RU"/>
              </w:rPr>
            </w:r>
            <w:r>
              <w:rPr>
                <w:rFonts w:ascii="PT Astra Serif" w:hAnsi="PT Astra Serif"/>
                <w:sz w:val="20"/>
                <w:szCs w:val="20"/>
                <w:lang w:eastAsia="ru-RU"/>
              </w:rPr>
            </w:r>
          </w:p>
          <w:p>
            <w:pPr>
              <w:rPr>
                <w:rFonts w:ascii="PT Astra Serif" w:hAnsi="PT Astra Serif"/>
                <w:sz w:val="20"/>
                <w:szCs w:val="20"/>
                <w:lang w:eastAsia="ru-RU"/>
              </w:rPr>
            </w:pPr>
            <w:r>
              <w:rPr>
                <w:rFonts w:ascii="PT Astra Serif" w:hAnsi="PT Astra Serif"/>
                <w:sz w:val="20"/>
                <w:szCs w:val="20"/>
              </w:rPr>
              <w:t xml:space="preserve">В рамках соглашения о сотрудничестве по вопросам развития электро- и теплоэнергетики на территории Томской области, заключенного между Администрацие</w:t>
            </w:r>
            <w:r>
              <w:rPr>
                <w:rFonts w:ascii="PT Astra Serif" w:hAnsi="PT Astra Serif"/>
                <w:sz w:val="20"/>
                <w:szCs w:val="20"/>
              </w:rPr>
              <w:t xml:space="preserve">й Томской области и АО «Объедине</w:t>
            </w:r>
            <w:r>
              <w:rPr>
                <w:rFonts w:ascii="PT Astra Serif" w:hAnsi="PT Astra Serif"/>
                <w:sz w:val="20"/>
                <w:szCs w:val="20"/>
              </w:rPr>
              <w:t xml:space="preserve">нная теплоэнергетическая компания»</w:t>
            </w:r>
            <w:r>
              <w:rPr>
                <w:rFonts w:ascii="PT Astra Serif" w:hAnsi="PT Astra Serif"/>
                <w:sz w:val="20"/>
                <w:szCs w:val="20"/>
              </w:rPr>
              <w:t xml:space="preserve">,</w:t>
            </w:r>
            <w:r>
              <w:rPr>
                <w:rFonts w:ascii="PT Astra Serif" w:hAnsi="PT Astra Serif"/>
                <w:sz w:val="20"/>
                <w:szCs w:val="20"/>
                <w:lang w:eastAsia="ru-RU"/>
              </w:rPr>
              <w:t xml:space="preserve"> </w:t>
            </w:r>
            <w:r>
              <w:rPr>
                <w:rFonts w:ascii="PT Astra Serif" w:hAnsi="PT Astra Serif"/>
                <w:sz w:val="20"/>
                <w:szCs w:val="20"/>
              </w:rPr>
              <w:t xml:space="preserve">проводятся мероприятия по модернизации основного оборудования ТЭЦ СХК филиала  АО «РИР» в г. Северске.</w:t>
            </w:r>
            <w:r>
              <w:rPr>
                <w:rFonts w:ascii="PT Astra Serif" w:hAnsi="PT Astra Serif"/>
                <w:sz w:val="20"/>
                <w:szCs w:val="20"/>
                <w:lang w:eastAsia="ru-RU"/>
              </w:rPr>
            </w:r>
            <w:r>
              <w:rPr>
                <w:rFonts w:ascii="PT Astra Serif" w:hAnsi="PT Astra Serif"/>
                <w:sz w:val="20"/>
                <w:szCs w:val="20"/>
                <w:lang w:eastAsia="ru-RU"/>
              </w:rPr>
            </w:r>
          </w:p>
          <w:p>
            <w:pPr>
              <w:rPr>
                <w:rFonts w:ascii="PT Astra Serif" w:hAnsi="PT Astra Serif"/>
                <w:sz w:val="20"/>
                <w:szCs w:val="20"/>
              </w:rPr>
            </w:pPr>
            <w:r>
              <w:rPr>
                <w:rFonts w:ascii="PT Astra Serif" w:hAnsi="PT Astra Serif"/>
                <w:sz w:val="20"/>
                <w:szCs w:val="20"/>
              </w:rPr>
              <w:t xml:space="preserve">В котельном цехе смонтировано около 90% оборудования котлоагрегата № 13, который планируется ввести в эксплуатацию в 2024 году. Готовы помещения под компл</w:t>
            </w:r>
            <w:r>
              <w:rPr>
                <w:rFonts w:ascii="PT Astra Serif" w:hAnsi="PT Astra Serif"/>
                <w:sz w:val="20"/>
                <w:szCs w:val="20"/>
              </w:rPr>
              <w:t xml:space="preserve">ексное распределительное устройство и систему автоматизированного управления, демонтировано 30% оборудования котлоагрегата № 12, начата частичная реконструкция восьми котлоагрегатов второй очереди, подразумевающая установку современной системы пылепитания.</w:t>
            </w:r>
            <w:r>
              <w:rPr>
                <w:rFonts w:ascii="PT Astra Serif" w:hAnsi="PT Astra Serif"/>
                <w:sz w:val="20"/>
                <w:szCs w:val="20"/>
              </w:rPr>
            </w:r>
            <w:r>
              <w:rPr>
                <w:rFonts w:ascii="PT Astra Serif" w:hAnsi="PT Astra Serif"/>
                <w:sz w:val="20"/>
                <w:szCs w:val="20"/>
              </w:rPr>
            </w:r>
          </w:p>
          <w:p>
            <w:pPr>
              <w:pStyle w:val="1166"/>
              <w:rPr>
                <w:rFonts w:ascii="PT Astra Serif" w:hAnsi="PT Astra Serif"/>
                <w:szCs w:val="20"/>
                <w:lang w:eastAsia="en-US"/>
              </w:rPr>
            </w:pPr>
            <w:r>
              <w:rPr>
                <w:rFonts w:ascii="PT Astra Serif" w:hAnsi="PT Astra Serif"/>
                <w:szCs w:val="20"/>
                <w:lang w:eastAsia="en-US"/>
              </w:rPr>
              <w:t xml:space="preserve">Риски недостижения пок</w:t>
            </w:r>
            <w:r>
              <w:rPr>
                <w:rFonts w:ascii="PT Astra Serif" w:hAnsi="PT Astra Serif"/>
                <w:szCs w:val="20"/>
                <w:lang w:eastAsia="en-US"/>
              </w:rPr>
              <w:t xml:space="preserve">азателя в 2024 году отсутствуют</w:t>
            </w:r>
            <w:r>
              <w:rPr>
                <w:rFonts w:ascii="PT Astra Serif" w:hAnsi="PT Astra Serif"/>
                <w:szCs w:val="20"/>
                <w:lang w:eastAsia="en-US"/>
              </w:rPr>
            </w:r>
            <w:r>
              <w:rPr>
                <w:rFonts w:ascii="PT Astra Serif" w:hAnsi="PT Astra Serif"/>
                <w:szCs w:val="20"/>
                <w:lang w:eastAsia="en-US"/>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Цель 5. Эффективное управление регионом и цифровая трансформация</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Доля населения, удовлетворенного деятельностью государственных органов исполнительной власти региона, % от числа опрошенных </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ind w:left="-74"/>
              <w:jc w:val="center"/>
              <w:rPr>
                <w:rFonts w:ascii="PT Astra Serif" w:hAnsi="PT Astra Serif"/>
                <w:szCs w:val="20"/>
                <w:lang w:eastAsia="en-US"/>
              </w:rPr>
            </w:pPr>
            <w:r>
              <w:rPr>
                <w:rFonts w:ascii="PT Astra Serif" w:hAnsi="PT Astra Serif"/>
                <w:szCs w:val="20"/>
                <w:lang w:eastAsia="en-US"/>
              </w:rPr>
              <w:t xml:space="preserve">-</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ind w:left="-74"/>
              <w:jc w:val="center"/>
              <w:rPr>
                <w:rFonts w:ascii="PT Astra Serif" w:hAnsi="PT Astra Serif"/>
                <w:szCs w:val="20"/>
                <w:lang w:eastAsia="en-US"/>
              </w:rPr>
            </w:pPr>
            <w:r>
              <w:rPr>
                <w:rFonts w:ascii="PT Astra Serif" w:hAnsi="PT Astra Serif"/>
                <w:szCs w:val="20"/>
                <w:lang w:eastAsia="en-US"/>
              </w:rPr>
              <w:t xml:space="preserve">Не менее 42</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ind w:left="-74"/>
              <w:jc w:val="center"/>
              <w:rPr>
                <w:rFonts w:ascii="PT Astra Serif" w:hAnsi="PT Astra Serif"/>
                <w:szCs w:val="20"/>
                <w:lang w:eastAsia="en-US"/>
              </w:rPr>
            </w:pPr>
            <w:r>
              <w:rPr>
                <w:rFonts w:ascii="PT Astra Serif" w:hAnsi="PT Astra Serif"/>
                <w:szCs w:val="20"/>
                <w:lang w:eastAsia="en-US"/>
              </w:rPr>
              <w:t xml:space="preserve">Не менее 42</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sz w:val="20"/>
                <w:szCs w:val="20"/>
              </w:rPr>
            </w:pPr>
            <w:r>
              <w:rPr>
                <w:rFonts w:ascii="PT Astra Serif" w:hAnsi="PT Astra Serif"/>
                <w:sz w:val="20"/>
                <w:szCs w:val="20"/>
              </w:rPr>
              <w:t xml:space="preserve">Расчет значения данного показателя в 2023 году не производился. Согласно плану достижения целей и задач  Стратегии социально-экономического развития Томской области до 2030 года оценка показателя з</w:t>
            </w:r>
            <w:r>
              <w:rPr>
                <w:rFonts w:ascii="PT Astra Serif" w:hAnsi="PT Astra Serif"/>
                <w:sz w:val="20"/>
                <w:szCs w:val="20"/>
              </w:rPr>
              <w:t xml:space="preserve">апланирована на 2024, 2030 годы</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Достижение «цифровой зрелости» ключевых отраслей экономики и социальной сферы, в том числе здравоохранения и образования, а также государственного управления, % </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ind w:left="-74"/>
              <w:jc w:val="center"/>
              <w:rPr>
                <w:rFonts w:ascii="PT Astra Serif" w:hAnsi="PT Astra Serif"/>
                <w:szCs w:val="20"/>
                <w:lang w:eastAsia="en-US"/>
              </w:rPr>
            </w:pPr>
            <w:r>
              <w:rPr>
                <w:rFonts w:ascii="PT Astra Serif" w:hAnsi="PT Astra Serif"/>
                <w:szCs w:val="20"/>
                <w:lang w:eastAsia="en-US"/>
              </w:rPr>
              <w:t xml:space="preserve">77,80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ind w:left="-74"/>
              <w:jc w:val="center"/>
              <w:rPr>
                <w:rFonts w:ascii="PT Astra Serif" w:hAnsi="PT Astra Serif"/>
                <w:szCs w:val="20"/>
                <w:lang w:eastAsia="en-US"/>
              </w:rPr>
            </w:pPr>
            <w:r>
              <w:rPr>
                <w:rFonts w:ascii="PT Astra Serif" w:hAnsi="PT Astra Serif"/>
                <w:szCs w:val="20"/>
                <w:lang w:eastAsia="en-US"/>
              </w:rPr>
              <w:t xml:space="preserve">77,80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ind w:left="-74"/>
              <w:jc w:val="center"/>
              <w:rPr>
                <w:rFonts w:ascii="PT Astra Serif" w:hAnsi="PT Astra Serif"/>
                <w:szCs w:val="20"/>
                <w:lang w:eastAsia="en-US"/>
              </w:rPr>
            </w:pPr>
            <w:r>
              <w:rPr>
                <w:rFonts w:ascii="PT Astra Serif" w:hAnsi="PT Astra Serif"/>
                <w:szCs w:val="20"/>
                <w:lang w:eastAsia="en-US"/>
              </w:rPr>
              <w:t xml:space="preserve">32,00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pStyle w:val="1149"/>
              <w:spacing w:before="0" w:beforeAutospacing="0" w:after="0" w:afterAutospacing="0"/>
              <w:rPr>
                <w:sz w:val="20"/>
                <w:szCs w:val="20"/>
                <w:lang w:eastAsia="en-US"/>
              </w:rPr>
            </w:pPr>
            <w:r>
              <w:rPr>
                <w:rFonts w:ascii="PT Astra Serif" w:hAnsi="PT Astra Serif"/>
                <w:sz w:val="20"/>
                <w:szCs w:val="20"/>
                <w:lang w:eastAsia="en-US"/>
              </w:rPr>
              <w:t xml:space="preserve">Значение показателя за 2023 год увеличилось на 11,1 процентн</w:t>
            </w:r>
            <w:r>
              <w:rPr>
                <w:rFonts w:ascii="PT Astra Serif" w:hAnsi="PT Astra Serif"/>
                <w:sz w:val="20"/>
                <w:szCs w:val="20"/>
                <w:lang w:eastAsia="en-US"/>
              </w:rPr>
              <w:t xml:space="preserve">ого</w:t>
            </w:r>
            <w:r>
              <w:rPr>
                <w:rFonts w:ascii="PT Astra Serif" w:hAnsi="PT Astra Serif"/>
                <w:sz w:val="20"/>
                <w:szCs w:val="20"/>
                <w:lang w:eastAsia="en-US"/>
              </w:rPr>
              <w:t xml:space="preserve"> пункт</w:t>
            </w:r>
            <w:r>
              <w:rPr>
                <w:rFonts w:ascii="PT Astra Serif" w:hAnsi="PT Astra Serif"/>
                <w:sz w:val="20"/>
                <w:szCs w:val="20"/>
                <w:lang w:eastAsia="en-US"/>
              </w:rPr>
              <w:t xml:space="preserve">а</w:t>
            </w:r>
            <w:r>
              <w:rPr>
                <w:rFonts w:ascii="PT Astra Serif" w:hAnsi="PT Astra Serif"/>
                <w:sz w:val="20"/>
                <w:szCs w:val="20"/>
                <w:lang w:eastAsia="en-US"/>
              </w:rPr>
              <w:t xml:space="preserve"> по сравнению с 2022 годом (66,7%) </w:t>
            </w:r>
            <w:r>
              <w:rPr>
                <w:sz w:val="20"/>
                <w:szCs w:val="20"/>
                <w:lang w:eastAsia="en-US"/>
              </w:rPr>
              <w:t xml:space="preserve">за счет роста значений по составляющим показателя отраслей «Здравоохранение», «Образование», «Городское хозяйство и строительство», «Общественный транспорт», «Государственно</w:t>
            </w:r>
            <w:r>
              <w:rPr>
                <w:sz w:val="20"/>
                <w:szCs w:val="20"/>
                <w:lang w:eastAsia="en-US"/>
              </w:rPr>
              <w:t xml:space="preserve">е управление</w:t>
            </w:r>
            <w:r>
              <w:rPr>
                <w:sz w:val="20"/>
                <w:szCs w:val="20"/>
                <w:lang w:eastAsia="en-US"/>
              </w:rPr>
              <w:t xml:space="preserve">».</w:t>
            </w:r>
            <w:r>
              <w:rPr>
                <w:sz w:val="20"/>
                <w:szCs w:val="20"/>
                <w:lang w:eastAsia="en-US"/>
              </w:rPr>
            </w:r>
            <w:r>
              <w:rPr>
                <w:sz w:val="20"/>
                <w:szCs w:val="20"/>
                <w:lang w:eastAsia="en-US"/>
              </w:rPr>
            </w:r>
          </w:p>
          <w:p>
            <w:pPr>
              <w:pStyle w:val="1149"/>
              <w:spacing w:before="0" w:beforeAutospacing="0" w:after="0" w:afterAutospacing="0"/>
              <w:rPr>
                <w:rFonts w:ascii="PT Astra Serif" w:hAnsi="PT Astra Serif"/>
                <w:sz w:val="20"/>
                <w:szCs w:val="20"/>
                <w:lang w:eastAsia="en-US"/>
              </w:rPr>
            </w:pPr>
            <w:r>
              <w:rPr>
                <w:rFonts w:ascii="PT Astra Serif" w:hAnsi="PT Astra Serif"/>
                <w:sz w:val="20"/>
                <w:szCs w:val="20"/>
                <w:lang w:eastAsia="en-US"/>
              </w:rPr>
              <w:t xml:space="preserve">В 2024 году прогн</w:t>
            </w:r>
            <w:r>
              <w:rPr>
                <w:rFonts w:ascii="PT Astra Serif" w:hAnsi="PT Astra Serif"/>
                <w:sz w:val="20"/>
                <w:szCs w:val="20"/>
                <w:lang w:eastAsia="en-US"/>
              </w:rPr>
              <w:t xml:space="preserve">озируется достижение показателя</w:t>
            </w:r>
            <w:r>
              <w:rPr>
                <w:rFonts w:ascii="PT Astra Serif" w:hAnsi="PT Astra Serif"/>
                <w:sz w:val="20"/>
                <w:szCs w:val="20"/>
                <w:lang w:eastAsia="en-US"/>
              </w:rPr>
            </w:r>
            <w:r>
              <w:rPr>
                <w:rFonts w:ascii="PT Astra Serif" w:hAnsi="PT Astra Serif"/>
                <w:sz w:val="20"/>
                <w:szCs w:val="20"/>
                <w:lang w:eastAsia="en-US"/>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Задача 5.1. Создание системы управления на базе цифровых платформ, в том числе в государственном секторе </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ind w:right="120"/>
              <w:rPr>
                <w:rFonts w:ascii="PT Astra Serif" w:hAnsi="PT Astra Serif"/>
                <w:szCs w:val="20"/>
                <w:lang w:eastAsia="en-US"/>
              </w:rPr>
            </w:pPr>
            <w:r>
              <w:rPr>
                <w:rFonts w:ascii="PT Astra Serif" w:hAnsi="PT Astra Serif"/>
                <w:szCs w:val="20"/>
                <w:lang w:eastAsia="en-US"/>
              </w:rPr>
              <w:t xml:space="preserve">Увеличение доли массовых социально значимых услуг в электронном виде, % </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100,00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100,00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ind w:right="120"/>
              <w:jc w:val="center"/>
              <w:rPr>
                <w:rFonts w:ascii="PT Astra Serif" w:hAnsi="PT Astra Serif"/>
                <w:szCs w:val="20"/>
                <w:lang w:eastAsia="en-US"/>
              </w:rPr>
            </w:pPr>
            <w:r>
              <w:rPr>
                <w:rFonts w:ascii="PT Astra Serif" w:hAnsi="PT Astra Serif"/>
                <w:szCs w:val="20"/>
                <w:lang w:eastAsia="en-US"/>
              </w:rPr>
              <w:t xml:space="preserve">95,00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В 2023 году обеспечена доступность 90 массовых социально значимых услу</w:t>
            </w:r>
            <w:r>
              <w:rPr>
                <w:rFonts w:ascii="PT Astra Serif" w:hAnsi="PT Astra Serif"/>
                <w:szCs w:val="20"/>
                <w:lang w:eastAsia="en-US"/>
              </w:rPr>
              <w:t xml:space="preserve">г на портале «Госуслуги» (100%).</w:t>
            </w:r>
            <w:r>
              <w:rPr>
                <w:rFonts w:ascii="PT Astra Serif" w:hAnsi="PT Astra Serif"/>
                <w:szCs w:val="20"/>
                <w:lang w:eastAsia="en-US"/>
              </w:rPr>
            </w:r>
            <w:r>
              <w:rPr>
                <w:rFonts w:ascii="PT Astra Serif" w:hAnsi="PT Astra Serif"/>
                <w:szCs w:val="20"/>
                <w:lang w:eastAsia="en-US"/>
              </w:rPr>
            </w:r>
          </w:p>
          <w:p>
            <w:pPr>
              <w:pStyle w:val="1166"/>
              <w:rPr>
                <w:rFonts w:ascii="PT Astra Serif" w:hAnsi="PT Astra Serif"/>
                <w:szCs w:val="20"/>
                <w:lang w:eastAsia="en-US"/>
              </w:rPr>
            </w:pPr>
            <w:r>
              <w:rPr>
                <w:rFonts w:ascii="PT Astra Serif" w:hAnsi="PT Astra Serif"/>
                <w:szCs w:val="20"/>
                <w:lang w:eastAsia="en-US"/>
              </w:rPr>
              <w:t xml:space="preserve">В 2024 году прогн</w:t>
            </w:r>
            <w:r>
              <w:rPr>
                <w:rFonts w:ascii="PT Astra Serif" w:hAnsi="PT Astra Serif"/>
                <w:szCs w:val="20"/>
                <w:lang w:eastAsia="en-US"/>
              </w:rPr>
              <w:t xml:space="preserve">озируется достижение показателя</w:t>
            </w:r>
            <w:r>
              <w:rPr>
                <w:rFonts w:ascii="PT Astra Serif" w:hAnsi="PT Astra Serif"/>
                <w:szCs w:val="20"/>
                <w:lang w:eastAsia="en-US"/>
              </w:rPr>
            </w:r>
            <w:r>
              <w:rPr>
                <w:rFonts w:ascii="PT Astra Serif" w:hAnsi="PT Astra Serif"/>
                <w:szCs w:val="20"/>
                <w:lang w:eastAsia="en-US"/>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ind w:right="120"/>
              <w:rPr>
                <w:rFonts w:ascii="PT Astra Serif" w:hAnsi="PT Astra Serif"/>
                <w:szCs w:val="20"/>
                <w:lang w:eastAsia="en-US"/>
              </w:rPr>
            </w:pPr>
            <w:r>
              <w:rPr>
                <w:rFonts w:ascii="PT Astra Serif" w:hAnsi="PT Astra Serif"/>
                <w:szCs w:val="20"/>
                <w:lang w:eastAsia="en-US"/>
              </w:rPr>
              <w:t xml:space="preserve">Уровень удовлетворенности качеством предоставления массовых социально значимых государственных и муниципальных услуг в электронном виде с использованием Единого портала государственных и муниципальных услуг (ЕПГУ) </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4,00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4,40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ind w:right="120"/>
              <w:jc w:val="center"/>
              <w:rPr>
                <w:rFonts w:ascii="PT Astra Serif" w:hAnsi="PT Astra Serif"/>
                <w:szCs w:val="20"/>
                <w:lang w:eastAsia="en-US"/>
              </w:rPr>
            </w:pPr>
            <w:r>
              <w:rPr>
                <w:rFonts w:ascii="PT Astra Serif" w:hAnsi="PT Astra Serif"/>
                <w:szCs w:val="20"/>
                <w:lang w:eastAsia="en-US"/>
              </w:rPr>
              <w:t xml:space="preserve">4,40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sz w:val="20"/>
                <w:szCs w:val="20"/>
              </w:rPr>
            </w:pPr>
            <w:r>
              <w:rPr>
                <w:rFonts w:ascii="PT Astra Serif" w:hAnsi="PT Astra Serif"/>
                <w:sz w:val="20"/>
                <w:szCs w:val="20"/>
              </w:rPr>
              <w:t xml:space="preserve">Оценка удовлетворенности качеством предоставления массовых социально значимых услуг в электронном формате рассчитывается на основании информации ЕПГУ.</w:t>
            </w:r>
            <w:r>
              <w:rPr>
                <w:rFonts w:ascii="PT Astra Serif" w:hAnsi="PT Astra Serif"/>
                <w:sz w:val="20"/>
                <w:szCs w:val="20"/>
              </w:rPr>
              <w:t xml:space="preserve"> </w:t>
            </w:r>
            <w:r>
              <w:rPr>
                <w:rFonts w:ascii="PT Astra Serif" w:hAnsi="PT Astra Serif"/>
                <w:sz w:val="20"/>
                <w:szCs w:val="20"/>
              </w:rPr>
            </w:r>
            <w:r>
              <w:rPr>
                <w:rFonts w:ascii="PT Astra Serif" w:hAnsi="PT Astra Serif"/>
                <w:sz w:val="20"/>
                <w:szCs w:val="20"/>
              </w:rPr>
            </w:r>
          </w:p>
          <w:p>
            <w:pPr>
              <w:rPr>
                <w:rFonts w:ascii="PT Astra Serif" w:hAnsi="PT Astra Serif"/>
                <w:sz w:val="20"/>
                <w:szCs w:val="20"/>
              </w:rPr>
            </w:pPr>
            <w:r>
              <w:rPr>
                <w:rFonts w:ascii="PT Astra Serif" w:hAnsi="PT Astra Serif"/>
                <w:sz w:val="20"/>
                <w:szCs w:val="20"/>
              </w:rPr>
              <w:t xml:space="preserve">Относительно уровня 2022 года значение показателя в 2023 году осталось прежним (2022 год – 4,00 балла). </w:t>
            </w:r>
            <w:r>
              <w:rPr>
                <w:rFonts w:ascii="PT Astra Serif" w:hAnsi="PT Astra Serif"/>
                <w:sz w:val="20"/>
                <w:szCs w:val="20"/>
              </w:rPr>
            </w:r>
            <w:r>
              <w:rPr>
                <w:rFonts w:ascii="PT Astra Serif" w:hAnsi="PT Astra Serif"/>
                <w:sz w:val="20"/>
                <w:szCs w:val="20"/>
              </w:rPr>
            </w:r>
          </w:p>
          <w:p>
            <w:pPr>
              <w:pStyle w:val="1166"/>
              <w:rPr>
                <w:rFonts w:ascii="PT Astra Serif" w:hAnsi="PT Astra Serif"/>
                <w:szCs w:val="20"/>
                <w:lang w:eastAsia="en-US"/>
              </w:rPr>
            </w:pPr>
            <w:r>
              <w:rPr>
                <w:rFonts w:ascii="PT Astra Serif" w:hAnsi="PT Astra Serif"/>
                <w:szCs w:val="20"/>
                <w:lang w:eastAsia="en-US"/>
              </w:rPr>
              <w:t xml:space="preserve">В 2024 году прогн</w:t>
            </w:r>
            <w:r>
              <w:rPr>
                <w:rFonts w:ascii="PT Astra Serif" w:hAnsi="PT Astra Serif"/>
                <w:szCs w:val="20"/>
                <w:lang w:eastAsia="en-US"/>
              </w:rPr>
              <w:t xml:space="preserve">озируется достижение показателя</w:t>
            </w:r>
            <w:r>
              <w:rPr>
                <w:rFonts w:ascii="PT Astra Serif" w:hAnsi="PT Astra Serif"/>
                <w:szCs w:val="20"/>
                <w:lang w:eastAsia="en-US"/>
              </w:rPr>
            </w:r>
            <w:r>
              <w:rPr>
                <w:rFonts w:ascii="PT Astra Serif" w:hAnsi="PT Astra Serif"/>
                <w:szCs w:val="20"/>
                <w:lang w:eastAsia="en-US"/>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Задача 5.2. Обеспечить эффективное управление региональными финансами и совершенствование межбюджетных отношений, в том числе повысить эффективность управления государственными закупками</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ind w:right="120"/>
              <w:rPr>
                <w:rFonts w:ascii="PT Astra Serif" w:hAnsi="PT Astra Serif"/>
                <w:szCs w:val="20"/>
                <w:lang w:eastAsia="en-US"/>
              </w:rPr>
            </w:pPr>
            <w:r>
              <w:rPr>
                <w:rFonts w:ascii="PT Astra Serif" w:hAnsi="PT Astra Serif"/>
                <w:szCs w:val="20"/>
                <w:lang w:eastAsia="en-US"/>
              </w:rPr>
              <w:t xml:space="preserve">Рейтинг Томской области среди субъектов Российской Федерации по качеству управления региональными финансами (степень качества) </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val="en-US" w:eastAsia="en-US"/>
              </w:rPr>
              <w:t xml:space="preserve">III степень</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val="en-US" w:eastAsia="en-US"/>
              </w:rPr>
              <w:t xml:space="preserve">II степень</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II степень</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jc w:val="both"/>
              <w:rPr>
                <w:rFonts w:ascii="PT Astra Serif" w:hAnsi="PT Astra Serif" w:eastAsia="Calibri"/>
                <w:sz w:val="20"/>
                <w:szCs w:val="20"/>
                <w:lang w:eastAsia="ru-RU"/>
              </w:rPr>
            </w:pPr>
            <w:r>
              <w:rPr>
                <w:rFonts w:ascii="PT Astra Serif" w:hAnsi="PT Astra Serif" w:eastAsia="Calibri"/>
                <w:sz w:val="20"/>
                <w:szCs w:val="20"/>
                <w:lang w:eastAsia="ru-RU"/>
              </w:rPr>
              <w:t xml:space="preserve">На фактически сложившееся значение показателя повлияли события 2020 года, когда в связи с колебаниями миро</w:t>
            </w:r>
            <w:r>
              <w:rPr>
                <w:rFonts w:ascii="PT Astra Serif" w:hAnsi="PT Astra Serif" w:eastAsia="Calibri"/>
                <w:sz w:val="20"/>
                <w:szCs w:val="20"/>
                <w:lang w:eastAsia="ru-RU"/>
              </w:rPr>
              <w:t xml:space="preserve">вых цен на нефть и действием «венского» соглашения ОПЕК+ по сокращению объемов добычи нефти областной бюджет недополучил почти четверть от плановых доходов, что привело в 2020 году к росту долговой нагрузки по итогам года более, чем на 40% (с 66% до 93%). </w:t>
            </w:r>
            <w:r>
              <w:rPr>
                <w:rFonts w:ascii="PT Astra Serif" w:hAnsi="PT Astra Serif" w:eastAsia="Calibri"/>
                <w:sz w:val="20"/>
                <w:szCs w:val="20"/>
                <w:lang w:eastAsia="ru-RU"/>
              </w:rPr>
            </w:r>
            <w:r>
              <w:rPr>
                <w:rFonts w:ascii="PT Astra Serif" w:hAnsi="PT Astra Serif" w:eastAsia="Calibri"/>
                <w:sz w:val="20"/>
                <w:szCs w:val="20"/>
                <w:lang w:eastAsia="ru-RU"/>
              </w:rPr>
            </w:r>
          </w:p>
          <w:p>
            <w:pPr>
              <w:jc w:val="both"/>
              <w:rPr>
                <w:rFonts w:ascii="PT Astra Serif" w:hAnsi="PT Astra Serif" w:eastAsia="Calibri"/>
                <w:sz w:val="20"/>
                <w:szCs w:val="20"/>
                <w:lang w:eastAsia="ru-RU"/>
              </w:rPr>
            </w:pPr>
            <w:r>
              <w:rPr>
                <w:rFonts w:ascii="PT Astra Serif" w:hAnsi="PT Astra Serif" w:eastAsia="Calibri"/>
                <w:sz w:val="20"/>
                <w:szCs w:val="20"/>
                <w:lang w:eastAsia="ru-RU"/>
              </w:rPr>
              <w:t xml:space="preserve">Несмотря на поэтапное снижение долговой нагрузки (по итогам 202</w:t>
            </w:r>
            <w:r>
              <w:rPr>
                <w:rFonts w:ascii="PT Astra Serif" w:hAnsi="PT Astra Serif" w:eastAsia="Calibri"/>
                <w:sz w:val="20"/>
                <w:szCs w:val="20"/>
                <w:lang w:eastAsia="ru-RU"/>
              </w:rPr>
              <w:t xml:space="preserve">1 года – 87%, по итогам 2022 года – 75%), Томской области  в 2022 году не удалось достичь уровня, установленного соглашением о предоставлении бюджетных кредитов из федерального бюджета, что привело к автоматическому присвоению региону III степени качества.</w:t>
            </w:r>
            <w:r>
              <w:rPr>
                <w:rFonts w:ascii="PT Astra Serif" w:hAnsi="PT Astra Serif" w:eastAsia="Calibri"/>
                <w:sz w:val="20"/>
                <w:szCs w:val="20"/>
                <w:lang w:eastAsia="ru-RU"/>
              </w:rPr>
            </w:r>
            <w:r>
              <w:rPr>
                <w:rFonts w:ascii="PT Astra Serif" w:hAnsi="PT Astra Serif" w:eastAsia="Calibri"/>
                <w:sz w:val="20"/>
                <w:szCs w:val="20"/>
                <w:lang w:eastAsia="ru-RU"/>
              </w:rPr>
            </w:r>
          </w:p>
          <w:p>
            <w:pPr>
              <w:rPr>
                <w:rFonts w:ascii="PT Astra Serif" w:hAnsi="PT Astra Serif"/>
                <w:sz w:val="20"/>
                <w:szCs w:val="20"/>
              </w:rPr>
            </w:pPr>
            <w:r>
              <w:rPr>
                <w:rFonts w:ascii="PT Astra Serif" w:hAnsi="PT Astra Serif" w:eastAsia="Calibri"/>
                <w:sz w:val="20"/>
                <w:szCs w:val="20"/>
                <w:lang w:eastAsia="ru-RU"/>
              </w:rPr>
              <w:t xml:space="preserve">По итогам 2023 года условие соглашения выполнено (с учетом допустимых в соответствии с федеральным законодательством отклонений), в связи с чем в 2024 году Минфин</w:t>
            </w:r>
            <w:r>
              <w:rPr>
                <w:rFonts w:ascii="PT Astra Serif" w:hAnsi="PT Astra Serif" w:eastAsia="Calibri"/>
                <w:sz w:val="20"/>
                <w:szCs w:val="20"/>
                <w:lang w:eastAsia="ru-RU"/>
              </w:rPr>
              <w:t xml:space="preserve">ом</w:t>
            </w:r>
            <w:r>
              <w:rPr>
                <w:rFonts w:ascii="PT Astra Serif" w:hAnsi="PT Astra Serif" w:eastAsia="Calibri"/>
                <w:sz w:val="20"/>
                <w:szCs w:val="20"/>
                <w:lang w:eastAsia="ru-RU"/>
              </w:rPr>
              <w:t xml:space="preserve"> России ожи</w:t>
            </w:r>
            <w:r>
              <w:rPr>
                <w:rFonts w:ascii="PT Astra Serif" w:hAnsi="PT Astra Serif" w:eastAsia="Calibri"/>
                <w:sz w:val="20"/>
                <w:szCs w:val="20"/>
                <w:lang w:eastAsia="ru-RU"/>
              </w:rPr>
              <w:t xml:space="preserve">д</w:t>
            </w:r>
            <w:r>
              <w:rPr>
                <w:rFonts w:ascii="PT Astra Serif" w:hAnsi="PT Astra Serif" w:eastAsia="Calibri"/>
                <w:sz w:val="20"/>
                <w:szCs w:val="20"/>
                <w:lang w:eastAsia="ru-RU"/>
              </w:rPr>
              <w:t xml:space="preserve">ается присвоение Томской области </w:t>
            </w:r>
            <w:r>
              <w:rPr>
                <w:rFonts w:ascii="PT Astra Serif" w:hAnsi="PT Astra Serif" w:eastAsia="Calibri"/>
                <w:sz w:val="20"/>
                <w:szCs w:val="20"/>
                <w:lang w:val="en-US" w:eastAsia="ru-RU"/>
              </w:rPr>
              <w:t xml:space="preserve">II</w:t>
            </w:r>
            <w:r>
              <w:rPr>
                <w:rFonts w:ascii="PT Astra Serif" w:hAnsi="PT Astra Serif" w:eastAsia="Calibri"/>
                <w:sz w:val="20"/>
                <w:szCs w:val="20"/>
                <w:lang w:eastAsia="ru-RU"/>
              </w:rPr>
              <w:t xml:space="preserve"> </w:t>
            </w:r>
            <w:r>
              <w:rPr>
                <w:rFonts w:ascii="PT Astra Serif" w:hAnsi="PT Astra Serif" w:eastAsia="Calibri"/>
                <w:sz w:val="20"/>
                <w:szCs w:val="20"/>
                <w:lang w:eastAsia="ru-RU"/>
              </w:rPr>
              <w:t xml:space="preserve">степени качества</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ind w:right="120"/>
              <w:rPr>
                <w:rFonts w:ascii="PT Astra Serif" w:hAnsi="PT Astra Serif"/>
                <w:szCs w:val="20"/>
                <w:lang w:eastAsia="en-US"/>
              </w:rPr>
            </w:pPr>
            <w:r>
              <w:rPr>
                <w:rFonts w:ascii="PT Astra Serif" w:hAnsi="PT Astra Serif"/>
                <w:szCs w:val="20"/>
                <w:lang w:eastAsia="en-US"/>
              </w:rPr>
              <w:t xml:space="preserve">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 % </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22,10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не менее 7,50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jc w:val="center"/>
              <w:rPr>
                <w:rFonts w:ascii="PT Astra Serif" w:hAnsi="PT Astra Serif"/>
                <w:szCs w:val="20"/>
                <w:lang w:eastAsia="en-US"/>
              </w:rPr>
            </w:pPr>
            <w:r>
              <w:rPr>
                <w:rFonts w:ascii="PT Astra Serif" w:hAnsi="PT Astra Serif"/>
                <w:szCs w:val="20"/>
                <w:lang w:eastAsia="en-US"/>
              </w:rPr>
              <w:t xml:space="preserve">не менее 7,50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sz w:val="20"/>
                <w:szCs w:val="20"/>
              </w:rPr>
            </w:pPr>
            <w:r>
              <w:rPr>
                <w:rFonts w:ascii="PT Astra Serif" w:hAnsi="PT Astra Serif"/>
                <w:sz w:val="20"/>
                <w:szCs w:val="20"/>
              </w:rPr>
              <w:t xml:space="preserve">По сравнению с 2022 годом значение показателя улучшилось на 8,6 процентн</w:t>
            </w:r>
            <w:r>
              <w:rPr>
                <w:rFonts w:ascii="PT Astra Serif" w:hAnsi="PT Astra Serif"/>
                <w:sz w:val="20"/>
                <w:szCs w:val="20"/>
              </w:rPr>
              <w:t xml:space="preserve">ого</w:t>
            </w:r>
            <w:r>
              <w:rPr>
                <w:rFonts w:ascii="PT Astra Serif" w:hAnsi="PT Astra Serif"/>
                <w:sz w:val="20"/>
                <w:szCs w:val="20"/>
              </w:rPr>
              <w:t xml:space="preserve"> пункта (13,5% в 2022 году). На значение показателя 2023 года повлияли такие факторы, как активная практ</w:t>
            </w:r>
            <w:r>
              <w:rPr>
                <w:rFonts w:ascii="PT Astra Serif" w:hAnsi="PT Astra Serif"/>
                <w:sz w:val="20"/>
                <w:szCs w:val="20"/>
              </w:rPr>
              <w:t xml:space="preserve">ика проведения совместных закупок, позволивших увеличить экономию бюджетных средств за счет укрупнения лота, мероприятиями по унификации закупочной деятельности (разработка типовых форм документов, выработка единых подходов в работе комиссии и т.д.) и расш</w:t>
            </w:r>
            <w:r>
              <w:rPr>
                <w:rFonts w:ascii="PT Astra Serif" w:hAnsi="PT Astra Serif"/>
                <w:sz w:val="20"/>
                <w:szCs w:val="20"/>
              </w:rPr>
              <w:t xml:space="preserve">ирению круга участников закупок.</w:t>
            </w:r>
            <w:r>
              <w:rPr>
                <w:rFonts w:ascii="PT Astra Serif" w:hAnsi="PT Astra Serif"/>
                <w:sz w:val="20"/>
                <w:szCs w:val="20"/>
              </w:rPr>
            </w:r>
            <w:r>
              <w:rPr>
                <w:rFonts w:ascii="PT Astra Serif" w:hAnsi="PT Astra Serif"/>
                <w:sz w:val="20"/>
                <w:szCs w:val="20"/>
              </w:rPr>
            </w:r>
          </w:p>
          <w:p>
            <w:pPr>
              <w:rPr>
                <w:rFonts w:ascii="PT Astra Serif" w:hAnsi="PT Astra Serif"/>
                <w:sz w:val="20"/>
                <w:szCs w:val="20"/>
              </w:rPr>
            </w:pPr>
            <w:r>
              <w:rPr>
                <w:rFonts w:ascii="PT Astra Serif" w:hAnsi="PT Astra Serif"/>
                <w:sz w:val="20"/>
                <w:szCs w:val="20"/>
              </w:rPr>
              <w:t xml:space="preserve">В 2024 году </w:t>
            </w:r>
            <w:r>
              <w:rPr>
                <w:rFonts w:ascii="PT Astra Serif" w:hAnsi="PT Astra Serif"/>
                <w:sz w:val="20"/>
                <w:szCs w:val="20"/>
              </w:rPr>
              <w:t xml:space="preserve">ожидается достижение показателя</w:t>
            </w:r>
            <w:r>
              <w:rPr>
                <w:rFonts w:ascii="PT Astra Serif" w:hAnsi="PT Astra Serif"/>
                <w:sz w:val="20"/>
                <w:szCs w:val="20"/>
              </w:rPr>
            </w:r>
            <w:r>
              <w:rPr>
                <w:rFonts w:ascii="PT Astra Serif" w:hAnsi="PT Astra Serif"/>
                <w:sz w:val="20"/>
                <w:szCs w:val="20"/>
              </w:rPr>
            </w:r>
          </w:p>
          <w:p>
            <w:pPr>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Задача 5.3. Повысить эффективность управления государственным имуществом</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pStyle w:val="1166"/>
              <w:ind w:right="120"/>
              <w:rPr>
                <w:rFonts w:ascii="PT Astra Serif" w:hAnsi="PT Astra Serif"/>
                <w:szCs w:val="20"/>
                <w:lang w:eastAsia="en-US"/>
              </w:rPr>
            </w:pPr>
            <w:r>
              <w:rPr>
                <w:rFonts w:ascii="PT Astra Serif" w:hAnsi="PT Astra Serif"/>
                <w:szCs w:val="20"/>
                <w:lang w:eastAsia="en-US"/>
              </w:rPr>
              <w:t xml:space="preserve">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 % </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ind w:right="120"/>
              <w:jc w:val="center"/>
              <w:tabs>
                <w:tab w:val="left" w:pos="1627" w:leader="none"/>
              </w:tabs>
              <w:rPr>
                <w:rFonts w:ascii="PT Astra Serif" w:hAnsi="PT Astra Serif"/>
                <w:szCs w:val="20"/>
                <w:lang w:eastAsia="en-US"/>
              </w:rPr>
            </w:pPr>
            <w:r>
              <w:rPr>
                <w:rFonts w:ascii="PT Astra Serif" w:hAnsi="PT Astra Serif"/>
                <w:szCs w:val="20"/>
                <w:lang w:eastAsia="en-US"/>
              </w:rPr>
              <w:t xml:space="preserve">98,00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pStyle w:val="1166"/>
              <w:ind w:right="120"/>
              <w:jc w:val="center"/>
              <w:tabs>
                <w:tab w:val="left" w:pos="1627" w:leader="none"/>
              </w:tabs>
              <w:rPr>
                <w:rFonts w:ascii="PT Astra Serif" w:hAnsi="PT Astra Serif"/>
                <w:szCs w:val="20"/>
                <w:lang w:eastAsia="en-US"/>
              </w:rPr>
            </w:pPr>
            <w:r>
              <w:rPr>
                <w:rFonts w:ascii="PT Astra Serif" w:hAnsi="PT Astra Serif"/>
                <w:szCs w:val="20"/>
                <w:lang w:eastAsia="en-US"/>
              </w:rPr>
              <w:t xml:space="preserve">90,00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166"/>
              <w:ind w:right="120"/>
              <w:jc w:val="center"/>
              <w:tabs>
                <w:tab w:val="left" w:pos="1627" w:leader="none"/>
              </w:tabs>
              <w:rPr>
                <w:rFonts w:ascii="PT Astra Serif" w:hAnsi="PT Astra Serif"/>
                <w:szCs w:val="20"/>
                <w:lang w:eastAsia="en-US"/>
              </w:rPr>
            </w:pPr>
            <w:r>
              <w:rPr>
                <w:rFonts w:ascii="PT Astra Serif" w:hAnsi="PT Astra Serif"/>
                <w:szCs w:val="20"/>
                <w:lang w:eastAsia="en-US"/>
              </w:rPr>
              <w:t xml:space="preserve">не менее 90,00</w:t>
            </w:r>
            <w:r>
              <w:rPr>
                <w:rFonts w:ascii="PT Astra Serif" w:hAnsi="PT Astra Serif"/>
                <w:szCs w:val="20"/>
                <w:lang w:eastAsia="en-US"/>
              </w:rPr>
            </w:r>
            <w:r>
              <w:rPr>
                <w:rFonts w:ascii="PT Astra Serif" w:hAnsi="PT Astra Serif"/>
                <w:szCs w:val="20"/>
                <w:lang w:eastAsia="en-US"/>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rPr>
                <w:rFonts w:ascii="PT Astra Serif" w:hAnsi="PT Astra Serif"/>
                <w:sz w:val="20"/>
                <w:szCs w:val="20"/>
              </w:rPr>
            </w:pPr>
            <w:r>
              <w:rPr>
                <w:rFonts w:ascii="PT Astra Serif" w:hAnsi="PT Astra Serif"/>
                <w:sz w:val="20"/>
                <w:szCs w:val="20"/>
              </w:rPr>
              <w:t xml:space="preserve">Фактическое значение показателя 2023 года увеличилось в сравнении с показателем 2022 года на 2 процентных пункта (в 2022 году – 96%), что обусловлено вовлечением</w:t>
            </w:r>
            <w:r>
              <w:rPr>
                <w:rFonts w:ascii="PT Astra Serif" w:hAnsi="PT Astra Serif"/>
                <w:sz w:val="20"/>
                <w:szCs w:val="20"/>
              </w:rPr>
              <w:t xml:space="preserve"> имущества в хозяйственный оборот (закрепление на праве оперативного управления за областными государственными учреждениями), а также увеличением количества переданного государственного имущества Томской области в федеральную и муниципальную собственность.</w:t>
            </w:r>
            <w:r>
              <w:rPr>
                <w:rFonts w:ascii="PT Astra Serif" w:hAnsi="PT Astra Serif"/>
                <w:sz w:val="20"/>
                <w:szCs w:val="20"/>
              </w:rPr>
              <w:t xml:space="preserve"> </w:t>
            </w:r>
            <w:r>
              <w:rPr>
                <w:rFonts w:ascii="PT Astra Serif" w:hAnsi="PT Astra Serif"/>
                <w:sz w:val="20"/>
                <w:szCs w:val="20"/>
              </w:rPr>
            </w:r>
            <w:r>
              <w:rPr>
                <w:rFonts w:ascii="PT Astra Serif" w:hAnsi="PT Astra Serif"/>
                <w:sz w:val="20"/>
                <w:szCs w:val="20"/>
              </w:rPr>
            </w:r>
          </w:p>
          <w:p>
            <w:pPr>
              <w:rPr>
                <w:rFonts w:ascii="PT Astra Serif" w:hAnsi="PT Astra Serif"/>
                <w:sz w:val="20"/>
                <w:szCs w:val="20"/>
              </w:rPr>
            </w:pPr>
            <w:r>
              <w:rPr>
                <w:rFonts w:ascii="PT Astra Serif" w:hAnsi="PT Astra Serif"/>
                <w:sz w:val="20"/>
                <w:szCs w:val="20"/>
              </w:rPr>
              <w:t xml:space="preserve">Процент достижения показателя не может быть стабильным, что обусловлено динамичностью </w:t>
            </w:r>
            <w:r>
              <w:rPr>
                <w:rFonts w:ascii="PT Astra Serif" w:hAnsi="PT Astra Serif"/>
                <w:sz w:val="20"/>
                <w:szCs w:val="20"/>
              </w:rPr>
              <w:t xml:space="preserve">к</w:t>
            </w:r>
            <w:r>
              <w:rPr>
                <w:rFonts w:ascii="PT Astra Serif" w:hAnsi="PT Astra Serif"/>
                <w:sz w:val="20"/>
                <w:szCs w:val="20"/>
              </w:rPr>
              <w:t xml:space="preserve">азны Томской области, в связи с чем существуют риски недо</w:t>
            </w:r>
            <w:r>
              <w:rPr>
                <w:rFonts w:ascii="PT Astra Serif" w:hAnsi="PT Astra Serif"/>
                <w:sz w:val="20"/>
                <w:szCs w:val="20"/>
              </w:rPr>
              <w:t xml:space="preserve">стижения показателя в 2024 году</w:t>
            </w:r>
            <w:r>
              <w:rPr>
                <w:rFonts w:ascii="PT Astra Serif" w:hAnsi="PT Astra Serif"/>
                <w:sz w:val="20"/>
                <w:szCs w:val="20"/>
              </w:rPr>
            </w:r>
            <w:r>
              <w:rPr>
                <w:rFonts w:ascii="PT Astra Serif" w:hAnsi="PT Astra Serif"/>
                <w:sz w:val="20"/>
                <w:szCs w:val="20"/>
              </w:rPr>
            </w:r>
          </w:p>
        </w:tc>
      </w:tr>
      <w:tr>
        <w:tblPrEx/>
        <w:trPr/>
        <w:tc>
          <w:tcPr>
            <w:gridSpan w:val="5"/>
            <w:tcBorders>
              <w:top w:val="single" w:color="auto" w:sz="4" w:space="0"/>
              <w:left w:val="single" w:color="auto" w:sz="4" w:space="0"/>
              <w:bottom w:val="single" w:color="auto" w:sz="4" w:space="0"/>
              <w:right w:val="single" w:color="auto" w:sz="4" w:space="0"/>
            </w:tcBorders>
            <w:tcW w:w="15310" w:type="dxa"/>
            <w:textDirection w:val="lrTb"/>
            <w:noWrap w:val="false"/>
          </w:tcPr>
          <w:p>
            <w:pPr>
              <w:jc w:val="center"/>
              <w:rPr>
                <w:rFonts w:ascii="PT Astra Serif" w:hAnsi="PT Astra Serif"/>
                <w:sz w:val="20"/>
                <w:szCs w:val="20"/>
              </w:rPr>
            </w:pPr>
            <w:r>
              <w:rPr>
                <w:rFonts w:ascii="PT Astra Serif" w:hAnsi="PT Astra Serif"/>
                <w:sz w:val="20"/>
                <w:szCs w:val="20"/>
              </w:rPr>
              <w:t xml:space="preserve">Задача 5.4. Обеспечить повышение эффективности регионального и муниципального управления</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rPr>
                <w:rFonts w:ascii="PT Astra Serif" w:hAnsi="PT Astra Serif"/>
                <w:sz w:val="20"/>
                <w:szCs w:val="20"/>
              </w:rPr>
            </w:pPr>
            <w:r>
              <w:rPr>
                <w:rFonts w:ascii="PT Astra Serif" w:hAnsi="PT Astra Serif"/>
                <w:sz w:val="20"/>
                <w:szCs w:val="20"/>
              </w:rPr>
              <w:t xml:space="preserve">Доля государственных гражданских служащих Томской области, принявших участие в мероприятиях по профессиональному развитию, % </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rPr>
                <w:rFonts w:ascii="PT Astra Serif" w:hAnsi="PT Astra Serif"/>
                <w:sz w:val="20"/>
                <w:szCs w:val="20"/>
              </w:rPr>
            </w:pPr>
            <w:r>
              <w:rPr>
                <w:rFonts w:ascii="PT Astra Serif" w:hAnsi="PT Astra Serif"/>
                <w:sz w:val="20"/>
                <w:szCs w:val="20"/>
              </w:rPr>
              <w:t xml:space="preserve">74,00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PT Astra Serif" w:hAnsi="PT Astra Serif"/>
                <w:sz w:val="20"/>
                <w:szCs w:val="20"/>
              </w:rPr>
            </w:pPr>
            <w:r>
              <w:rPr>
                <w:rFonts w:ascii="PT Astra Serif" w:hAnsi="PT Astra Serif"/>
                <w:sz w:val="20"/>
                <w:szCs w:val="20"/>
              </w:rPr>
              <w:t xml:space="preserve">52,00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rPr>
                <w:rFonts w:ascii="PT Astra Serif" w:hAnsi="PT Astra Serif"/>
                <w:sz w:val="20"/>
                <w:szCs w:val="20"/>
              </w:rPr>
            </w:pPr>
            <w:r>
              <w:rPr>
                <w:rFonts w:ascii="PT Astra Serif" w:hAnsi="PT Astra Serif"/>
                <w:sz w:val="20"/>
                <w:szCs w:val="20"/>
              </w:rPr>
              <w:t xml:space="preserve">52,00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Положительная динамика (в 2022 году – 68%) показателя связана с экономией средст</w:t>
            </w:r>
            <w:r>
              <w:rPr>
                <w:rFonts w:ascii="PT Astra Serif" w:hAnsi="PT Astra Serif"/>
                <w:szCs w:val="20"/>
                <w:lang w:eastAsia="en-US"/>
              </w:rPr>
              <w:t xml:space="preserve">в при осуществлении закупок в рамках госзаказа, возможностью формировать группы с большим количеством участников в рамках госзадания, что позволило удовлетворить большее количество заявок на обучение государственных гражданских служащих. Также на увеличени</w:t>
            </w:r>
            <w:r>
              <w:rPr>
                <w:rFonts w:ascii="PT Astra Serif" w:hAnsi="PT Astra Serif"/>
                <w:szCs w:val="20"/>
                <w:lang w:eastAsia="en-US"/>
              </w:rPr>
              <w:t xml:space="preserve">е</w:t>
            </w:r>
            <w:r>
              <w:rPr>
                <w:rFonts w:ascii="PT Astra Serif" w:hAnsi="PT Astra Serif"/>
                <w:szCs w:val="20"/>
                <w:lang w:eastAsia="en-US"/>
              </w:rPr>
              <w:t xml:space="preserve"> показателя повлияла возможность участия служащих в образовательных мероприятиях, проводимых на безвозмездной основе</w:t>
            </w:r>
            <w:r>
              <w:rPr>
                <w:rFonts w:ascii="PT Astra Serif" w:hAnsi="PT Astra Serif"/>
                <w:szCs w:val="20"/>
                <w:lang w:eastAsia="en-US"/>
              </w:rPr>
              <w:t xml:space="preserve">,</w:t>
            </w:r>
            <w:r>
              <w:rPr>
                <w:rFonts w:ascii="PT Astra Serif" w:hAnsi="PT Astra Serif"/>
                <w:szCs w:val="20"/>
                <w:lang w:eastAsia="en-US"/>
              </w:rPr>
              <w:t xml:space="preserve"> в рамках реализации федеральных проектов.</w:t>
            </w:r>
            <w:r>
              <w:rPr>
                <w:rFonts w:ascii="PT Astra Serif" w:hAnsi="PT Astra Serif"/>
                <w:szCs w:val="20"/>
                <w:lang w:eastAsia="en-US"/>
              </w:rPr>
            </w:r>
            <w:r>
              <w:rPr>
                <w:rFonts w:ascii="PT Astra Serif" w:hAnsi="PT Astra Serif"/>
                <w:szCs w:val="20"/>
                <w:lang w:eastAsia="en-US"/>
              </w:rPr>
            </w:r>
          </w:p>
          <w:p>
            <w:pPr>
              <w:rPr>
                <w:rFonts w:ascii="PT Astra Serif" w:hAnsi="PT Astra Serif"/>
                <w:sz w:val="20"/>
                <w:szCs w:val="20"/>
              </w:rPr>
            </w:pPr>
            <w:r>
              <w:rPr>
                <w:rFonts w:ascii="PT Astra Serif" w:hAnsi="PT Astra Serif"/>
                <w:sz w:val="20"/>
                <w:szCs w:val="20"/>
              </w:rPr>
              <w:t xml:space="preserve">В 2024 году </w:t>
            </w:r>
            <w:r>
              <w:rPr>
                <w:rFonts w:ascii="PT Astra Serif" w:hAnsi="PT Astra Serif"/>
                <w:sz w:val="20"/>
                <w:szCs w:val="20"/>
              </w:rPr>
              <w:t xml:space="preserve">ожидается достижение показателя</w:t>
            </w:r>
            <w:r>
              <w:rPr>
                <w:rFonts w:ascii="PT Astra Serif" w:hAnsi="PT Astra Serif"/>
                <w:sz w:val="20"/>
                <w:szCs w:val="20"/>
              </w:rPr>
            </w:r>
            <w:r>
              <w:rPr>
                <w:rFonts w:ascii="PT Astra Serif" w:hAnsi="PT Astra Serif"/>
                <w:sz w:val="20"/>
                <w:szCs w:val="20"/>
              </w:rPr>
            </w:r>
          </w:p>
        </w:tc>
      </w:tr>
      <w:tr>
        <w:tblPrEx/>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ind w:left="60" w:right="60"/>
              <w:spacing w:before="100" w:after="100"/>
              <w:rPr>
                <w:rFonts w:ascii="PT Astra Serif" w:hAnsi="PT Astra Serif"/>
                <w:sz w:val="20"/>
                <w:szCs w:val="20"/>
              </w:rPr>
            </w:pPr>
            <w:r>
              <w:rPr>
                <w:rFonts w:ascii="PT Astra Serif" w:hAnsi="PT Astra Serif"/>
                <w:sz w:val="20"/>
                <w:szCs w:val="20"/>
              </w:rPr>
              <w:t xml:space="preserve">Доля муниципальных служащих Томской области, принявших участие в мероприятиях по профессиональному развитию, % </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before="100" w:after="100"/>
              <w:rPr>
                <w:rFonts w:ascii="PT Astra Serif" w:hAnsi="PT Astra Serif"/>
                <w:sz w:val="20"/>
                <w:szCs w:val="20"/>
              </w:rPr>
            </w:pPr>
            <w:r>
              <w:rPr>
                <w:rFonts w:ascii="PT Astra Serif" w:hAnsi="PT Astra Serif"/>
                <w:sz w:val="20"/>
                <w:szCs w:val="20"/>
              </w:rPr>
              <w:t xml:space="preserve">32,20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spacing w:before="100" w:after="100"/>
              <w:rPr>
                <w:rFonts w:ascii="PT Astra Serif" w:hAnsi="PT Astra Serif"/>
                <w:sz w:val="20"/>
                <w:szCs w:val="20"/>
              </w:rPr>
            </w:pPr>
            <w:r>
              <w:rPr>
                <w:rFonts w:ascii="PT Astra Serif" w:hAnsi="PT Astra Serif"/>
                <w:sz w:val="20"/>
                <w:szCs w:val="20"/>
              </w:rPr>
              <w:t xml:space="preserve">37,00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before="100" w:after="100"/>
              <w:rPr>
                <w:rFonts w:ascii="PT Astra Serif" w:hAnsi="PT Astra Serif"/>
                <w:sz w:val="20"/>
                <w:szCs w:val="20"/>
              </w:rPr>
            </w:pPr>
            <w:r>
              <w:rPr>
                <w:rFonts w:ascii="PT Astra Serif" w:hAnsi="PT Astra Serif"/>
                <w:sz w:val="20"/>
                <w:szCs w:val="20"/>
              </w:rPr>
              <w:t xml:space="preserve">37,00</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6805" w:type="dxa"/>
            <w:textDirection w:val="lrTb"/>
            <w:noWrap w:val="false"/>
          </w:tcPr>
          <w:p>
            <w:pPr>
              <w:pStyle w:val="1166"/>
              <w:rPr>
                <w:rFonts w:ascii="PT Astra Serif" w:hAnsi="PT Astra Serif"/>
                <w:szCs w:val="20"/>
                <w:lang w:eastAsia="en-US"/>
              </w:rPr>
            </w:pPr>
            <w:r>
              <w:rPr>
                <w:rFonts w:ascii="PT Astra Serif" w:hAnsi="PT Astra Serif"/>
                <w:szCs w:val="20"/>
                <w:lang w:eastAsia="en-US"/>
              </w:rPr>
              <w:t xml:space="preserve">Снижение общего показателя в 2023 году (в 2022 году - 39,6%) связано со снижением количества проводимых иных образовательных мероприятий (показатели количества служащих, получивших удостоверение о повышении квалификации, достигнуты в полном объеме).</w:t>
            </w:r>
            <w:r>
              <w:rPr>
                <w:rFonts w:ascii="PT Astra Serif" w:hAnsi="PT Astra Serif"/>
                <w:szCs w:val="20"/>
                <w:lang w:eastAsia="en-US"/>
              </w:rPr>
            </w:r>
            <w:r>
              <w:rPr>
                <w:rFonts w:ascii="PT Astra Serif" w:hAnsi="PT Astra Serif"/>
                <w:szCs w:val="20"/>
                <w:lang w:eastAsia="en-US"/>
              </w:rPr>
            </w:r>
          </w:p>
          <w:p>
            <w:pPr>
              <w:rPr>
                <w:sz w:val="20"/>
                <w:szCs w:val="20"/>
              </w:rPr>
            </w:pPr>
            <w:r>
              <w:rPr>
                <w:rFonts w:ascii="PT Astra Serif" w:hAnsi="PT Astra Serif"/>
                <w:sz w:val="20"/>
                <w:szCs w:val="20"/>
              </w:rPr>
              <w:t xml:space="preserve">В 2024 </w:t>
            </w:r>
            <w:r>
              <w:rPr>
                <w:rFonts w:ascii="PT Astra Serif" w:hAnsi="PT Astra Serif" w:cs="Arial" w:eastAsiaTheme="minorEastAsia"/>
                <w:sz w:val="20"/>
                <w:szCs w:val="20"/>
                <w:lang w:eastAsia="ru-RU"/>
              </w:rPr>
              <w:t xml:space="preserve">году прогнозируется достижен</w:t>
            </w:r>
            <w:r>
              <w:rPr>
                <w:rFonts w:ascii="PT Astra Serif" w:hAnsi="PT Astra Serif" w:cs="Arial" w:eastAsiaTheme="minorEastAsia"/>
                <w:sz w:val="20"/>
                <w:szCs w:val="20"/>
                <w:lang w:eastAsia="ru-RU"/>
              </w:rPr>
              <w:t xml:space="preserve">ие показателя за счет увеличения количества муниципальных служащих, привлекаемых к мероприятиям, проводимых в рамках иных мероприятий по профессиональному развитию (круглые столы, семинар и т.д.), увеличения количества обученных в рамках электронных курсов</w:t>
            </w:r>
            <w:r>
              <w:rPr>
                <w:sz w:val="20"/>
                <w:szCs w:val="20"/>
              </w:rPr>
            </w:r>
            <w:r>
              <w:rPr>
                <w:sz w:val="20"/>
                <w:szCs w:val="20"/>
              </w:rPr>
            </w:r>
          </w:p>
        </w:tc>
      </w:tr>
      <w:tr>
        <w:tblPrEx/>
        <w:trPr>
          <w:trHeight w:val="547"/>
        </w:trPr>
        <w:tc>
          <w:tcPr>
            <w:shd w:val="clear" w:color="auto" w:fill="ffffff" w:themeFill="background1"/>
            <w:tcBorders>
              <w:top w:val="single" w:color="auto" w:sz="4" w:space="0"/>
              <w:left w:val="single" w:color="auto" w:sz="4" w:space="0"/>
              <w:bottom w:val="single" w:color="auto" w:sz="4" w:space="0"/>
              <w:right w:val="single" w:color="auto" w:sz="4" w:space="0"/>
            </w:tcBorders>
            <w:tcW w:w="4394" w:type="dxa"/>
            <w:textDirection w:val="lrTb"/>
            <w:noWrap w:val="false"/>
          </w:tcPr>
          <w:p>
            <w:pPr>
              <w:ind w:left="60" w:right="60"/>
              <w:spacing w:before="100" w:after="100"/>
              <w:rPr>
                <w:rFonts w:ascii="PT Astra Serif" w:hAnsi="PT Astra Serif"/>
                <w:sz w:val="20"/>
                <w:szCs w:val="20"/>
              </w:rPr>
            </w:pPr>
            <w:r>
              <w:rPr>
                <w:rFonts w:ascii="PT Astra Serif" w:hAnsi="PT Astra Serif"/>
                <w:sz w:val="20"/>
                <w:szCs w:val="20"/>
              </w:rPr>
              <w:t xml:space="preserve">Доля граждан, положительно оценивающих состояние межнациональных отношений в Томской области, % </w:t>
            </w:r>
            <w:r>
              <w:rPr>
                <w:rFonts w:ascii="PT Astra Serif" w:hAnsi="PT Astra Serif"/>
                <w:sz w:val="20"/>
                <w:szCs w:val="20"/>
              </w:rPr>
            </w:r>
            <w:r>
              <w:rPr>
                <w:rFonts w:ascii="PT Astra Serif" w:hAnsi="PT Astra Serif"/>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rPr>
                <w:rFonts w:ascii="PT Astra Serif" w:hAnsi="PT Astra Serif" w:eastAsia="Times New Roman"/>
                <w:sz w:val="20"/>
                <w:szCs w:val="20"/>
              </w:rPr>
            </w:pPr>
            <w:r>
              <w:rPr>
                <w:rFonts w:ascii="PT Astra Serif" w:hAnsi="PT Astra Serif" w:eastAsia="Times New Roman"/>
                <w:sz w:val="20"/>
                <w:szCs w:val="20"/>
              </w:rPr>
              <w:t xml:space="preserve">92,10</w:t>
            </w:r>
            <w:r>
              <w:rPr>
                <w:rFonts w:ascii="PT Astra Serif" w:hAnsi="PT Astra Serif" w:eastAsia="Times New Roman"/>
                <w:sz w:val="20"/>
                <w:szCs w:val="20"/>
              </w:rPr>
            </w:r>
            <w:r>
              <w:rPr>
                <w:rFonts w:ascii="PT Astra Serif" w:hAnsi="PT Astra Serif" w:eastAsia="Times New Roman"/>
                <w:sz w:val="20"/>
                <w:szCs w:val="20"/>
              </w:rP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PT Astra Serif" w:hAnsi="PT Astra Serif" w:eastAsia="Times New Roman"/>
                <w:sz w:val="20"/>
                <w:szCs w:val="20"/>
              </w:rPr>
            </w:pPr>
            <w:r>
              <w:rPr>
                <w:rFonts w:ascii="PT Astra Serif" w:hAnsi="PT Astra Serif" w:eastAsia="Times New Roman"/>
                <w:sz w:val="20"/>
                <w:szCs w:val="20"/>
              </w:rPr>
              <w:t xml:space="preserve">не менее 84,00</w:t>
            </w:r>
            <w:r>
              <w:rPr>
                <w:rFonts w:ascii="PT Astra Serif" w:hAnsi="PT Astra Serif" w:eastAsia="Times New Roman"/>
                <w:sz w:val="20"/>
                <w:szCs w:val="20"/>
              </w:rPr>
            </w:r>
            <w:r>
              <w:rPr>
                <w:rFonts w:ascii="PT Astra Serif" w:hAnsi="PT Astra Serif" w:eastAsia="Times New Roman"/>
                <w:sz w:val="20"/>
                <w:szCs w:val="20"/>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rPr>
                <w:rFonts w:ascii="PT Astra Serif" w:hAnsi="PT Astra Serif" w:eastAsia="Times New Roman"/>
                <w:sz w:val="20"/>
                <w:szCs w:val="20"/>
              </w:rPr>
            </w:pPr>
            <w:r>
              <w:rPr>
                <w:rFonts w:ascii="PT Astra Serif" w:hAnsi="PT Astra Serif" w:eastAsia="Times New Roman"/>
                <w:sz w:val="20"/>
                <w:szCs w:val="20"/>
              </w:rPr>
              <w:t xml:space="preserve">84,00</w:t>
            </w:r>
            <w:r>
              <w:rPr>
                <w:rFonts w:ascii="PT Astra Serif" w:hAnsi="PT Astra Serif" w:eastAsia="Times New Roman"/>
                <w:sz w:val="20"/>
                <w:szCs w:val="20"/>
              </w:rPr>
            </w:r>
            <w:r>
              <w:rPr>
                <w:rFonts w:ascii="PT Astra Serif" w:hAnsi="PT Astra Serif" w:eastAsia="Times New Roman"/>
                <w:sz w:val="20"/>
                <w:szCs w:val="20"/>
              </w:rP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val="false"/>
          </w:tcPr>
          <w:p>
            <w:pPr>
              <w:rPr>
                <w:rFonts w:ascii="PT Astra Serif" w:hAnsi="PT Astra Serif" w:eastAsia="Times New Roman"/>
                <w:sz w:val="20"/>
                <w:szCs w:val="20"/>
              </w:rPr>
            </w:pPr>
            <w:r>
              <w:rPr>
                <w:rFonts w:ascii="PT Astra Serif" w:hAnsi="PT Astra Serif" w:eastAsia="Times New Roman"/>
                <w:sz w:val="20"/>
                <w:szCs w:val="20"/>
              </w:rPr>
              <w:t xml:space="preserve">Положительная динамика показателя в 2023 году (82% в 2022 году) обусловлена продолжением системной работы по созданию соответствующих условий для развития доброжелательной среды по развитию межнациональных отношений.</w:t>
            </w:r>
            <w:r>
              <w:rPr>
                <w:rFonts w:ascii="PT Astra Serif" w:hAnsi="PT Astra Serif" w:eastAsia="Times New Roman"/>
                <w:sz w:val="20"/>
                <w:szCs w:val="20"/>
              </w:rPr>
            </w:r>
            <w:r>
              <w:rPr>
                <w:rFonts w:ascii="PT Astra Serif" w:hAnsi="PT Astra Serif" w:eastAsia="Times New Roman"/>
                <w:sz w:val="20"/>
                <w:szCs w:val="20"/>
              </w:rPr>
            </w:r>
          </w:p>
          <w:p>
            <w:pPr>
              <w:rPr>
                <w:rFonts w:ascii="PT Astra Serif" w:hAnsi="PT Astra Serif" w:eastAsia="Times New Roman"/>
                <w:sz w:val="20"/>
                <w:szCs w:val="20"/>
              </w:rPr>
            </w:pPr>
            <w:r>
              <w:rPr>
                <w:rFonts w:ascii="PT Astra Serif" w:hAnsi="PT Astra Serif" w:eastAsia="Times New Roman"/>
                <w:sz w:val="20"/>
                <w:szCs w:val="20"/>
              </w:rPr>
              <w:t xml:space="preserve">В 2024 году планируется достижение показателя ввиду стабильной межнациональной обстановки в регионе и отсутс</w:t>
            </w:r>
            <w:r>
              <w:rPr>
                <w:rFonts w:ascii="PT Astra Serif" w:hAnsi="PT Astra Serif" w:eastAsia="Times New Roman"/>
                <w:sz w:val="20"/>
                <w:szCs w:val="20"/>
              </w:rPr>
              <w:t xml:space="preserve">твию межнациональных конфликтов</w:t>
            </w:r>
            <w:r>
              <w:rPr>
                <w:rFonts w:ascii="PT Astra Serif" w:hAnsi="PT Astra Serif" w:eastAsia="Times New Roman"/>
                <w:sz w:val="20"/>
                <w:szCs w:val="20"/>
              </w:rPr>
            </w:r>
            <w:r>
              <w:rPr>
                <w:rFonts w:ascii="PT Astra Serif" w:hAnsi="PT Astra Serif" w:eastAsia="Times New Roman"/>
                <w:sz w:val="20"/>
                <w:szCs w:val="20"/>
              </w:rPr>
            </w:r>
          </w:p>
        </w:tc>
      </w:tr>
    </w:tbl>
    <w:p>
      <w:pPr>
        <w:pStyle w:val="1152"/>
        <w:ind w:left="0"/>
        <w:spacing w:after="0" w:line="240" w:lineRule="auto"/>
        <w:rPr>
          <w:rFonts w:ascii="PT Astra Serif" w:hAnsi="PT Astra Serif"/>
          <w:b/>
          <w:sz w:val="24"/>
          <w:szCs w:val="24"/>
          <w:shd w:val="clear" w:color="auto" w:fill="f2f2f2" w:themeFill="background1" w:themeFillShade="F2"/>
        </w:rPr>
        <w:sectPr>
          <w:footnotePr/>
          <w:endnotePr/>
          <w:type w:val="nextPage"/>
          <w:pgSz w:w="16838" w:h="11906" w:orient="landscape"/>
          <w:pgMar w:top="1701" w:right="1134" w:bottom="850" w:left="1134" w:header="708" w:footer="708" w:gutter="0"/>
          <w:cols w:num="1" w:sep="0" w:space="708" w:equalWidth="1"/>
          <w:docGrid w:linePitch="360"/>
        </w:sectPr>
      </w:pPr>
      <w:r>
        <w:rPr>
          <w:rFonts w:ascii="PT Astra Serif" w:hAnsi="PT Astra Serif"/>
          <w:sz w:val="24"/>
          <w:szCs w:val="24"/>
        </w:rPr>
        <w:t xml:space="preserve">* </w:t>
      </w:r>
      <w:r>
        <w:rPr>
          <w:rFonts w:ascii="PT Astra Serif" w:hAnsi="PT Astra Serif"/>
          <w:sz w:val="20"/>
          <w:szCs w:val="20"/>
        </w:rPr>
        <w:t xml:space="preserve">- конфиденциальная информация</w:t>
      </w:r>
      <w:r>
        <w:rPr>
          <w:rFonts w:ascii="PT Astra Serif" w:hAnsi="PT Astra Serif"/>
          <w:sz w:val="20"/>
          <w:szCs w:val="20"/>
        </w:rPr>
        <w:t xml:space="preserve">.</w:t>
      </w:r>
      <w:r>
        <w:rPr>
          <w:rFonts w:ascii="PT Astra Serif" w:hAnsi="PT Astra Serif"/>
          <w:b/>
          <w:sz w:val="24"/>
          <w:szCs w:val="24"/>
          <w:shd w:val="clear" w:color="auto" w:fill="f2f2f2" w:themeFill="background1" w:themeFillShade="F2"/>
        </w:rPr>
        <w:br w:type="page" w:clear="all"/>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67"/>
        <w:outlineLvl w:val="1"/>
      </w:pPr>
      <w:r/>
      <w:bookmarkStart w:id="34" w:name="_Toc134630423"/>
      <w:r>
        <w:t xml:space="preserve">Приложение № 3</w:t>
      </w:r>
      <w:bookmarkEnd w:id="34"/>
      <w:r/>
      <w:r/>
    </w:p>
    <w:p>
      <w:pPr>
        <w:ind w:left="-1134"/>
        <w:jc w:val="right"/>
        <w:spacing w:after="0" w:line="240" w:lineRule="auto"/>
        <w:tabs>
          <w:tab w:val="left" w:pos="993"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jc w:val="center"/>
        <w:spacing w:after="0" w:line="240" w:lineRule="auto"/>
        <w:tabs>
          <w:tab w:val="left" w:pos="993" w:leader="none"/>
        </w:tabs>
        <w:rPr>
          <w:rFonts w:ascii="PT Astra Serif" w:hAnsi="PT Astra Serif"/>
          <w:b/>
          <w:sz w:val="24"/>
          <w:szCs w:val="24"/>
        </w:rPr>
      </w:pPr>
      <w:r>
        <w:rPr>
          <w:rFonts w:ascii="PT Astra Serif" w:hAnsi="PT Astra Serif"/>
          <w:b/>
          <w:sz w:val="24"/>
          <w:szCs w:val="24"/>
        </w:rPr>
        <w:t xml:space="preserve">Мониторинг реализации прогноза социально-экономического развития Томской области на долгосрочный и среднесрочный периоды</w:t>
      </w:r>
      <w:r>
        <w:rPr>
          <w:rFonts w:ascii="PT Astra Serif" w:hAnsi="PT Astra Serif"/>
          <w:b/>
          <w:sz w:val="24"/>
          <w:szCs w:val="24"/>
        </w:rPr>
      </w:r>
      <w:r>
        <w:rPr>
          <w:rFonts w:ascii="PT Astra Serif" w:hAnsi="PT Astra Serif"/>
          <w:b/>
          <w:sz w:val="24"/>
          <w:szCs w:val="24"/>
        </w:rPr>
      </w:r>
    </w:p>
    <w:p>
      <w:pPr>
        <w:jc w:val="center"/>
        <w:spacing w:after="0" w:line="240" w:lineRule="auto"/>
        <w:tabs>
          <w:tab w:val="left" w:pos="993" w:leader="none"/>
        </w:tabs>
        <w:rPr>
          <w:rFonts w:ascii="PT Astra Serif" w:hAnsi="PT Astra Serif"/>
          <w:b/>
          <w:sz w:val="24"/>
          <w:szCs w:val="24"/>
        </w:rPr>
      </w:pPr>
      <w:r>
        <w:rPr>
          <w:rFonts w:ascii="PT Astra Serif" w:hAnsi="PT Astra Serif"/>
          <w:sz w:val="24"/>
          <w:szCs w:val="24"/>
        </w:rPr>
        <w:t xml:space="preserve">(</w:t>
      </w:r>
      <w:r>
        <w:rPr>
          <w:rFonts w:ascii="PT Astra Serif" w:hAnsi="PT Astra Serif"/>
          <w:i/>
          <w:sz w:val="24"/>
          <w:szCs w:val="24"/>
        </w:rPr>
        <w:t xml:space="preserve">сравнение фактических значений с базовым вариантом прогнозов)</w:t>
      </w:r>
      <w:r>
        <w:rPr>
          <w:rFonts w:ascii="PT Astra Serif" w:hAnsi="PT Astra Serif"/>
          <w:b/>
          <w:sz w:val="24"/>
          <w:szCs w:val="24"/>
        </w:rPr>
      </w:r>
      <w:r>
        <w:rPr>
          <w:rFonts w:ascii="PT Astra Serif" w:hAnsi="PT Astra Serif"/>
          <w:b/>
          <w:sz w:val="24"/>
          <w:szCs w:val="24"/>
        </w:rPr>
      </w:r>
    </w:p>
    <w:p>
      <w:pPr>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tbl>
      <w:tblPr>
        <w:tblW w:w="10632" w:type="dxa"/>
        <w:tblInd w:w="-1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843"/>
        <w:gridCol w:w="1134"/>
        <w:gridCol w:w="1558"/>
        <w:gridCol w:w="1559"/>
        <w:gridCol w:w="991"/>
        <w:gridCol w:w="3547"/>
      </w:tblGrid>
      <w:tr>
        <w:tblPrEx/>
        <w:trPr>
          <w:trHeight w:val="681"/>
          <w:tblHeader/>
        </w:trPr>
        <w:tc>
          <w:tcPr>
            <w:shd w:val="clear" w:color="auto" w:fill="f2f2f2" w:themeFill="background1" w:themeFillShade="F2"/>
            <w:tcW w:w="1843"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Наименование</w:t>
            </w:r>
            <w:r>
              <w:rPr>
                <w:rFonts w:ascii="PT Astra Serif" w:hAnsi="PT Astra Serif"/>
                <w:sz w:val="20"/>
                <w:szCs w:val="20"/>
              </w:rPr>
            </w:r>
            <w:r>
              <w:rPr>
                <w:rFonts w:ascii="PT Astra Serif" w:hAnsi="PT Astra Serif"/>
                <w:sz w:val="20"/>
                <w:szCs w:val="20"/>
              </w:rPr>
            </w:r>
          </w:p>
        </w:tc>
        <w:tc>
          <w:tcPr>
            <w:shd w:val="clear" w:color="auto" w:fill="f2f2f2" w:themeFill="background1" w:themeFillShade="F2"/>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Сценарий</w:t>
            </w:r>
            <w:r>
              <w:rPr>
                <w:rFonts w:ascii="PT Astra Serif" w:hAnsi="PT Astra Serif"/>
                <w:sz w:val="20"/>
                <w:szCs w:val="20"/>
              </w:rPr>
            </w:r>
            <w:r>
              <w:rPr>
                <w:rFonts w:ascii="PT Astra Serif" w:hAnsi="PT Astra Serif"/>
                <w:sz w:val="20"/>
                <w:szCs w:val="20"/>
              </w:rPr>
            </w:r>
          </w:p>
        </w:tc>
        <w:tc>
          <w:tcPr>
            <w:shd w:val="clear" w:color="auto" w:fill="f2f2f2" w:themeFill="background1" w:themeFillShade="F2"/>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2023 ПРОГНОЗ долгосрочный*</w:t>
            </w:r>
            <w:r>
              <w:rPr>
                <w:rFonts w:ascii="PT Astra Serif" w:hAnsi="PT Astra Serif"/>
                <w:sz w:val="20"/>
                <w:szCs w:val="20"/>
              </w:rPr>
            </w:r>
            <w:r>
              <w:rPr>
                <w:rFonts w:ascii="PT Astra Serif" w:hAnsi="PT Astra Serif"/>
                <w:sz w:val="20"/>
                <w:szCs w:val="20"/>
              </w:rPr>
            </w:r>
          </w:p>
        </w:tc>
        <w:tc>
          <w:tcPr>
            <w:shd w:val="clear" w:color="auto" w:fill="f2f2f2" w:themeFill="background1" w:themeFillShade="F2"/>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lang w:val="en-US"/>
              </w:rPr>
              <w:t xml:space="preserve">202</w:t>
            </w:r>
            <w:r>
              <w:rPr>
                <w:rFonts w:ascii="PT Astra Serif" w:hAnsi="PT Astra Serif"/>
                <w:sz w:val="20"/>
                <w:szCs w:val="20"/>
              </w:rPr>
              <w:t xml:space="preserve">3</w:t>
            </w:r>
            <w:r>
              <w:rPr>
                <w:rFonts w:ascii="PT Astra Serif" w:hAnsi="PT Astra Serif"/>
                <w:sz w:val="20"/>
                <w:szCs w:val="20"/>
                <w:lang w:val="en-US"/>
              </w:rPr>
              <w:t xml:space="preserve"> </w:t>
            </w:r>
            <w:r>
              <w:rPr>
                <w:rFonts w:ascii="PT Astra Serif" w:hAnsi="PT Astra Serif"/>
                <w:sz w:val="20"/>
                <w:szCs w:val="20"/>
              </w:rPr>
              <w:t xml:space="preserve">год</w:t>
            </w:r>
            <w:r>
              <w:rPr>
                <w:rFonts w:ascii="PT Astra Serif" w:hAnsi="PT Astra Serif"/>
                <w:sz w:val="20"/>
                <w:szCs w:val="20"/>
              </w:rPr>
            </w:r>
            <w:r>
              <w:rPr>
                <w:rFonts w:ascii="PT Astra Serif" w:hAnsi="PT Astra Serif"/>
                <w:sz w:val="20"/>
                <w:szCs w:val="20"/>
              </w:rPr>
            </w:r>
          </w:p>
          <w:p>
            <w:pPr>
              <w:jc w:val="center"/>
              <w:spacing w:after="0" w:line="240" w:lineRule="auto"/>
              <w:rPr>
                <w:rFonts w:ascii="PT Astra Serif" w:hAnsi="PT Astra Serif"/>
                <w:sz w:val="20"/>
                <w:szCs w:val="20"/>
              </w:rPr>
            </w:pPr>
            <w:r>
              <w:rPr>
                <w:rFonts w:ascii="PT Astra Serif" w:hAnsi="PT Astra Serif"/>
                <w:sz w:val="20"/>
                <w:szCs w:val="20"/>
              </w:rPr>
              <w:t xml:space="preserve">ПРОГНОЗ среднесрочный**</w:t>
            </w:r>
            <w:r>
              <w:rPr>
                <w:rFonts w:ascii="PT Astra Serif" w:hAnsi="PT Astra Serif"/>
                <w:sz w:val="20"/>
                <w:szCs w:val="20"/>
              </w:rPr>
            </w:r>
            <w:r>
              <w:rPr>
                <w:rFonts w:ascii="PT Astra Serif" w:hAnsi="PT Astra Serif"/>
                <w:sz w:val="20"/>
                <w:szCs w:val="20"/>
              </w:rPr>
            </w:r>
          </w:p>
        </w:tc>
        <w:tc>
          <w:tcPr>
            <w:shd w:val="clear" w:color="auto" w:fill="f2f2f2" w:themeFill="background1" w:themeFillShade="F2"/>
            <w:tcW w:w="991"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20</w:t>
            </w:r>
            <w:r>
              <w:rPr>
                <w:rFonts w:ascii="PT Astra Serif" w:hAnsi="PT Astra Serif"/>
                <w:sz w:val="20"/>
                <w:szCs w:val="20"/>
                <w:lang w:val="en-US"/>
              </w:rPr>
              <w:t xml:space="preserve">2</w:t>
            </w:r>
            <w:r>
              <w:rPr>
                <w:rFonts w:ascii="PT Astra Serif" w:hAnsi="PT Astra Serif"/>
                <w:sz w:val="20"/>
                <w:szCs w:val="20"/>
              </w:rPr>
              <w:t xml:space="preserve">3 год</w:t>
            </w:r>
            <w:r>
              <w:rPr>
                <w:rFonts w:ascii="PT Astra Serif" w:hAnsi="PT Astra Serif"/>
                <w:sz w:val="20"/>
                <w:szCs w:val="20"/>
              </w:rPr>
            </w:r>
            <w:r>
              <w:rPr>
                <w:rFonts w:ascii="PT Astra Serif" w:hAnsi="PT Astra Serif"/>
                <w:sz w:val="20"/>
                <w:szCs w:val="20"/>
              </w:rPr>
            </w:r>
          </w:p>
          <w:p>
            <w:pPr>
              <w:jc w:val="center"/>
              <w:spacing w:after="0" w:line="240" w:lineRule="auto"/>
              <w:rPr>
                <w:rFonts w:ascii="PT Astra Serif" w:hAnsi="PT Astra Serif"/>
                <w:sz w:val="20"/>
                <w:szCs w:val="20"/>
              </w:rPr>
            </w:pPr>
            <w:r>
              <w:rPr>
                <w:rFonts w:ascii="PT Astra Serif" w:hAnsi="PT Astra Serif"/>
                <w:sz w:val="20"/>
                <w:szCs w:val="20"/>
              </w:rPr>
              <w:t xml:space="preserve">ФАКТ</w:t>
            </w:r>
            <w:r>
              <w:rPr>
                <w:rFonts w:ascii="PT Astra Serif" w:hAnsi="PT Astra Serif"/>
                <w:sz w:val="20"/>
                <w:szCs w:val="20"/>
              </w:rPr>
            </w:r>
            <w:r>
              <w:rPr>
                <w:rFonts w:ascii="PT Astra Serif" w:hAnsi="PT Astra Serif"/>
                <w:sz w:val="20"/>
                <w:szCs w:val="20"/>
              </w:rPr>
            </w:r>
          </w:p>
        </w:tc>
        <w:tc>
          <w:tcPr>
            <w:shd w:val="clear" w:color="auto" w:fill="f2f2f2" w:themeFill="background1" w:themeFillShade="F2"/>
            <w:tcW w:w="3547"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Причины отклонения фактических значений от прогнозных значений</w:t>
            </w:r>
            <w:r>
              <w:rPr>
                <w:rFonts w:ascii="PT Astra Serif" w:hAnsi="PT Astra Serif"/>
                <w:sz w:val="20"/>
                <w:szCs w:val="20"/>
              </w:rPr>
            </w:r>
            <w:r>
              <w:rPr>
                <w:rFonts w:ascii="PT Astra Serif" w:hAnsi="PT Astra Serif"/>
                <w:sz w:val="20"/>
                <w:szCs w:val="20"/>
              </w:rPr>
            </w:r>
          </w:p>
        </w:tc>
      </w:tr>
      <w:tr>
        <w:tblPrEx/>
        <w:trPr>
          <w:trHeight w:val="379"/>
        </w:trPr>
        <w:tc>
          <w:tcPr>
            <w:shd w:val="clear" w:color="auto" w:fill="auto"/>
            <w:tcW w:w="1843" w:type="dxa"/>
            <w:vAlign w:val="center"/>
            <w:vMerge w:val="restart"/>
            <w:textDirection w:val="lrTb"/>
            <w:noWrap w:val="false"/>
          </w:tcPr>
          <w:p>
            <w:pPr>
              <w:spacing w:after="0" w:line="240" w:lineRule="auto"/>
              <w:rPr>
                <w:rFonts w:ascii="PT Astra Serif" w:hAnsi="PT Astra Serif"/>
                <w:sz w:val="20"/>
                <w:szCs w:val="20"/>
              </w:rPr>
            </w:pPr>
            <w:r>
              <w:rPr>
                <w:rFonts w:ascii="PT Astra Serif" w:hAnsi="PT Astra Serif"/>
                <w:sz w:val="20"/>
                <w:szCs w:val="20"/>
              </w:rPr>
              <w:t xml:space="preserve">Валовой региональный продукт в сопоставимых ценах, ИФО в % к предыдущему году</w:t>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консерва</w:t>
            </w:r>
            <w:r>
              <w:rPr>
                <w:rFonts w:ascii="PT Astra Serif" w:hAnsi="PT Astra Serif"/>
                <w:sz w:val="20"/>
                <w:szCs w:val="20"/>
              </w:rPr>
              <w:t xml:space="preserve">-</w:t>
            </w:r>
            <w:r>
              <w:rPr>
                <w:rFonts w:ascii="PT Astra Serif" w:hAnsi="PT Astra Serif"/>
                <w:sz w:val="20"/>
                <w:szCs w:val="20"/>
              </w:rPr>
              <w:t xml:space="preserve">тивный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101,4</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vertAlign w:val="superscript"/>
              </w:rPr>
            </w:pPr>
            <w:r>
              <w:rPr>
                <w:rFonts w:ascii="PT Astra Serif" w:hAnsi="PT Astra Serif"/>
                <w:sz w:val="20"/>
                <w:szCs w:val="20"/>
              </w:rPr>
              <w:t xml:space="preserve">98,6</w:t>
            </w:r>
            <w:r>
              <w:rPr>
                <w:rFonts w:ascii="PT Astra Serif" w:hAnsi="PT Astra Serif"/>
                <w:sz w:val="20"/>
                <w:szCs w:val="20"/>
                <w:vertAlign w:val="superscript"/>
              </w:rPr>
            </w:r>
            <w:r>
              <w:rPr>
                <w:rFonts w:ascii="PT Astra Serif" w:hAnsi="PT Astra Serif"/>
                <w:sz w:val="20"/>
                <w:szCs w:val="20"/>
                <w:vertAlign w:val="superscript"/>
              </w:rPr>
            </w:r>
          </w:p>
        </w:tc>
        <w:tc>
          <w:tcPr>
            <w:tcW w:w="991" w:type="dxa"/>
            <w:vAlign w:val="center"/>
            <w:vMerge w:val="restart"/>
            <w:textDirection w:val="lrTb"/>
            <w:noWrap w:val="false"/>
          </w:tcPr>
          <w:p>
            <w:pPr>
              <w:jc w:val="center"/>
              <w:spacing w:after="0" w:line="240" w:lineRule="auto"/>
              <w:rPr>
                <w:rFonts w:ascii="PT Astra Serif" w:hAnsi="PT Astra Serif"/>
                <w:sz w:val="20"/>
                <w:szCs w:val="20"/>
                <w:vertAlign w:val="superscript"/>
              </w:rPr>
            </w:pPr>
            <w:r>
              <w:rPr>
                <w:rFonts w:ascii="PT Astra Serif" w:hAnsi="PT Astra Serif"/>
                <w:sz w:val="20"/>
                <w:szCs w:val="20"/>
              </w:rPr>
              <w:t xml:space="preserve">100,5</w:t>
            </w:r>
            <w:r>
              <w:rPr>
                <w:rFonts w:ascii="PT Astra Serif" w:hAnsi="PT Astra Serif"/>
                <w:sz w:val="20"/>
                <w:szCs w:val="20"/>
                <w:vertAlign w:val="superscript"/>
              </w:rPr>
              <w:t xml:space="preserve">***</w:t>
            </w:r>
            <w:r>
              <w:rPr>
                <w:rFonts w:ascii="PT Astra Serif" w:hAnsi="PT Astra Serif"/>
                <w:sz w:val="20"/>
                <w:szCs w:val="20"/>
                <w:vertAlign w:val="superscript"/>
              </w:rPr>
            </w:r>
            <w:r>
              <w:rPr>
                <w:rFonts w:ascii="PT Astra Serif" w:hAnsi="PT Astra Serif"/>
                <w:sz w:val="20"/>
                <w:szCs w:val="20"/>
                <w:vertAlign w:val="superscript"/>
              </w:rPr>
            </w:r>
          </w:p>
        </w:tc>
        <w:tc>
          <w:tcPr>
            <w:tcW w:w="3547" w:type="dxa"/>
            <w:vAlign w:val="center"/>
            <w:vMerge w:val="restart"/>
            <w:textDirection w:val="lrTb"/>
            <w:noWrap w:val="false"/>
          </w:tcPr>
          <w:p>
            <w:pPr>
              <w:spacing w:after="0" w:line="240" w:lineRule="auto"/>
              <w:rPr>
                <w:rFonts w:ascii="PT Astra Serif" w:hAnsi="PT Astra Serif"/>
                <w:sz w:val="20"/>
                <w:szCs w:val="20"/>
              </w:rPr>
            </w:pPr>
            <w:r>
              <w:rPr>
                <w:rFonts w:ascii="PT Astra Serif" w:hAnsi="PT Astra Serif"/>
                <w:sz w:val="20"/>
                <w:szCs w:val="20"/>
              </w:rPr>
              <w:t xml:space="preserve">На показатель ВРП негативное влияние оказал факт сокращения добычи нефти на фоне санкционных ограничений.  При этом обрабатывающие производства продемонстрировали рост за счет пищевого производства</w:t>
            </w:r>
            <w:r>
              <w:rPr>
                <w:rFonts w:ascii="PT Astra Serif" w:hAnsi="PT Astra Serif"/>
                <w:sz w:val="20"/>
                <w:szCs w:val="20"/>
              </w:rPr>
              <w:t xml:space="preserve">, машиностроения и электроники</w:t>
            </w:r>
            <w:r>
              <w:rPr>
                <w:rFonts w:ascii="PT Astra Serif" w:hAnsi="PT Astra Serif"/>
                <w:sz w:val="20"/>
                <w:szCs w:val="20"/>
              </w:rPr>
            </w:r>
            <w:r>
              <w:rPr>
                <w:rFonts w:ascii="PT Astra Serif" w:hAnsi="PT Astra Serif"/>
                <w:sz w:val="20"/>
                <w:szCs w:val="20"/>
              </w:rPr>
            </w:r>
          </w:p>
        </w:tc>
      </w:tr>
      <w:tr>
        <w:tblPrEx/>
        <w:trPr>
          <w:trHeight w:val="485"/>
        </w:trPr>
        <w:tc>
          <w:tcPr>
            <w:shd w:val="clear" w:color="auto" w:fill="auto"/>
            <w:tcW w:w="1843" w:type="dxa"/>
            <w:vAlign w:val="center"/>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базовый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102,5</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100,2</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tcW w:w="3547" w:type="dxa"/>
            <w:vAlign w:val="center"/>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442"/>
        </w:trPr>
        <w:tc>
          <w:tcPr>
            <w:shd w:val="clear" w:color="auto" w:fill="auto"/>
            <w:tcW w:w="1843" w:type="dxa"/>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целевой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103,0</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101,4</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vertAlign w:val="superscript"/>
              </w:rPr>
            </w:pPr>
            <w:r>
              <w:rPr>
                <w:rFonts w:ascii="PT Astra Serif" w:hAnsi="PT Astra Serif"/>
                <w:sz w:val="20"/>
                <w:szCs w:val="20"/>
                <w:vertAlign w:val="superscript"/>
              </w:rPr>
            </w:r>
            <w:r>
              <w:rPr>
                <w:rFonts w:ascii="PT Astra Serif" w:hAnsi="PT Astra Serif"/>
                <w:sz w:val="20"/>
                <w:szCs w:val="20"/>
                <w:vertAlign w:val="superscript"/>
              </w:rPr>
            </w:r>
            <w:r>
              <w:rPr>
                <w:rFonts w:ascii="PT Astra Serif" w:hAnsi="PT Astra Serif"/>
                <w:sz w:val="20"/>
                <w:szCs w:val="20"/>
                <w:vertAlign w:val="superscript"/>
              </w:rPr>
            </w:r>
          </w:p>
        </w:tc>
        <w:tc>
          <w:tcPr>
            <w:tcW w:w="3547"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21"/>
        </w:trPr>
        <w:tc>
          <w:tcPr>
            <w:gridSpan w:val="6"/>
            <w:shd w:val="clear" w:color="auto" w:fill="f2f2f2" w:themeFill="background1" w:themeFillShade="F2"/>
            <w:tcW w:w="10632" w:type="dxa"/>
            <w:textDirection w:val="lrTb"/>
            <w:noWrap w:val="false"/>
          </w:tcPr>
          <w:p>
            <w:pPr>
              <w:jc w:val="center"/>
              <w:spacing w:after="0" w:line="240" w:lineRule="auto"/>
              <w:rPr>
                <w:rFonts w:ascii="PT Astra Serif" w:hAnsi="PT Astra Serif"/>
                <w:b/>
                <w:sz w:val="20"/>
                <w:szCs w:val="20"/>
              </w:rPr>
            </w:pPr>
            <w:r>
              <w:rPr>
                <w:rFonts w:ascii="PT Astra Serif" w:hAnsi="PT Astra Serif"/>
                <w:b/>
                <w:sz w:val="20"/>
                <w:szCs w:val="20"/>
              </w:rPr>
            </w:r>
            <w:r>
              <w:rPr>
                <w:rFonts w:ascii="PT Astra Serif" w:hAnsi="PT Astra Serif"/>
                <w:b/>
                <w:sz w:val="20"/>
                <w:szCs w:val="20"/>
              </w:rPr>
            </w:r>
            <w:r>
              <w:rPr>
                <w:rFonts w:ascii="PT Astra Serif" w:hAnsi="PT Astra Serif"/>
                <w:b/>
                <w:sz w:val="20"/>
                <w:szCs w:val="20"/>
              </w:rPr>
            </w:r>
          </w:p>
        </w:tc>
      </w:tr>
      <w:tr>
        <w:tblPrEx/>
        <w:trPr>
          <w:trHeight w:val="1439"/>
        </w:trPr>
        <w:tc>
          <w:tcPr>
            <w:shd w:val="clear" w:color="auto" w:fill="auto"/>
            <w:tcW w:w="1843" w:type="dxa"/>
            <w:vAlign w:val="center"/>
            <w:vMerge w:val="restart"/>
            <w:textDirection w:val="lrTb"/>
            <w:noWrap w:val="false"/>
          </w:tcPr>
          <w:p>
            <w:pPr>
              <w:spacing w:after="0" w:line="240" w:lineRule="auto"/>
              <w:rPr>
                <w:rFonts w:ascii="PT Astra Serif" w:hAnsi="PT Astra Serif"/>
                <w:sz w:val="20"/>
                <w:szCs w:val="20"/>
              </w:rPr>
            </w:pPr>
            <w:r>
              <w:rPr>
                <w:rFonts w:ascii="PT Astra Serif" w:hAnsi="PT Astra Serif"/>
                <w:sz w:val="20"/>
                <w:szCs w:val="20"/>
              </w:rPr>
              <w:t xml:space="preserve">Индекс промышленного производства, в % к пред.</w:t>
            </w:r>
            <w:r>
              <w:rPr>
                <w:rFonts w:ascii="PT Astra Serif" w:hAnsi="PT Astra Serif"/>
                <w:sz w:val="20"/>
                <w:szCs w:val="20"/>
              </w:rPr>
              <w:t xml:space="preserve"> </w:t>
            </w:r>
            <w:r>
              <w:rPr>
                <w:rFonts w:ascii="PT Astra Serif" w:hAnsi="PT Astra Serif"/>
                <w:sz w:val="20"/>
                <w:szCs w:val="20"/>
              </w:rPr>
              <w:t xml:space="preserve">году</w:t>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консерва</w:t>
            </w:r>
            <w:r>
              <w:rPr>
                <w:rFonts w:ascii="PT Astra Serif" w:hAnsi="PT Astra Serif"/>
                <w:sz w:val="20"/>
                <w:szCs w:val="20"/>
              </w:rPr>
              <w:t xml:space="preserve">-</w:t>
            </w:r>
            <w:r>
              <w:rPr>
                <w:rFonts w:ascii="PT Astra Serif" w:hAnsi="PT Astra Serif"/>
                <w:sz w:val="20"/>
                <w:szCs w:val="20"/>
              </w:rPr>
              <w:t xml:space="preserve">тивный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100,9</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98,7</w:t>
            </w:r>
            <w:r>
              <w:rPr>
                <w:rFonts w:ascii="PT Astra Serif" w:hAnsi="PT Astra Serif"/>
                <w:sz w:val="20"/>
                <w:szCs w:val="20"/>
              </w:rPr>
            </w:r>
            <w:r>
              <w:rPr>
                <w:rFonts w:ascii="PT Astra Serif" w:hAnsi="PT Astra Serif"/>
                <w:sz w:val="20"/>
                <w:szCs w:val="20"/>
              </w:rPr>
            </w:r>
          </w:p>
        </w:tc>
        <w:tc>
          <w:tcPr>
            <w:tcW w:w="991" w:type="dxa"/>
            <w:vAlign w:val="center"/>
            <w:vMerge w:val="restart"/>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102,0</w:t>
            </w:r>
            <w:r>
              <w:rPr>
                <w:rFonts w:ascii="PT Astra Serif" w:hAnsi="PT Astra Serif"/>
                <w:sz w:val="20"/>
                <w:szCs w:val="20"/>
              </w:rPr>
            </w:r>
            <w:r>
              <w:rPr>
                <w:rFonts w:ascii="PT Astra Serif" w:hAnsi="PT Astra Serif"/>
                <w:sz w:val="20"/>
                <w:szCs w:val="20"/>
              </w:rPr>
            </w:r>
          </w:p>
        </w:tc>
        <w:tc>
          <w:tcPr>
            <w:tcW w:w="3547" w:type="dxa"/>
            <w:vAlign w:val="center"/>
            <w:vMerge w:val="restart"/>
            <w:textDirection w:val="lrTb"/>
            <w:noWrap w:val="false"/>
          </w:tcPr>
          <w:p>
            <w:pPr>
              <w:spacing w:after="0" w:line="240" w:lineRule="auto"/>
              <w:rPr>
                <w:rFonts w:ascii="PT Astra Serif" w:hAnsi="PT Astra Serif"/>
                <w:sz w:val="20"/>
                <w:szCs w:val="20"/>
              </w:rPr>
            </w:pPr>
            <w:r>
              <w:rPr>
                <w:rFonts w:ascii="PT Astra Serif" w:hAnsi="PT Astra Serif"/>
                <w:sz w:val="20"/>
                <w:szCs w:val="20"/>
              </w:rPr>
              <w:t xml:space="preserve">Отклонение показателя от среднесрочного прогноза на 2023 год обусловлено более высокими темпами</w:t>
            </w:r>
            <w:r>
              <w:rPr>
                <w:rFonts w:ascii="PT Astra Serif" w:hAnsi="PT Astra Serif"/>
                <w:sz w:val="20"/>
                <w:szCs w:val="20"/>
              </w:rPr>
              <w:t xml:space="preserve"> роста обрабатывающей промышленности. Несмотря на влияние санкций, ограничений внешнеэкономической деятельности и нарушений логистических цепочек, повлекший в 2022 году спад  объемов в целом по промышленности до 97,8%, в 2023 году основные отрасли (пищевая</w:t>
            </w:r>
            <w:r>
              <w:rPr>
                <w:rFonts w:ascii="PT Astra Serif" w:hAnsi="PT Astra Serif"/>
                <w:sz w:val="20"/>
                <w:szCs w:val="20"/>
              </w:rPr>
              <w:t xml:space="preserve"> промышленность</w:t>
            </w:r>
            <w:r>
              <w:rPr>
                <w:rFonts w:ascii="PT Astra Serif" w:hAnsi="PT Astra Serif"/>
                <w:sz w:val="20"/>
                <w:szCs w:val="20"/>
              </w:rPr>
              <w:t xml:space="preserve">, нефтехимия, нефтепродукты, электроника, машиностроение и металлургия) показали положительную динамику. В результате ИФО обрабатывающей промышленности по итогам 2023 года составил 106,7%, что способствовало агрегированному ИФО сложиться на уровне 102%</w:t>
            </w:r>
            <w:r>
              <w:rPr>
                <w:rFonts w:ascii="PT Astra Serif" w:hAnsi="PT Astra Serif"/>
                <w:sz w:val="20"/>
                <w:szCs w:val="20"/>
              </w:rPr>
            </w:r>
            <w:r>
              <w:rPr>
                <w:rFonts w:ascii="PT Astra Serif" w:hAnsi="PT Astra Serif"/>
                <w:sz w:val="20"/>
                <w:szCs w:val="20"/>
              </w:rPr>
            </w:r>
          </w:p>
        </w:tc>
      </w:tr>
      <w:tr>
        <w:tblPrEx/>
        <w:trPr>
          <w:trHeight w:val="1531"/>
        </w:trPr>
        <w:tc>
          <w:tcPr>
            <w:shd w:val="clear" w:color="auto" w:fill="auto"/>
            <w:tcW w:w="1843" w:type="dxa"/>
            <w:vAlign w:val="center"/>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базовый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102,1</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100,3</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tcW w:w="3547" w:type="dxa"/>
            <w:vAlign w:val="center"/>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21"/>
        </w:trPr>
        <w:tc>
          <w:tcPr>
            <w:shd w:val="clear" w:color="auto" w:fill="auto"/>
            <w:tcW w:w="1843" w:type="dxa"/>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целевой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103,0</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100,6</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vertAlign w:val="superscript"/>
              </w:rPr>
            </w:pPr>
            <w:r>
              <w:rPr>
                <w:rFonts w:ascii="PT Astra Serif" w:hAnsi="PT Astra Serif"/>
                <w:sz w:val="20"/>
                <w:szCs w:val="20"/>
                <w:vertAlign w:val="superscript"/>
              </w:rPr>
            </w:r>
            <w:r>
              <w:rPr>
                <w:rFonts w:ascii="PT Astra Serif" w:hAnsi="PT Astra Serif"/>
                <w:sz w:val="20"/>
                <w:szCs w:val="20"/>
                <w:vertAlign w:val="superscript"/>
              </w:rPr>
            </w:r>
            <w:r>
              <w:rPr>
                <w:rFonts w:ascii="PT Astra Serif" w:hAnsi="PT Astra Serif"/>
                <w:sz w:val="20"/>
                <w:szCs w:val="20"/>
                <w:vertAlign w:val="superscript"/>
              </w:rPr>
            </w:r>
          </w:p>
        </w:tc>
        <w:tc>
          <w:tcPr>
            <w:tcW w:w="3547"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21"/>
        </w:trPr>
        <w:tc>
          <w:tcPr>
            <w:gridSpan w:val="6"/>
            <w:shd w:val="clear" w:color="auto" w:fill="f2f2f2" w:themeFill="background1" w:themeFillShade="F2"/>
            <w:tcW w:w="10632" w:type="dxa"/>
            <w:textDirection w:val="lrTb"/>
            <w:noWrap w:val="false"/>
          </w:tcPr>
          <w:p>
            <w:pPr>
              <w:jc w:val="center"/>
              <w:spacing w:after="0" w:line="240" w:lineRule="auto"/>
              <w:rPr>
                <w:rFonts w:ascii="PT Astra Serif" w:hAnsi="PT Astra Serif"/>
                <w:b/>
                <w:sz w:val="20"/>
                <w:szCs w:val="20"/>
              </w:rPr>
            </w:pPr>
            <w:r>
              <w:rPr>
                <w:rFonts w:ascii="PT Astra Serif" w:hAnsi="PT Astra Serif"/>
                <w:b/>
                <w:sz w:val="20"/>
                <w:szCs w:val="20"/>
              </w:rPr>
            </w:r>
            <w:r>
              <w:rPr>
                <w:rFonts w:ascii="PT Astra Serif" w:hAnsi="PT Astra Serif"/>
                <w:b/>
                <w:sz w:val="20"/>
                <w:szCs w:val="20"/>
              </w:rPr>
            </w:r>
            <w:r>
              <w:rPr>
                <w:rFonts w:ascii="PT Astra Serif" w:hAnsi="PT Astra Serif"/>
                <w:b/>
                <w:sz w:val="20"/>
                <w:szCs w:val="20"/>
              </w:rPr>
            </w:r>
          </w:p>
        </w:tc>
      </w:tr>
      <w:tr>
        <w:tblPrEx/>
        <w:trPr>
          <w:trHeight w:val="844"/>
        </w:trPr>
        <w:tc>
          <w:tcPr>
            <w:shd w:val="clear" w:color="auto" w:fill="auto"/>
            <w:tcW w:w="1843" w:type="dxa"/>
            <w:vAlign w:val="center"/>
            <w:vMerge w:val="restart"/>
            <w:textDirection w:val="lrTb"/>
            <w:noWrap w:val="false"/>
          </w:tcPr>
          <w:p>
            <w:pPr>
              <w:spacing w:after="0" w:line="240" w:lineRule="auto"/>
              <w:rPr>
                <w:rFonts w:ascii="PT Astra Serif" w:hAnsi="PT Astra Serif"/>
                <w:sz w:val="20"/>
                <w:szCs w:val="20"/>
              </w:rPr>
            </w:pPr>
            <w:r>
              <w:rPr>
                <w:rFonts w:ascii="PT Astra Serif" w:hAnsi="PT Astra Serif"/>
                <w:sz w:val="20"/>
                <w:szCs w:val="20"/>
              </w:rPr>
              <w:t xml:space="preserve">Индекс производства продукции сельского хозяйства в хозяйствах всех категорий (в сопоставимых ценах), в % к пред.</w:t>
            </w:r>
            <w:r>
              <w:rPr>
                <w:rFonts w:ascii="PT Astra Serif" w:hAnsi="PT Astra Serif"/>
                <w:sz w:val="20"/>
                <w:szCs w:val="20"/>
              </w:rPr>
              <w:t xml:space="preserve"> </w:t>
            </w:r>
            <w:r>
              <w:rPr>
                <w:rFonts w:ascii="PT Astra Serif" w:hAnsi="PT Astra Serif"/>
                <w:sz w:val="20"/>
                <w:szCs w:val="20"/>
              </w:rPr>
              <w:t xml:space="preserve">году</w:t>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консерва</w:t>
            </w:r>
            <w:r>
              <w:rPr>
                <w:rFonts w:ascii="PT Astra Serif" w:hAnsi="PT Astra Serif"/>
                <w:sz w:val="20"/>
                <w:szCs w:val="20"/>
              </w:rPr>
              <w:t xml:space="preserve">-</w:t>
            </w:r>
            <w:r>
              <w:rPr>
                <w:rFonts w:ascii="PT Astra Serif" w:hAnsi="PT Astra Serif"/>
                <w:sz w:val="20"/>
                <w:szCs w:val="20"/>
              </w:rPr>
              <w:t xml:space="preserve">тивный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100,3</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99,6</w:t>
            </w:r>
            <w:r>
              <w:rPr>
                <w:rFonts w:ascii="PT Astra Serif" w:hAnsi="PT Astra Serif"/>
                <w:sz w:val="20"/>
                <w:szCs w:val="20"/>
              </w:rPr>
            </w:r>
            <w:r>
              <w:rPr>
                <w:rFonts w:ascii="PT Astra Serif" w:hAnsi="PT Astra Serif"/>
                <w:sz w:val="20"/>
                <w:szCs w:val="20"/>
              </w:rPr>
            </w:r>
          </w:p>
        </w:tc>
        <w:tc>
          <w:tcPr>
            <w:tcW w:w="991" w:type="dxa"/>
            <w:vAlign w:val="center"/>
            <w:vMerge w:val="restart"/>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94,1</w:t>
            </w:r>
            <w:r>
              <w:rPr>
                <w:rFonts w:ascii="PT Astra Serif" w:hAnsi="PT Astra Serif"/>
                <w:sz w:val="20"/>
                <w:szCs w:val="20"/>
              </w:rPr>
            </w:r>
            <w:r>
              <w:rPr>
                <w:rFonts w:ascii="PT Astra Serif" w:hAnsi="PT Astra Serif"/>
                <w:sz w:val="20"/>
                <w:szCs w:val="20"/>
              </w:rPr>
            </w:r>
          </w:p>
        </w:tc>
        <w:tc>
          <w:tcPr>
            <w:tcW w:w="3547" w:type="dxa"/>
            <w:vAlign w:val="center"/>
            <w:vMerge w:val="restart"/>
            <w:textDirection w:val="lrTb"/>
            <w:noWrap w:val="false"/>
          </w:tcPr>
          <w:p>
            <w:pPr>
              <w:spacing w:after="0" w:line="240" w:lineRule="auto"/>
              <w:rPr>
                <w:rFonts w:ascii="PT Astra Serif" w:hAnsi="PT Astra Serif"/>
                <w:sz w:val="20"/>
                <w:szCs w:val="20"/>
              </w:rPr>
            </w:pPr>
            <w:r>
              <w:rPr>
                <w:rFonts w:ascii="PT Astra Serif" w:hAnsi="PT Astra Serif"/>
                <w:sz w:val="20"/>
                <w:szCs w:val="20"/>
              </w:rPr>
              <w:t xml:space="preserve">Снижение ИФО к уровню 2022 года обусловлено падением объемов производс</w:t>
            </w:r>
            <w:r>
              <w:rPr>
                <w:rFonts w:ascii="PT Astra Serif" w:hAnsi="PT Astra Serif"/>
                <w:sz w:val="20"/>
                <w:szCs w:val="20"/>
              </w:rPr>
              <w:t xml:space="preserve">тва животноводческой продукции: мяса на 1,3%, яиц на 2,3%, а также растениеводческой продукции: зерновых и зернобобовых культур – на 26,3%, картофеля – на 8,9%, овощей – на 1% из-за неблагоприятных погодных условий в течение всего полевого сезона 2023 года</w:t>
            </w:r>
            <w:r>
              <w:rPr>
                <w:rFonts w:ascii="PT Astra Serif" w:hAnsi="PT Astra Serif"/>
                <w:sz w:val="20"/>
                <w:szCs w:val="20"/>
              </w:rPr>
            </w:r>
            <w:r>
              <w:rPr>
                <w:rFonts w:ascii="PT Astra Serif" w:hAnsi="PT Astra Serif"/>
                <w:sz w:val="20"/>
                <w:szCs w:val="20"/>
              </w:rPr>
            </w:r>
          </w:p>
        </w:tc>
      </w:tr>
      <w:tr>
        <w:tblPrEx/>
        <w:trPr>
          <w:trHeight w:val="1082"/>
        </w:trPr>
        <w:tc>
          <w:tcPr>
            <w:shd w:val="clear" w:color="auto" w:fill="auto"/>
            <w:tcW w:w="1843" w:type="dxa"/>
            <w:vAlign w:val="center"/>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базовый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100,6</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100,6</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tcW w:w="3547" w:type="dxa"/>
            <w:vAlign w:val="center"/>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21"/>
        </w:trPr>
        <w:tc>
          <w:tcPr>
            <w:shd w:val="clear" w:color="auto" w:fill="auto"/>
            <w:tcW w:w="1843" w:type="dxa"/>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целевой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101,5</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101,1</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vertAlign w:val="superscript"/>
              </w:rPr>
            </w:pPr>
            <w:r>
              <w:rPr>
                <w:rFonts w:ascii="PT Astra Serif" w:hAnsi="PT Astra Serif"/>
                <w:sz w:val="20"/>
                <w:szCs w:val="20"/>
                <w:vertAlign w:val="superscript"/>
              </w:rPr>
            </w:r>
            <w:r>
              <w:rPr>
                <w:rFonts w:ascii="PT Astra Serif" w:hAnsi="PT Astra Serif"/>
                <w:sz w:val="20"/>
                <w:szCs w:val="20"/>
                <w:vertAlign w:val="superscript"/>
              </w:rPr>
            </w:r>
            <w:r>
              <w:rPr>
                <w:rFonts w:ascii="PT Astra Serif" w:hAnsi="PT Astra Serif"/>
                <w:sz w:val="20"/>
                <w:szCs w:val="20"/>
                <w:vertAlign w:val="superscript"/>
              </w:rPr>
            </w:r>
          </w:p>
        </w:tc>
        <w:tc>
          <w:tcPr>
            <w:tcW w:w="3547"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21"/>
        </w:trPr>
        <w:tc>
          <w:tcPr>
            <w:gridSpan w:val="6"/>
            <w:shd w:val="clear" w:color="auto" w:fill="f2f2f2" w:themeFill="background1" w:themeFillShade="F2"/>
            <w:tcW w:w="10632" w:type="dxa"/>
            <w:textDirection w:val="lrTb"/>
            <w:noWrap w:val="false"/>
          </w:tcPr>
          <w:p>
            <w:pPr>
              <w:jc w:val="center"/>
              <w:spacing w:after="0" w:line="240" w:lineRule="auto"/>
              <w:rPr>
                <w:rFonts w:ascii="PT Astra Serif" w:hAnsi="PT Astra Serif"/>
                <w:b/>
                <w:sz w:val="20"/>
                <w:szCs w:val="20"/>
              </w:rPr>
            </w:pPr>
            <w:r>
              <w:rPr>
                <w:rFonts w:ascii="PT Astra Serif" w:hAnsi="PT Astra Serif"/>
                <w:b/>
                <w:sz w:val="20"/>
                <w:szCs w:val="20"/>
              </w:rPr>
            </w:r>
            <w:r>
              <w:rPr>
                <w:rFonts w:ascii="PT Astra Serif" w:hAnsi="PT Astra Serif"/>
                <w:b/>
                <w:sz w:val="20"/>
                <w:szCs w:val="20"/>
              </w:rPr>
            </w:r>
            <w:r>
              <w:rPr>
                <w:rFonts w:ascii="PT Astra Serif" w:hAnsi="PT Astra Serif"/>
                <w:b/>
                <w:sz w:val="20"/>
                <w:szCs w:val="20"/>
              </w:rPr>
            </w:r>
          </w:p>
        </w:tc>
      </w:tr>
      <w:tr>
        <w:tblPrEx/>
        <w:trPr>
          <w:trHeight w:val="85"/>
        </w:trPr>
        <w:tc>
          <w:tcPr>
            <w:shd w:val="clear" w:color="auto" w:fill="auto"/>
            <w:tcW w:w="1843" w:type="dxa"/>
            <w:vAlign w:val="center"/>
            <w:vMerge w:val="restart"/>
            <w:textDirection w:val="lrTb"/>
            <w:noWrap w:val="false"/>
          </w:tcPr>
          <w:p>
            <w:pPr>
              <w:spacing w:after="0" w:line="240" w:lineRule="auto"/>
              <w:rPr>
                <w:rFonts w:ascii="PT Astra Serif" w:hAnsi="PT Astra Serif"/>
                <w:sz w:val="20"/>
                <w:szCs w:val="20"/>
              </w:rPr>
            </w:pPr>
            <w:r>
              <w:rPr>
                <w:rFonts w:ascii="PT Astra Serif" w:hAnsi="PT Astra Serif"/>
                <w:sz w:val="20"/>
                <w:szCs w:val="20"/>
              </w:rPr>
              <w:t xml:space="preserve">Строительство, ИФО в % к пред. году</w:t>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консерва</w:t>
            </w:r>
            <w:r>
              <w:rPr>
                <w:rFonts w:ascii="PT Astra Serif" w:hAnsi="PT Astra Serif"/>
                <w:sz w:val="20"/>
                <w:szCs w:val="20"/>
              </w:rPr>
              <w:t xml:space="preserve">-</w:t>
            </w:r>
            <w:r>
              <w:rPr>
                <w:rFonts w:ascii="PT Astra Serif" w:hAnsi="PT Astra Serif"/>
                <w:sz w:val="20"/>
                <w:szCs w:val="20"/>
              </w:rPr>
              <w:t xml:space="preserve">тивный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98,0</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94,1</w:t>
            </w:r>
            <w:r>
              <w:rPr>
                <w:rFonts w:ascii="PT Astra Serif" w:hAnsi="PT Astra Serif"/>
                <w:sz w:val="20"/>
                <w:szCs w:val="20"/>
              </w:rPr>
            </w:r>
            <w:r>
              <w:rPr>
                <w:rFonts w:ascii="PT Astra Serif" w:hAnsi="PT Astra Serif"/>
                <w:sz w:val="20"/>
                <w:szCs w:val="20"/>
              </w:rPr>
            </w:r>
          </w:p>
        </w:tc>
        <w:tc>
          <w:tcPr>
            <w:tcW w:w="991" w:type="dxa"/>
            <w:vAlign w:val="center"/>
            <w:vMerge w:val="restart"/>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101,6</w:t>
            </w:r>
            <w:r>
              <w:rPr>
                <w:rFonts w:ascii="PT Astra Serif" w:hAnsi="PT Astra Serif"/>
                <w:sz w:val="20"/>
                <w:szCs w:val="20"/>
              </w:rPr>
            </w:r>
            <w:r>
              <w:rPr>
                <w:rFonts w:ascii="PT Astra Serif" w:hAnsi="PT Astra Serif"/>
                <w:sz w:val="20"/>
                <w:szCs w:val="20"/>
              </w:rPr>
            </w:r>
          </w:p>
        </w:tc>
        <w:tc>
          <w:tcPr>
            <w:tcW w:w="3547" w:type="dxa"/>
            <w:vAlign w:val="center"/>
            <w:vMerge w:val="restart"/>
            <w:textDirection w:val="lrTb"/>
            <w:noWrap w:val="false"/>
          </w:tcPr>
          <w:p>
            <w:pPr>
              <w:spacing w:after="0" w:line="240" w:lineRule="auto"/>
              <w:rPr>
                <w:rFonts w:ascii="PT Astra Serif" w:hAnsi="PT Astra Serif"/>
                <w:sz w:val="20"/>
                <w:szCs w:val="20"/>
              </w:rPr>
            </w:pPr>
            <w:r>
              <w:rPr>
                <w:rFonts w:ascii="PT Astra Serif" w:hAnsi="PT Astra Serif" w:cs="Arial"/>
                <w:bCs/>
                <w:iCs/>
                <w:sz w:val="20"/>
                <w:szCs w:val="20"/>
              </w:rPr>
              <w:t xml:space="preserve">Увеличение ИФО от прогнозного значения произошло на фоне увеличения объемов строительства зданий (ИФО – 110,6%) и инженерных коммуникаций (ИФО – 112,3%), а также значительного роста объемов ввода жилья за 2023 год (147,0%) по сравнению с 2022 годом</w:t>
            </w:r>
            <w:r>
              <w:rPr>
                <w:rFonts w:ascii="PT Astra Serif" w:hAnsi="PT Astra Serif"/>
                <w:sz w:val="20"/>
                <w:szCs w:val="20"/>
              </w:rPr>
            </w:r>
            <w:r>
              <w:rPr>
                <w:rFonts w:ascii="PT Astra Serif" w:hAnsi="PT Astra Serif"/>
                <w:sz w:val="20"/>
                <w:szCs w:val="20"/>
              </w:rPr>
            </w:r>
          </w:p>
        </w:tc>
      </w:tr>
      <w:tr>
        <w:tblPrEx/>
        <w:trPr>
          <w:trHeight w:val="626"/>
        </w:trPr>
        <w:tc>
          <w:tcPr>
            <w:shd w:val="clear" w:color="auto" w:fill="auto"/>
            <w:tcW w:w="1843" w:type="dxa"/>
            <w:vAlign w:val="center"/>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базовый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103,0</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95,8</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tcW w:w="3547" w:type="dxa"/>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634"/>
        </w:trPr>
        <w:tc>
          <w:tcPr>
            <w:shd w:val="clear" w:color="auto" w:fill="auto"/>
            <w:tcW w:w="1843" w:type="dxa"/>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целевой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104,0</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97,0</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vertAlign w:val="superscript"/>
              </w:rPr>
            </w:pPr>
            <w:r>
              <w:rPr>
                <w:rFonts w:ascii="PT Astra Serif" w:hAnsi="PT Astra Serif"/>
                <w:sz w:val="20"/>
                <w:szCs w:val="20"/>
                <w:vertAlign w:val="superscript"/>
              </w:rPr>
            </w:r>
            <w:r>
              <w:rPr>
                <w:rFonts w:ascii="PT Astra Serif" w:hAnsi="PT Astra Serif"/>
                <w:sz w:val="20"/>
                <w:szCs w:val="20"/>
                <w:vertAlign w:val="superscript"/>
              </w:rPr>
            </w:r>
            <w:r>
              <w:rPr>
                <w:rFonts w:ascii="PT Astra Serif" w:hAnsi="PT Astra Serif"/>
                <w:sz w:val="20"/>
                <w:szCs w:val="20"/>
                <w:vertAlign w:val="superscript"/>
              </w:rPr>
            </w:r>
          </w:p>
        </w:tc>
        <w:tc>
          <w:tcPr>
            <w:tcW w:w="3547" w:type="dxa"/>
            <w:vMerge w:val="continue"/>
            <w:textDirection w:val="lrTb"/>
            <w:noWrap w:val="false"/>
          </w:tcPr>
          <w:p>
            <w:pPr>
              <w:jc w:val="center"/>
              <w:spacing w:after="0" w:line="240" w:lineRule="auto"/>
              <w:rPr>
                <w:rFonts w:ascii="PT Astra Serif" w:hAnsi="PT Astra Serif"/>
                <w:sz w:val="20"/>
                <w:szCs w:val="20"/>
                <w:vertAlign w:val="superscript"/>
              </w:rPr>
            </w:pPr>
            <w:r>
              <w:rPr>
                <w:rFonts w:ascii="PT Astra Serif" w:hAnsi="PT Astra Serif"/>
                <w:sz w:val="20"/>
                <w:szCs w:val="20"/>
                <w:vertAlign w:val="superscript"/>
              </w:rPr>
            </w:r>
            <w:r>
              <w:rPr>
                <w:rFonts w:ascii="PT Astra Serif" w:hAnsi="PT Astra Serif"/>
                <w:sz w:val="20"/>
                <w:szCs w:val="20"/>
                <w:vertAlign w:val="superscript"/>
              </w:rPr>
            </w:r>
            <w:r>
              <w:rPr>
                <w:rFonts w:ascii="PT Astra Serif" w:hAnsi="PT Astra Serif"/>
                <w:sz w:val="20"/>
                <w:szCs w:val="20"/>
                <w:vertAlign w:val="superscript"/>
              </w:rPr>
            </w:r>
          </w:p>
        </w:tc>
      </w:tr>
      <w:tr>
        <w:tblPrEx/>
        <w:trPr>
          <w:trHeight w:val="21"/>
        </w:trPr>
        <w:tc>
          <w:tcPr>
            <w:gridSpan w:val="6"/>
            <w:shd w:val="clear" w:color="auto" w:fill="f2f2f2" w:themeFill="background1" w:themeFillShade="F2"/>
            <w:tcW w:w="10632" w:type="dxa"/>
            <w:textDirection w:val="lrTb"/>
            <w:noWrap w:val="false"/>
          </w:tcPr>
          <w:p>
            <w:pPr>
              <w:jc w:val="center"/>
              <w:spacing w:after="0" w:line="240" w:lineRule="auto"/>
              <w:rPr>
                <w:rFonts w:ascii="PT Astra Serif" w:hAnsi="PT Astra Serif"/>
                <w:b/>
                <w:sz w:val="20"/>
                <w:szCs w:val="20"/>
              </w:rPr>
            </w:pPr>
            <w:r>
              <w:rPr>
                <w:rFonts w:ascii="PT Astra Serif" w:hAnsi="PT Astra Serif"/>
                <w:b/>
                <w:sz w:val="20"/>
                <w:szCs w:val="20"/>
              </w:rPr>
            </w:r>
            <w:r>
              <w:rPr>
                <w:rFonts w:ascii="PT Astra Serif" w:hAnsi="PT Astra Serif"/>
                <w:b/>
                <w:sz w:val="20"/>
                <w:szCs w:val="20"/>
              </w:rPr>
            </w:r>
            <w:r>
              <w:rPr>
                <w:rFonts w:ascii="PT Astra Serif" w:hAnsi="PT Astra Serif"/>
                <w:b/>
                <w:sz w:val="20"/>
                <w:szCs w:val="20"/>
              </w:rPr>
            </w:r>
          </w:p>
        </w:tc>
      </w:tr>
      <w:tr>
        <w:tblPrEx/>
        <w:trPr>
          <w:trHeight w:val="626"/>
        </w:trPr>
        <w:tc>
          <w:tcPr>
            <w:shd w:val="clear" w:color="auto" w:fill="auto"/>
            <w:tcW w:w="1843" w:type="dxa"/>
            <w:vAlign w:val="center"/>
            <w:vMerge w:val="restart"/>
            <w:textDirection w:val="lrTb"/>
            <w:noWrap w:val="false"/>
          </w:tcPr>
          <w:p>
            <w:pPr>
              <w:spacing w:after="0" w:line="240" w:lineRule="auto"/>
              <w:rPr>
                <w:rFonts w:ascii="PT Astra Serif" w:hAnsi="PT Astra Serif"/>
                <w:sz w:val="20"/>
                <w:szCs w:val="20"/>
              </w:rPr>
            </w:pPr>
            <w:r>
              <w:rPr>
                <w:rFonts w:ascii="PT Astra Serif" w:hAnsi="PT Astra Serif"/>
                <w:sz w:val="20"/>
                <w:szCs w:val="20"/>
              </w:rPr>
              <w:t xml:space="preserve">Ввод в действие жилых домов, тыс. кв. м</w:t>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консерва</w:t>
            </w:r>
            <w:r>
              <w:rPr>
                <w:rFonts w:ascii="PT Astra Serif" w:hAnsi="PT Astra Serif"/>
                <w:sz w:val="20"/>
                <w:szCs w:val="20"/>
              </w:rPr>
              <w:t xml:space="preserve">-</w:t>
            </w:r>
            <w:r>
              <w:rPr>
                <w:rFonts w:ascii="PT Astra Serif" w:hAnsi="PT Astra Serif"/>
                <w:sz w:val="20"/>
                <w:szCs w:val="20"/>
              </w:rPr>
              <w:t xml:space="preserve">тивный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475,0</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475,0</w:t>
            </w:r>
            <w:r>
              <w:rPr>
                <w:rFonts w:ascii="PT Astra Serif" w:hAnsi="PT Astra Serif"/>
                <w:sz w:val="20"/>
                <w:szCs w:val="20"/>
              </w:rPr>
            </w:r>
            <w:r>
              <w:rPr>
                <w:rFonts w:ascii="PT Astra Serif" w:hAnsi="PT Astra Serif"/>
                <w:sz w:val="20"/>
                <w:szCs w:val="20"/>
              </w:rPr>
            </w:r>
          </w:p>
        </w:tc>
        <w:tc>
          <w:tcPr>
            <w:tcW w:w="991" w:type="dxa"/>
            <w:vAlign w:val="center"/>
            <w:vMerge w:val="restart"/>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535,3</w:t>
            </w:r>
            <w:r>
              <w:rPr>
                <w:rFonts w:ascii="PT Astra Serif" w:hAnsi="PT Astra Serif"/>
                <w:sz w:val="20"/>
                <w:szCs w:val="20"/>
              </w:rPr>
            </w:r>
            <w:r>
              <w:rPr>
                <w:rFonts w:ascii="PT Astra Serif" w:hAnsi="PT Astra Serif"/>
                <w:sz w:val="20"/>
                <w:szCs w:val="20"/>
              </w:rPr>
            </w:r>
          </w:p>
        </w:tc>
        <w:tc>
          <w:tcPr>
            <w:tcW w:w="3547" w:type="dxa"/>
            <w:vAlign w:val="center"/>
            <w:vMerge w:val="restart"/>
            <w:textDirection w:val="lrTb"/>
            <w:noWrap w:val="false"/>
          </w:tcPr>
          <w:p>
            <w:pPr>
              <w:spacing w:after="0" w:line="240" w:lineRule="auto"/>
              <w:rPr>
                <w:rFonts w:ascii="PT Astra Serif" w:hAnsi="PT Astra Serif"/>
                <w:sz w:val="20"/>
                <w:szCs w:val="20"/>
              </w:rPr>
            </w:pPr>
            <w:r>
              <w:rPr>
                <w:rFonts w:ascii="PT Astra Serif" w:hAnsi="PT Astra Serif"/>
                <w:sz w:val="20"/>
                <w:szCs w:val="20"/>
              </w:rPr>
              <w:t xml:space="preserve">Отклонение показателя в большую сторону от прогнозного значения обусловлено значительным объемом ввода жилья в конце 2023 года.</w:t>
            </w:r>
            <w:r>
              <w:rPr>
                <w:rFonts w:ascii="PT Astra Serif" w:hAnsi="PT Astra Serif"/>
                <w:sz w:val="20"/>
                <w:szCs w:val="20"/>
              </w:rPr>
            </w:r>
            <w:r>
              <w:rPr>
                <w:rFonts w:ascii="PT Astra Serif" w:hAnsi="PT Astra Serif"/>
                <w:sz w:val="20"/>
                <w:szCs w:val="20"/>
              </w:rPr>
            </w:r>
          </w:p>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По итогам 2023 года в Томской области введено в эксплуатацию 535,3 тыс. кв. метров жилья, что составляет 107,1% годового планового показателя, при этом ввод МКД составил 260,7 тыс. кв. метр</w:t>
            </w:r>
            <w:r>
              <w:rPr>
                <w:rFonts w:ascii="PT Astra Serif" w:hAnsi="PT Astra Serif" w:eastAsia="Times New Roman"/>
                <w:sz w:val="20"/>
                <w:szCs w:val="20"/>
                <w:lang w:eastAsia="ru-RU"/>
              </w:rPr>
              <w:t xml:space="preserve">ов</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 ИЖС – 274,6 тыс. кв. мет</w:t>
            </w:r>
            <w:r>
              <w:rPr>
                <w:rFonts w:ascii="PT Astra Serif" w:hAnsi="PT Astra Serif" w:eastAsia="Times New Roman"/>
                <w:sz w:val="20"/>
                <w:szCs w:val="20"/>
                <w:lang w:eastAsia="ru-RU"/>
              </w:rPr>
              <w:t xml:space="preserve">ров</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589"/>
        </w:trPr>
        <w:tc>
          <w:tcPr>
            <w:shd w:val="clear" w:color="auto" w:fill="auto"/>
            <w:tcW w:w="1843" w:type="dxa"/>
            <w:vAlign w:val="center"/>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базовый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500,0</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500,0</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tcW w:w="3547" w:type="dxa"/>
            <w:vAlign w:val="center"/>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671"/>
        </w:trPr>
        <w:tc>
          <w:tcPr>
            <w:shd w:val="clear" w:color="auto" w:fill="auto"/>
            <w:tcW w:w="1843" w:type="dxa"/>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целевой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515,0</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515,0</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vertAlign w:val="superscript"/>
              </w:rPr>
            </w:pPr>
            <w:r>
              <w:rPr>
                <w:rFonts w:ascii="PT Astra Serif" w:hAnsi="PT Astra Serif"/>
                <w:sz w:val="20"/>
                <w:szCs w:val="20"/>
                <w:vertAlign w:val="superscript"/>
              </w:rPr>
            </w:r>
            <w:r>
              <w:rPr>
                <w:rFonts w:ascii="PT Astra Serif" w:hAnsi="PT Astra Serif"/>
                <w:sz w:val="20"/>
                <w:szCs w:val="20"/>
                <w:vertAlign w:val="superscript"/>
              </w:rPr>
            </w:r>
            <w:r>
              <w:rPr>
                <w:rFonts w:ascii="PT Astra Serif" w:hAnsi="PT Astra Serif"/>
                <w:sz w:val="20"/>
                <w:szCs w:val="20"/>
                <w:vertAlign w:val="superscript"/>
              </w:rPr>
            </w:r>
          </w:p>
        </w:tc>
        <w:tc>
          <w:tcPr>
            <w:tcW w:w="3547"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400"/>
        </w:trPr>
        <w:tc>
          <w:tcPr>
            <w:gridSpan w:val="6"/>
            <w:shd w:val="clear" w:color="auto" w:fill="f2f2f2" w:themeFill="background1" w:themeFillShade="F2"/>
            <w:tcW w:w="10632" w:type="dxa"/>
            <w:textDirection w:val="lrTb"/>
            <w:noWrap w:val="false"/>
          </w:tcPr>
          <w:p>
            <w:pPr>
              <w:jc w:val="center"/>
              <w:spacing w:after="0" w:line="240" w:lineRule="auto"/>
              <w:rPr>
                <w:rFonts w:ascii="PT Astra Serif" w:hAnsi="PT Astra Serif"/>
                <w:b/>
                <w:sz w:val="20"/>
                <w:szCs w:val="20"/>
              </w:rPr>
            </w:pPr>
            <w:r>
              <w:rPr>
                <w:rFonts w:ascii="PT Astra Serif" w:hAnsi="PT Astra Serif"/>
                <w:b/>
                <w:sz w:val="20"/>
                <w:szCs w:val="20"/>
              </w:rPr>
            </w:r>
            <w:r>
              <w:rPr>
                <w:rFonts w:ascii="PT Astra Serif" w:hAnsi="PT Astra Serif"/>
                <w:b/>
                <w:sz w:val="20"/>
                <w:szCs w:val="20"/>
              </w:rPr>
            </w:r>
            <w:r>
              <w:rPr>
                <w:rFonts w:ascii="PT Astra Serif" w:hAnsi="PT Astra Serif"/>
                <w:b/>
                <w:sz w:val="20"/>
                <w:szCs w:val="20"/>
              </w:rPr>
            </w:r>
          </w:p>
        </w:tc>
      </w:tr>
      <w:tr>
        <w:tblPrEx/>
        <w:trPr>
          <w:trHeight w:val="417"/>
        </w:trPr>
        <w:tc>
          <w:tcPr>
            <w:shd w:val="clear" w:color="auto" w:fill="auto"/>
            <w:tcW w:w="1843" w:type="dxa"/>
            <w:vAlign w:val="center"/>
            <w:vMerge w:val="restart"/>
            <w:textDirection w:val="lrTb"/>
            <w:noWrap w:val="false"/>
          </w:tcPr>
          <w:p>
            <w:pPr>
              <w:spacing w:after="0" w:line="240" w:lineRule="auto"/>
              <w:rPr>
                <w:rFonts w:ascii="PT Astra Serif" w:hAnsi="PT Astra Serif"/>
                <w:sz w:val="20"/>
                <w:szCs w:val="20"/>
              </w:rPr>
            </w:pPr>
            <w:r>
              <w:rPr>
                <w:rFonts w:ascii="PT Astra Serif" w:hAnsi="PT Astra Serif"/>
                <w:sz w:val="20"/>
                <w:szCs w:val="20"/>
              </w:rPr>
              <w:t xml:space="preserve">Инвестиции в основной капитал, ИФО в % к пред. году</w:t>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консерва</w:t>
            </w:r>
            <w:r>
              <w:rPr>
                <w:rFonts w:ascii="PT Astra Serif" w:hAnsi="PT Astra Serif"/>
                <w:sz w:val="20"/>
                <w:szCs w:val="20"/>
              </w:rPr>
              <w:t xml:space="preserve">-</w:t>
            </w:r>
            <w:r>
              <w:rPr>
                <w:rFonts w:ascii="PT Astra Serif" w:hAnsi="PT Astra Serif"/>
                <w:sz w:val="20"/>
                <w:szCs w:val="20"/>
              </w:rPr>
              <w:t xml:space="preserve">тивный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p>
            <w:pPr>
              <w:jc w:val="center"/>
              <w:spacing w:after="0" w:line="240" w:lineRule="auto"/>
              <w:rPr>
                <w:rFonts w:ascii="PT Astra Serif" w:hAnsi="PT Astra Serif"/>
                <w:sz w:val="20"/>
                <w:szCs w:val="20"/>
              </w:rPr>
            </w:pPr>
            <w:r>
              <w:rPr>
                <w:rFonts w:ascii="PT Astra Serif" w:hAnsi="PT Astra Serif"/>
                <w:sz w:val="20"/>
                <w:szCs w:val="20"/>
              </w:rPr>
              <w:t xml:space="preserve">98,1</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p>
            <w:pPr>
              <w:jc w:val="center"/>
              <w:spacing w:after="0" w:line="240" w:lineRule="auto"/>
              <w:rPr>
                <w:rFonts w:ascii="PT Astra Serif" w:hAnsi="PT Astra Serif"/>
                <w:sz w:val="20"/>
                <w:szCs w:val="20"/>
              </w:rPr>
            </w:pPr>
            <w:r>
              <w:rPr>
                <w:rFonts w:ascii="PT Astra Serif" w:hAnsi="PT Astra Serif"/>
                <w:sz w:val="20"/>
                <w:szCs w:val="20"/>
              </w:rPr>
              <w:t xml:space="preserve">92,4</w:t>
            </w:r>
            <w:r>
              <w:rPr>
                <w:rFonts w:ascii="PT Astra Serif" w:hAnsi="PT Astra Serif"/>
                <w:sz w:val="20"/>
                <w:szCs w:val="20"/>
              </w:rPr>
            </w:r>
            <w:r>
              <w:rPr>
                <w:rFonts w:ascii="PT Astra Serif" w:hAnsi="PT Astra Serif"/>
                <w:sz w:val="20"/>
                <w:szCs w:val="20"/>
              </w:rPr>
            </w:r>
          </w:p>
        </w:tc>
        <w:tc>
          <w:tcPr>
            <w:tcW w:w="991" w:type="dxa"/>
            <w:vAlign w:val="center"/>
            <w:vMerge w:val="restart"/>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111,0</w:t>
            </w:r>
            <w:r>
              <w:rPr>
                <w:rFonts w:ascii="PT Astra Serif" w:hAnsi="PT Astra Serif"/>
                <w:sz w:val="20"/>
                <w:szCs w:val="20"/>
              </w:rPr>
            </w:r>
            <w:r>
              <w:rPr>
                <w:rFonts w:ascii="PT Astra Serif" w:hAnsi="PT Astra Serif"/>
                <w:sz w:val="20"/>
                <w:szCs w:val="20"/>
              </w:rPr>
            </w:r>
          </w:p>
        </w:tc>
        <w:tc>
          <w:tcPr>
            <w:tcW w:w="3547" w:type="dxa"/>
            <w:vAlign w:val="center"/>
            <w:vMerge w:val="restart"/>
            <w:textDirection w:val="lrTb"/>
            <w:noWrap w:val="false"/>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Рост инвестиций по итогам 2023 года обусловлен  существенным ростом инвестиционной активности в сфере добычи полезных ископаемых </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126,9% (доля </w:t>
            </w:r>
            <w:r>
              <w:rPr>
                <w:rFonts w:ascii="PT Astra Serif" w:hAnsi="PT Astra Serif" w:eastAsia="Times New Roman"/>
                <w:sz w:val="20"/>
                <w:szCs w:val="20"/>
                <w:lang w:eastAsia="ru-RU"/>
              </w:rPr>
              <w:t xml:space="preserve">– </w:t>
            </w:r>
            <w:r>
              <w:rPr>
                <w:rFonts w:ascii="PT Astra Serif" w:hAnsi="PT Astra Serif" w:eastAsia="Times New Roman"/>
                <w:sz w:val="20"/>
                <w:szCs w:val="20"/>
                <w:lang w:eastAsia="ru-RU"/>
              </w:rPr>
              <w:t xml:space="preserve">25,6%); в сфере обрабатывающих производств </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121,5% (доля </w:t>
            </w:r>
            <w:r>
              <w:rPr>
                <w:rFonts w:ascii="PT Astra Serif" w:hAnsi="PT Astra Serif" w:eastAsia="Times New Roman"/>
                <w:sz w:val="20"/>
                <w:szCs w:val="20"/>
                <w:lang w:eastAsia="ru-RU"/>
              </w:rPr>
              <w:t xml:space="preserve">– </w:t>
            </w:r>
            <w:r>
              <w:rPr>
                <w:rFonts w:ascii="PT Astra Serif" w:hAnsi="PT Astra Serif" w:eastAsia="Times New Roman"/>
                <w:sz w:val="20"/>
                <w:szCs w:val="20"/>
                <w:lang w:eastAsia="ru-RU"/>
              </w:rPr>
              <w:t xml:space="preserve">25,1%).</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p>
            <w:pPr>
              <w:pStyle w:val="1165"/>
              <w:ind w:firstLine="33"/>
              <w:jc w:val="both"/>
              <w:rPr>
                <w:color w:val="auto"/>
                <w:sz w:val="20"/>
                <w:szCs w:val="20"/>
              </w:rPr>
            </w:pPr>
            <w:r>
              <w:rPr>
                <w:rFonts w:eastAsia="Times New Roman"/>
                <w:color w:val="auto"/>
                <w:sz w:val="20"/>
                <w:szCs w:val="20"/>
                <w:lang w:eastAsia="ru-RU"/>
              </w:rPr>
              <w:t xml:space="preserve">Также положительное влияние на инвестиции оказали обеспечение электрической энергией, газом и паром; кондиционирование воздуха (ИФО – 124,6%), транспортировка и хранение (ИФО - 128,5%), операции с недвижимым имуществом (ИФО </w:t>
            </w:r>
            <w:r>
              <w:rPr>
                <w:rFonts w:eastAsia="Times New Roman"/>
                <w:sz w:val="20"/>
                <w:szCs w:val="20"/>
                <w:lang w:eastAsia="ru-RU"/>
              </w:rPr>
              <w:t xml:space="preserve">–</w:t>
            </w:r>
            <w:r>
              <w:rPr>
                <w:rFonts w:eastAsia="Times New Roman"/>
                <w:color w:val="auto"/>
                <w:sz w:val="20"/>
                <w:szCs w:val="20"/>
                <w:lang w:eastAsia="ru-RU"/>
              </w:rPr>
              <w:t xml:space="preserve"> 121,6%), занимающие высокую долю </w:t>
            </w:r>
            <w:r>
              <w:rPr>
                <w:rFonts w:eastAsia="Times New Roman"/>
                <w:color w:val="auto"/>
                <w:sz w:val="20"/>
                <w:szCs w:val="20"/>
                <w:lang w:eastAsia="ru-RU"/>
              </w:rPr>
              <w:t xml:space="preserve">инвестиционных вложений области</w:t>
            </w:r>
            <w:r>
              <w:rPr>
                <w:color w:val="auto"/>
                <w:sz w:val="20"/>
                <w:szCs w:val="20"/>
              </w:rPr>
            </w:r>
            <w:r>
              <w:rPr>
                <w:color w:val="auto"/>
                <w:sz w:val="20"/>
                <w:szCs w:val="20"/>
              </w:rPr>
            </w:r>
          </w:p>
        </w:tc>
      </w:tr>
      <w:tr>
        <w:tblPrEx/>
        <w:trPr>
          <w:trHeight w:val="978"/>
        </w:trPr>
        <w:tc>
          <w:tcPr>
            <w:shd w:val="clear" w:color="auto" w:fill="auto"/>
            <w:tcW w:w="1843" w:type="dxa"/>
            <w:vAlign w:val="center"/>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базовый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p>
            <w:pPr>
              <w:jc w:val="center"/>
              <w:spacing w:after="0" w:line="240" w:lineRule="auto"/>
              <w:rPr>
                <w:rFonts w:ascii="PT Astra Serif" w:hAnsi="PT Astra Serif"/>
                <w:sz w:val="20"/>
                <w:szCs w:val="20"/>
              </w:rPr>
            </w:pPr>
            <w:r>
              <w:rPr>
                <w:rFonts w:ascii="PT Astra Serif" w:hAnsi="PT Astra Serif"/>
                <w:sz w:val="20"/>
                <w:szCs w:val="20"/>
              </w:rPr>
              <w:t xml:space="preserve">100,0</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p>
            <w:pPr>
              <w:jc w:val="center"/>
              <w:spacing w:after="0" w:line="240" w:lineRule="auto"/>
              <w:rPr>
                <w:rFonts w:ascii="PT Astra Serif" w:hAnsi="PT Astra Serif"/>
                <w:sz w:val="20"/>
                <w:szCs w:val="20"/>
              </w:rPr>
            </w:pPr>
            <w:r>
              <w:rPr>
                <w:rFonts w:ascii="PT Astra Serif" w:hAnsi="PT Astra Serif"/>
                <w:sz w:val="20"/>
                <w:szCs w:val="20"/>
              </w:rPr>
              <w:t xml:space="preserve">102,2</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tcW w:w="3547" w:type="dxa"/>
            <w:vAlign w:val="center"/>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783"/>
        </w:trPr>
        <w:tc>
          <w:tcPr>
            <w:shd w:val="clear" w:color="auto" w:fill="auto"/>
            <w:tcW w:w="1843" w:type="dxa"/>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p>
            <w:pPr>
              <w:jc w:val="center"/>
              <w:spacing w:after="0" w:line="240" w:lineRule="auto"/>
              <w:rPr>
                <w:rFonts w:ascii="PT Astra Serif" w:hAnsi="PT Astra Serif"/>
                <w:sz w:val="20"/>
                <w:szCs w:val="20"/>
              </w:rPr>
            </w:pPr>
            <w:r>
              <w:rPr>
                <w:rFonts w:ascii="PT Astra Serif" w:hAnsi="PT Astra Serif"/>
                <w:sz w:val="20"/>
                <w:szCs w:val="20"/>
              </w:rPr>
              <w:t xml:space="preserve">целевой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p>
            <w:pPr>
              <w:jc w:val="center"/>
              <w:spacing w:after="0" w:line="240" w:lineRule="auto"/>
              <w:rPr>
                <w:rFonts w:ascii="PT Astra Serif" w:hAnsi="PT Astra Serif"/>
                <w:sz w:val="20"/>
                <w:szCs w:val="20"/>
              </w:rPr>
            </w:pPr>
            <w:r>
              <w:rPr>
                <w:rFonts w:ascii="PT Astra Serif" w:hAnsi="PT Astra Serif"/>
                <w:sz w:val="20"/>
                <w:szCs w:val="20"/>
              </w:rPr>
              <w:t xml:space="preserve">103,4</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p>
            <w:pPr>
              <w:jc w:val="center"/>
              <w:spacing w:after="0" w:line="240" w:lineRule="auto"/>
              <w:rPr>
                <w:rFonts w:ascii="PT Astra Serif" w:hAnsi="PT Astra Serif"/>
                <w:sz w:val="20"/>
                <w:szCs w:val="20"/>
              </w:rPr>
            </w:pPr>
            <w:r>
              <w:rPr>
                <w:rFonts w:ascii="PT Astra Serif" w:hAnsi="PT Astra Serif"/>
                <w:sz w:val="20"/>
                <w:szCs w:val="20"/>
              </w:rPr>
              <w:t xml:space="preserve">106,7</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vertAlign w:val="superscript"/>
              </w:rPr>
            </w:pPr>
            <w:r>
              <w:rPr>
                <w:rFonts w:ascii="PT Astra Serif" w:hAnsi="PT Astra Serif"/>
                <w:sz w:val="20"/>
                <w:szCs w:val="20"/>
                <w:vertAlign w:val="superscript"/>
              </w:rPr>
            </w:r>
            <w:r>
              <w:rPr>
                <w:rFonts w:ascii="PT Astra Serif" w:hAnsi="PT Astra Serif"/>
                <w:sz w:val="20"/>
                <w:szCs w:val="20"/>
                <w:vertAlign w:val="superscript"/>
              </w:rPr>
            </w:r>
            <w:r>
              <w:rPr>
                <w:rFonts w:ascii="PT Astra Serif" w:hAnsi="PT Astra Serif"/>
                <w:sz w:val="20"/>
                <w:szCs w:val="20"/>
                <w:vertAlign w:val="superscript"/>
              </w:rPr>
            </w:r>
          </w:p>
        </w:tc>
        <w:tc>
          <w:tcPr>
            <w:tcW w:w="3547"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21"/>
        </w:trPr>
        <w:tc>
          <w:tcPr>
            <w:gridSpan w:val="6"/>
            <w:shd w:val="clear" w:color="auto" w:fill="f2f2f2" w:themeFill="background1" w:themeFillShade="F2"/>
            <w:tcW w:w="10632" w:type="dxa"/>
            <w:textDirection w:val="lrTb"/>
            <w:noWrap w:val="false"/>
          </w:tcPr>
          <w:p>
            <w:pPr>
              <w:jc w:val="center"/>
              <w:spacing w:after="0" w:line="240" w:lineRule="auto"/>
              <w:rPr>
                <w:rFonts w:ascii="PT Astra Serif" w:hAnsi="PT Astra Serif"/>
                <w:b/>
                <w:sz w:val="20"/>
                <w:szCs w:val="20"/>
              </w:rPr>
            </w:pPr>
            <w:r>
              <w:rPr>
                <w:rFonts w:ascii="PT Astra Serif" w:hAnsi="PT Astra Serif"/>
                <w:b/>
                <w:sz w:val="20"/>
                <w:szCs w:val="20"/>
              </w:rPr>
            </w:r>
            <w:r>
              <w:rPr>
                <w:rFonts w:ascii="PT Astra Serif" w:hAnsi="PT Astra Serif"/>
                <w:b/>
                <w:sz w:val="20"/>
                <w:szCs w:val="20"/>
              </w:rPr>
            </w:r>
            <w:r>
              <w:rPr>
                <w:rFonts w:ascii="PT Astra Serif" w:hAnsi="PT Astra Serif"/>
                <w:b/>
                <w:sz w:val="20"/>
                <w:szCs w:val="20"/>
              </w:rPr>
            </w:r>
          </w:p>
        </w:tc>
      </w:tr>
      <w:tr>
        <w:tblPrEx/>
        <w:trPr>
          <w:trHeight w:val="383"/>
        </w:trPr>
        <w:tc>
          <w:tcPr>
            <w:shd w:val="clear" w:color="auto" w:fill="auto"/>
            <w:tcW w:w="1843" w:type="dxa"/>
            <w:vAlign w:val="center"/>
            <w:vMerge w:val="restart"/>
            <w:textDirection w:val="lrTb"/>
            <w:noWrap w:val="false"/>
          </w:tcPr>
          <w:p>
            <w:pPr>
              <w:spacing w:after="0" w:line="240" w:lineRule="auto"/>
              <w:rPr>
                <w:rFonts w:ascii="PT Astra Serif" w:hAnsi="PT Astra Serif"/>
                <w:sz w:val="20"/>
                <w:szCs w:val="20"/>
              </w:rPr>
            </w:pPr>
            <w:r>
              <w:rPr>
                <w:rFonts w:ascii="PT Astra Serif" w:hAnsi="PT Astra Serif"/>
                <w:sz w:val="20"/>
                <w:szCs w:val="20"/>
              </w:rPr>
              <w:t xml:space="preserve">Оборот розничной торговли, ИФО в % к пред.</w:t>
            </w:r>
            <w:r>
              <w:rPr>
                <w:rFonts w:ascii="PT Astra Serif" w:hAnsi="PT Astra Serif"/>
                <w:sz w:val="20"/>
                <w:szCs w:val="20"/>
              </w:rPr>
              <w:t xml:space="preserve"> </w:t>
            </w:r>
            <w:r>
              <w:rPr>
                <w:rFonts w:ascii="PT Astra Serif" w:hAnsi="PT Astra Serif"/>
                <w:sz w:val="20"/>
                <w:szCs w:val="20"/>
              </w:rPr>
              <w:t xml:space="preserve">году</w:t>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консерва</w:t>
            </w:r>
            <w:r>
              <w:rPr>
                <w:rFonts w:ascii="PT Astra Serif" w:hAnsi="PT Astra Serif"/>
                <w:sz w:val="20"/>
                <w:szCs w:val="20"/>
              </w:rPr>
              <w:t xml:space="preserve">-</w:t>
            </w:r>
            <w:r>
              <w:rPr>
                <w:rFonts w:ascii="PT Astra Serif" w:hAnsi="PT Astra Serif"/>
                <w:sz w:val="20"/>
                <w:szCs w:val="20"/>
              </w:rPr>
              <w:t xml:space="preserve">тивный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101,2</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99,9</w:t>
            </w:r>
            <w:r>
              <w:rPr>
                <w:rFonts w:ascii="PT Astra Serif" w:hAnsi="PT Astra Serif"/>
                <w:sz w:val="20"/>
                <w:szCs w:val="20"/>
              </w:rPr>
            </w:r>
            <w:r>
              <w:rPr>
                <w:rFonts w:ascii="PT Astra Serif" w:hAnsi="PT Astra Serif"/>
                <w:sz w:val="20"/>
                <w:szCs w:val="20"/>
              </w:rPr>
            </w:r>
          </w:p>
        </w:tc>
        <w:tc>
          <w:tcPr>
            <w:tcW w:w="991" w:type="dxa"/>
            <w:vAlign w:val="center"/>
            <w:vMerge w:val="restart"/>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p>
            <w:pPr>
              <w:jc w:val="center"/>
              <w:spacing w:after="0" w:line="240" w:lineRule="auto"/>
              <w:rPr>
                <w:rFonts w:ascii="PT Astra Serif" w:hAnsi="PT Astra Serif"/>
                <w:sz w:val="20"/>
                <w:szCs w:val="20"/>
              </w:rPr>
            </w:pPr>
            <w:r>
              <w:rPr>
                <w:rFonts w:ascii="PT Astra Serif" w:hAnsi="PT Astra Serif"/>
                <w:sz w:val="20"/>
                <w:szCs w:val="20"/>
              </w:rPr>
              <w:t xml:space="preserve">107,5</w:t>
            </w:r>
            <w:r>
              <w:rPr>
                <w:rFonts w:ascii="PT Astra Serif" w:hAnsi="PT Astra Serif"/>
                <w:sz w:val="20"/>
                <w:szCs w:val="20"/>
              </w:rPr>
            </w:r>
            <w:r>
              <w:rPr>
                <w:rFonts w:ascii="PT Astra Serif" w:hAnsi="PT Astra Serif"/>
                <w:sz w:val="20"/>
                <w:szCs w:val="20"/>
              </w:rPr>
            </w:r>
          </w:p>
        </w:tc>
        <w:tc>
          <w:tcPr>
            <w:tcW w:w="3547" w:type="dxa"/>
            <w:vAlign w:val="center"/>
            <w:vMerge w:val="restart"/>
            <w:textDirection w:val="lrTb"/>
            <w:noWrap w:val="false"/>
          </w:tcPr>
          <w:p>
            <w:pPr>
              <w:spacing w:after="0" w:line="240" w:lineRule="auto"/>
              <w:tabs>
                <w:tab w:val="left" w:pos="900" w:leader="none"/>
              </w:tabs>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Превышение фактического показателя над прогнозным обусловлено высокими темпами восстановления потребительского спроса (после его замедления с апреля по декабрь 2022 года)</w:t>
            </w:r>
            <w:r>
              <w:rPr>
                <w:rFonts w:ascii="PT Astra Serif" w:hAnsi="PT Astra Serif"/>
                <w:sz w:val="20"/>
                <w:szCs w:val="20"/>
              </w:rPr>
              <w:t xml:space="preserve">, </w:t>
            </w:r>
            <w:r>
              <w:rPr>
                <w:rFonts w:ascii="PT Astra Serif" w:hAnsi="PT Astra Serif" w:eastAsia="Times New Roman"/>
                <w:sz w:val="20"/>
                <w:szCs w:val="20"/>
                <w:lang w:eastAsia="ru-RU"/>
              </w:rPr>
              <w:t xml:space="preserve">а также  статистическим э</w:t>
            </w:r>
            <w:r>
              <w:rPr>
                <w:rFonts w:ascii="PT Astra Serif" w:hAnsi="PT Astra Serif" w:eastAsia="Times New Roman"/>
                <w:sz w:val="20"/>
                <w:szCs w:val="20"/>
                <w:lang w:eastAsia="ru-RU"/>
              </w:rPr>
              <w:t xml:space="preserve">ффектом низкой базы 2022 года</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631"/>
        </w:trPr>
        <w:tc>
          <w:tcPr>
            <w:shd w:val="clear" w:color="auto" w:fill="auto"/>
            <w:tcW w:w="1843" w:type="dxa"/>
            <w:vAlign w:val="center"/>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базовый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102,5</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102,6</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tcW w:w="3547" w:type="dxa"/>
            <w:vAlign w:val="center"/>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413"/>
        </w:trPr>
        <w:tc>
          <w:tcPr>
            <w:shd w:val="clear" w:color="auto" w:fill="auto"/>
            <w:tcW w:w="1843" w:type="dxa"/>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целевой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102,8</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102,9</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vertAlign w:val="superscript"/>
              </w:rPr>
            </w:pPr>
            <w:r>
              <w:rPr>
                <w:rFonts w:ascii="PT Astra Serif" w:hAnsi="PT Astra Serif"/>
                <w:sz w:val="20"/>
                <w:szCs w:val="20"/>
                <w:vertAlign w:val="superscript"/>
              </w:rPr>
            </w:r>
            <w:r>
              <w:rPr>
                <w:rFonts w:ascii="PT Astra Serif" w:hAnsi="PT Astra Serif"/>
                <w:sz w:val="20"/>
                <w:szCs w:val="20"/>
                <w:vertAlign w:val="superscript"/>
              </w:rPr>
            </w:r>
            <w:r>
              <w:rPr>
                <w:rFonts w:ascii="PT Astra Serif" w:hAnsi="PT Astra Serif"/>
                <w:sz w:val="20"/>
                <w:szCs w:val="20"/>
                <w:vertAlign w:val="superscript"/>
              </w:rPr>
            </w:r>
          </w:p>
        </w:tc>
        <w:tc>
          <w:tcPr>
            <w:tcW w:w="3547"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328"/>
        </w:trPr>
        <w:tc>
          <w:tcPr>
            <w:gridSpan w:val="6"/>
            <w:shd w:val="clear" w:color="auto" w:fill="f2f2f2" w:themeFill="background1" w:themeFillShade="F2"/>
            <w:tcW w:w="10632" w:type="dxa"/>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837"/>
        </w:trPr>
        <w:tc>
          <w:tcPr>
            <w:shd w:val="clear" w:color="auto" w:fill="auto"/>
            <w:tcW w:w="1843" w:type="dxa"/>
            <w:vAlign w:val="center"/>
            <w:vMerge w:val="restart"/>
            <w:textDirection w:val="lrTb"/>
            <w:noWrap w:val="false"/>
          </w:tcPr>
          <w:p>
            <w:pPr>
              <w:spacing w:after="0" w:line="240" w:lineRule="auto"/>
              <w:rPr>
                <w:rFonts w:ascii="PT Astra Serif" w:hAnsi="PT Astra Serif"/>
                <w:sz w:val="20"/>
                <w:szCs w:val="20"/>
              </w:rPr>
            </w:pPr>
            <w:r>
              <w:rPr>
                <w:rFonts w:ascii="PT Astra Serif" w:hAnsi="PT Astra Serif"/>
                <w:sz w:val="20"/>
                <w:szCs w:val="20"/>
              </w:rPr>
              <w:t xml:space="preserve">Индекс потребительских цен, в % декабрь к декабрю пред.</w:t>
            </w:r>
            <w:r>
              <w:rPr>
                <w:rFonts w:ascii="PT Astra Serif" w:hAnsi="PT Astra Serif"/>
                <w:sz w:val="20"/>
                <w:szCs w:val="20"/>
              </w:rPr>
              <w:t xml:space="preserve"> </w:t>
            </w:r>
            <w:r>
              <w:rPr>
                <w:rFonts w:ascii="PT Astra Serif" w:hAnsi="PT Astra Serif"/>
                <w:sz w:val="20"/>
                <w:szCs w:val="20"/>
              </w:rPr>
              <w:t xml:space="preserve">года</w:t>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консерва</w:t>
            </w:r>
            <w:r>
              <w:rPr>
                <w:rFonts w:ascii="PT Astra Serif" w:hAnsi="PT Astra Serif"/>
                <w:sz w:val="20"/>
                <w:szCs w:val="20"/>
              </w:rPr>
              <w:t xml:space="preserve">-</w:t>
            </w:r>
            <w:r>
              <w:rPr>
                <w:rFonts w:ascii="PT Astra Serif" w:hAnsi="PT Astra Serif"/>
                <w:sz w:val="20"/>
                <w:szCs w:val="20"/>
              </w:rPr>
              <w:t xml:space="preserve">тивный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104,1</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104,8</w:t>
            </w:r>
            <w:r>
              <w:rPr>
                <w:rFonts w:ascii="PT Astra Serif" w:hAnsi="PT Astra Serif"/>
                <w:sz w:val="20"/>
                <w:szCs w:val="20"/>
              </w:rPr>
            </w:r>
            <w:r>
              <w:rPr>
                <w:rFonts w:ascii="PT Astra Serif" w:hAnsi="PT Astra Serif"/>
                <w:sz w:val="20"/>
                <w:szCs w:val="20"/>
              </w:rPr>
            </w:r>
          </w:p>
        </w:tc>
        <w:tc>
          <w:tcPr>
            <w:tcW w:w="991" w:type="dxa"/>
            <w:vAlign w:val="center"/>
            <w:vMerge w:val="restart"/>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107,6</w:t>
            </w:r>
            <w:r>
              <w:rPr>
                <w:rFonts w:ascii="PT Astra Serif" w:hAnsi="PT Astra Serif"/>
                <w:sz w:val="20"/>
                <w:szCs w:val="20"/>
              </w:rPr>
            </w:r>
            <w:r>
              <w:rPr>
                <w:rFonts w:ascii="PT Astra Serif" w:hAnsi="PT Astra Serif"/>
                <w:sz w:val="20"/>
                <w:szCs w:val="20"/>
              </w:rPr>
            </w:r>
          </w:p>
        </w:tc>
        <w:tc>
          <w:tcPr>
            <w:tcW w:w="3547" w:type="dxa"/>
            <w:vAlign w:val="center"/>
            <w:vMerge w:val="restart"/>
            <w:textDirection w:val="lrTb"/>
            <w:noWrap w:val="false"/>
          </w:tcPr>
          <w:p>
            <w:pPr>
              <w:spacing w:after="0" w:line="240" w:lineRule="auto"/>
              <w:tabs>
                <w:tab w:val="left" w:pos="7371" w:leader="none"/>
                <w:tab w:val="left" w:pos="7513" w:leader="none"/>
              </w:tabs>
              <w:rPr>
                <w:rFonts w:ascii="PT Astra Serif" w:hAnsi="PT Astra Serif"/>
                <w:sz w:val="20"/>
                <w:szCs w:val="20"/>
              </w:rPr>
            </w:pPr>
            <w:r>
              <w:rPr>
                <w:rFonts w:ascii="PT Astra Serif" w:hAnsi="PT Astra Serif"/>
                <w:sz w:val="20"/>
                <w:szCs w:val="20"/>
              </w:rPr>
              <w:t xml:space="preserve">Рост индекса потребительских цен обусловлен изменением внешних и вну</w:t>
            </w:r>
            <w:r>
              <w:rPr>
                <w:rFonts w:ascii="PT Astra Serif" w:hAnsi="PT Astra Serif"/>
                <w:sz w:val="20"/>
                <w:szCs w:val="20"/>
              </w:rPr>
              <w:t xml:space="preserve">тренних условий функционирования российской экономики в связи с продолжением действия ограничительных санкций недружественными иностранными государствами. Основные факторы: ослабление рубля; рост издержек производителей и поставщиков, сокращение предложени</w:t>
            </w:r>
            <w:r>
              <w:rPr>
                <w:rFonts w:ascii="PT Astra Serif" w:hAnsi="PT Astra Serif"/>
                <w:sz w:val="20"/>
                <w:szCs w:val="20"/>
              </w:rPr>
              <w:t xml:space="preserve">я на некоторых товарных рынках</w:t>
            </w:r>
            <w:r>
              <w:rPr>
                <w:rFonts w:ascii="PT Astra Serif" w:hAnsi="PT Astra Serif"/>
                <w:sz w:val="20"/>
                <w:szCs w:val="20"/>
              </w:rPr>
            </w:r>
            <w:r>
              <w:rPr>
                <w:rFonts w:ascii="PT Astra Serif" w:hAnsi="PT Astra Serif"/>
                <w:sz w:val="20"/>
                <w:szCs w:val="20"/>
              </w:rPr>
            </w:r>
          </w:p>
        </w:tc>
      </w:tr>
      <w:tr>
        <w:tblPrEx/>
        <w:trPr>
          <w:trHeight w:val="931"/>
        </w:trPr>
        <w:tc>
          <w:tcPr>
            <w:shd w:val="clear" w:color="auto" w:fill="auto"/>
            <w:tcW w:w="1843" w:type="dxa"/>
            <w:vAlign w:val="center"/>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базовый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104,1</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105,9</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tcW w:w="3547" w:type="dxa"/>
            <w:vAlign w:val="center"/>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982"/>
        </w:trPr>
        <w:tc>
          <w:tcPr>
            <w:shd w:val="clear" w:color="auto" w:fill="auto"/>
            <w:tcW w:w="1843" w:type="dxa"/>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целевой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103,9</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104,1</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vertAlign w:val="superscript"/>
              </w:rPr>
            </w:pPr>
            <w:r>
              <w:rPr>
                <w:rFonts w:ascii="PT Astra Serif" w:hAnsi="PT Astra Serif"/>
                <w:sz w:val="20"/>
                <w:szCs w:val="20"/>
                <w:vertAlign w:val="superscript"/>
              </w:rPr>
            </w:r>
            <w:r>
              <w:rPr>
                <w:rFonts w:ascii="PT Astra Serif" w:hAnsi="PT Astra Serif"/>
                <w:sz w:val="20"/>
                <w:szCs w:val="20"/>
                <w:vertAlign w:val="superscript"/>
              </w:rPr>
            </w:r>
            <w:r>
              <w:rPr>
                <w:rFonts w:ascii="PT Astra Serif" w:hAnsi="PT Astra Serif"/>
                <w:sz w:val="20"/>
                <w:szCs w:val="20"/>
                <w:vertAlign w:val="superscript"/>
              </w:rPr>
            </w:r>
          </w:p>
        </w:tc>
        <w:tc>
          <w:tcPr>
            <w:tcW w:w="3547"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21"/>
        </w:trPr>
        <w:tc>
          <w:tcPr>
            <w:gridSpan w:val="6"/>
            <w:shd w:val="clear" w:color="auto" w:fill="f2f2f2" w:themeFill="background1" w:themeFillShade="F2"/>
            <w:tcW w:w="10632" w:type="dxa"/>
            <w:textDirection w:val="lrTb"/>
            <w:noWrap w:val="false"/>
          </w:tcPr>
          <w:p>
            <w:pPr>
              <w:jc w:val="center"/>
              <w:spacing w:after="0" w:line="240" w:lineRule="auto"/>
              <w:rPr>
                <w:rFonts w:ascii="PT Astra Serif" w:hAnsi="PT Astra Serif"/>
                <w:b/>
                <w:sz w:val="20"/>
                <w:szCs w:val="20"/>
              </w:rPr>
            </w:pPr>
            <w:r>
              <w:rPr>
                <w:rFonts w:ascii="PT Astra Serif" w:hAnsi="PT Astra Serif"/>
                <w:b/>
                <w:sz w:val="20"/>
                <w:szCs w:val="20"/>
              </w:rPr>
            </w:r>
            <w:r>
              <w:rPr>
                <w:rFonts w:ascii="PT Astra Serif" w:hAnsi="PT Astra Serif"/>
                <w:b/>
                <w:sz w:val="20"/>
                <w:szCs w:val="20"/>
              </w:rPr>
            </w:r>
            <w:r>
              <w:rPr>
                <w:rFonts w:ascii="PT Astra Serif" w:hAnsi="PT Astra Serif"/>
                <w:b/>
                <w:sz w:val="20"/>
                <w:szCs w:val="20"/>
              </w:rPr>
            </w:r>
          </w:p>
        </w:tc>
      </w:tr>
      <w:tr>
        <w:tblPrEx/>
        <w:trPr>
          <w:trHeight w:val="201"/>
        </w:trPr>
        <w:tc>
          <w:tcPr>
            <w:shd w:val="clear" w:color="auto" w:fill="auto"/>
            <w:tcW w:w="1843" w:type="dxa"/>
            <w:vAlign w:val="center"/>
            <w:vMerge w:val="restart"/>
            <w:textDirection w:val="lrTb"/>
            <w:noWrap w:val="false"/>
          </w:tcPr>
          <w:p>
            <w:pPr>
              <w:spacing w:after="0" w:line="240" w:lineRule="auto"/>
              <w:rPr>
                <w:rFonts w:ascii="PT Astra Serif" w:hAnsi="PT Astra Serif"/>
                <w:sz w:val="20"/>
                <w:szCs w:val="20"/>
              </w:rPr>
            </w:pPr>
            <w:r>
              <w:rPr>
                <w:rFonts w:ascii="PT Astra Serif" w:hAnsi="PT Astra Serif"/>
                <w:sz w:val="20"/>
                <w:szCs w:val="20"/>
              </w:rPr>
              <w:t xml:space="preserve">Численность постоянного населения (среднегодовая)</w:t>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консерва</w:t>
            </w:r>
            <w:r>
              <w:rPr>
                <w:rFonts w:ascii="PT Astra Serif" w:hAnsi="PT Astra Serif"/>
                <w:sz w:val="20"/>
                <w:szCs w:val="20"/>
              </w:rPr>
              <w:t xml:space="preserve">-</w:t>
            </w:r>
            <w:r>
              <w:rPr>
                <w:rFonts w:ascii="PT Astra Serif" w:hAnsi="PT Astra Serif"/>
                <w:sz w:val="20"/>
                <w:szCs w:val="20"/>
              </w:rPr>
              <w:t xml:space="preserve">тивный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1048,5</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1052,7</w:t>
            </w:r>
            <w:r>
              <w:rPr>
                <w:rFonts w:ascii="PT Astra Serif" w:hAnsi="PT Astra Serif"/>
                <w:sz w:val="20"/>
                <w:szCs w:val="20"/>
              </w:rPr>
            </w:r>
            <w:r>
              <w:rPr>
                <w:rFonts w:ascii="PT Astra Serif" w:hAnsi="PT Astra Serif"/>
                <w:sz w:val="20"/>
                <w:szCs w:val="20"/>
              </w:rPr>
            </w:r>
          </w:p>
        </w:tc>
        <w:tc>
          <w:tcPr>
            <w:tcW w:w="991" w:type="dxa"/>
            <w:vAlign w:val="center"/>
            <w:vMerge w:val="restart"/>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1047,7</w:t>
            </w:r>
            <w:r>
              <w:rPr>
                <w:rFonts w:ascii="PT Astra Serif" w:hAnsi="PT Astra Serif"/>
                <w:sz w:val="20"/>
                <w:szCs w:val="20"/>
              </w:rPr>
            </w:r>
            <w:r>
              <w:rPr>
                <w:rFonts w:ascii="PT Astra Serif" w:hAnsi="PT Astra Serif"/>
                <w:sz w:val="20"/>
                <w:szCs w:val="20"/>
              </w:rPr>
            </w:r>
          </w:p>
        </w:tc>
        <w:tc>
          <w:tcPr>
            <w:tcW w:w="3547" w:type="dxa"/>
            <w:vAlign w:val="center"/>
            <w:vMerge w:val="restart"/>
            <w:textDirection w:val="lrTb"/>
            <w:noWrap w:val="false"/>
          </w:tcPr>
          <w:p>
            <w:pPr>
              <w:spacing w:after="0" w:line="240" w:lineRule="auto"/>
              <w:rPr>
                <w:rFonts w:ascii="PT Astra Serif" w:hAnsi="PT Astra Serif"/>
                <w:sz w:val="20"/>
                <w:szCs w:val="20"/>
              </w:rPr>
            </w:pPr>
            <w:r>
              <w:rPr>
                <w:rFonts w:ascii="PT Astra Serif" w:hAnsi="PT Astra Serif"/>
                <w:sz w:val="20"/>
                <w:szCs w:val="20"/>
              </w:rPr>
              <w:t xml:space="preserve">Снижение численности в связи               с уточнением Томскстатом данных за 2020</w:t>
            </w:r>
            <w:r>
              <w:rPr>
                <w:rFonts w:ascii="PT Astra Serif" w:hAnsi="PT Astra Serif"/>
                <w:sz w:val="20"/>
                <w:szCs w:val="20"/>
              </w:rPr>
              <w:t xml:space="preserve"> </w:t>
            </w:r>
            <w:r>
              <w:rPr>
                <w:rFonts w:ascii="PT Astra Serif" w:hAnsi="PT Astra Serif" w:eastAsia="Times New Roman"/>
                <w:sz w:val="20"/>
                <w:szCs w:val="20"/>
                <w:lang w:eastAsia="ru-RU"/>
              </w:rPr>
              <w:t xml:space="preserve">– </w:t>
            </w:r>
            <w:r>
              <w:rPr>
                <w:rFonts w:ascii="PT Astra Serif" w:hAnsi="PT Astra Serif"/>
                <w:sz w:val="20"/>
                <w:szCs w:val="20"/>
              </w:rPr>
              <w:t xml:space="preserve">2022 гг. по итогам Всероссийской переписи населения 2020 года</w:t>
            </w:r>
            <w:r>
              <w:rPr>
                <w:rFonts w:ascii="PT Astra Serif" w:hAnsi="PT Astra Serif"/>
                <w:sz w:val="20"/>
                <w:szCs w:val="20"/>
              </w:rPr>
            </w:r>
            <w:r>
              <w:rPr>
                <w:rFonts w:ascii="PT Astra Serif" w:hAnsi="PT Astra Serif"/>
                <w:sz w:val="20"/>
                <w:szCs w:val="20"/>
              </w:rPr>
            </w:r>
          </w:p>
        </w:tc>
      </w:tr>
      <w:tr>
        <w:tblPrEx/>
        <w:trPr>
          <w:trHeight w:val="347"/>
        </w:trPr>
        <w:tc>
          <w:tcPr>
            <w:shd w:val="clear" w:color="auto" w:fill="auto"/>
            <w:tcW w:w="1843" w:type="dxa"/>
            <w:vAlign w:val="center"/>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базовый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1052,4</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1054,7</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tcW w:w="3547" w:type="dxa"/>
            <w:vAlign w:val="center"/>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666"/>
        </w:trPr>
        <w:tc>
          <w:tcPr>
            <w:shd w:val="clear" w:color="auto" w:fill="auto"/>
            <w:tcW w:w="1843" w:type="dxa"/>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целевой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1053,0</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1055,3</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vertAlign w:val="superscript"/>
              </w:rPr>
            </w:pPr>
            <w:r>
              <w:rPr>
                <w:rFonts w:ascii="PT Astra Serif" w:hAnsi="PT Astra Serif"/>
                <w:sz w:val="20"/>
                <w:szCs w:val="20"/>
                <w:vertAlign w:val="superscript"/>
              </w:rPr>
            </w:r>
            <w:r>
              <w:rPr>
                <w:rFonts w:ascii="PT Astra Serif" w:hAnsi="PT Astra Serif"/>
                <w:sz w:val="20"/>
                <w:szCs w:val="20"/>
                <w:vertAlign w:val="superscript"/>
              </w:rPr>
            </w:r>
            <w:r>
              <w:rPr>
                <w:rFonts w:ascii="PT Astra Serif" w:hAnsi="PT Astra Serif"/>
                <w:sz w:val="20"/>
                <w:szCs w:val="20"/>
                <w:vertAlign w:val="superscript"/>
              </w:rPr>
            </w:r>
          </w:p>
        </w:tc>
        <w:tc>
          <w:tcPr>
            <w:tcW w:w="3547"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21"/>
        </w:trPr>
        <w:tc>
          <w:tcPr>
            <w:gridSpan w:val="6"/>
            <w:shd w:val="clear" w:color="auto" w:fill="f2f2f2" w:themeFill="background1" w:themeFillShade="F2"/>
            <w:tcW w:w="10632" w:type="dxa"/>
            <w:textDirection w:val="lrTb"/>
            <w:noWrap w:val="false"/>
          </w:tcPr>
          <w:p>
            <w:pPr>
              <w:jc w:val="center"/>
              <w:spacing w:after="0" w:line="240" w:lineRule="auto"/>
              <w:rPr>
                <w:rFonts w:ascii="PT Astra Serif" w:hAnsi="PT Astra Serif"/>
                <w:b/>
                <w:sz w:val="20"/>
                <w:szCs w:val="20"/>
              </w:rPr>
            </w:pPr>
            <w:r>
              <w:rPr>
                <w:rFonts w:ascii="PT Astra Serif" w:hAnsi="PT Astra Serif"/>
                <w:b/>
                <w:sz w:val="20"/>
                <w:szCs w:val="20"/>
              </w:rPr>
            </w:r>
            <w:r>
              <w:rPr>
                <w:rFonts w:ascii="PT Astra Serif" w:hAnsi="PT Astra Serif"/>
                <w:b/>
                <w:sz w:val="20"/>
                <w:szCs w:val="20"/>
              </w:rPr>
            </w:r>
            <w:r>
              <w:rPr>
                <w:rFonts w:ascii="PT Astra Serif" w:hAnsi="PT Astra Serif"/>
                <w:b/>
                <w:sz w:val="20"/>
                <w:szCs w:val="20"/>
              </w:rPr>
            </w:r>
          </w:p>
        </w:tc>
      </w:tr>
      <w:tr>
        <w:tblPrEx/>
        <w:trPr>
          <w:trHeight w:val="701"/>
        </w:trPr>
        <w:tc>
          <w:tcPr>
            <w:shd w:val="clear" w:color="auto" w:fill="auto"/>
            <w:tcW w:w="1843" w:type="dxa"/>
            <w:vAlign w:val="center"/>
            <w:vMerge w:val="restart"/>
            <w:textDirection w:val="lrTb"/>
            <w:noWrap w:val="false"/>
          </w:tcPr>
          <w:p>
            <w:pPr>
              <w:spacing w:after="0" w:line="240" w:lineRule="auto"/>
              <w:rPr>
                <w:rFonts w:ascii="PT Astra Serif" w:hAnsi="PT Astra Serif"/>
                <w:sz w:val="20"/>
                <w:szCs w:val="20"/>
              </w:rPr>
            </w:pPr>
            <w:r>
              <w:rPr>
                <w:rFonts w:ascii="PT Astra Serif" w:hAnsi="PT Astra Serif"/>
                <w:sz w:val="20"/>
                <w:szCs w:val="20"/>
              </w:rPr>
              <w:t xml:space="preserve">Реальные располагаемые денежные доходы населения, %</w:t>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консерва</w:t>
            </w:r>
            <w:r>
              <w:rPr>
                <w:rFonts w:ascii="PT Astra Serif" w:hAnsi="PT Astra Serif"/>
                <w:sz w:val="20"/>
                <w:szCs w:val="20"/>
              </w:rPr>
              <w:t xml:space="preserve">-</w:t>
            </w:r>
            <w:r>
              <w:rPr>
                <w:rFonts w:ascii="PT Astra Serif" w:hAnsi="PT Astra Serif"/>
                <w:sz w:val="20"/>
                <w:szCs w:val="20"/>
              </w:rPr>
              <w:t xml:space="preserve">тивный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101,1</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100,6</w:t>
            </w:r>
            <w:r>
              <w:rPr>
                <w:rFonts w:ascii="PT Astra Serif" w:hAnsi="PT Astra Serif"/>
                <w:sz w:val="20"/>
                <w:szCs w:val="20"/>
              </w:rPr>
            </w:r>
            <w:r>
              <w:rPr>
                <w:rFonts w:ascii="PT Astra Serif" w:hAnsi="PT Astra Serif"/>
                <w:sz w:val="20"/>
                <w:szCs w:val="20"/>
              </w:rPr>
            </w:r>
          </w:p>
        </w:tc>
        <w:tc>
          <w:tcPr>
            <w:tcW w:w="991" w:type="dxa"/>
            <w:vAlign w:val="center"/>
            <w:vMerge w:val="restart"/>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107,1</w:t>
            </w:r>
            <w:r>
              <w:rPr>
                <w:rFonts w:ascii="PT Astra Serif" w:hAnsi="PT Astra Serif"/>
                <w:sz w:val="20"/>
                <w:szCs w:val="20"/>
              </w:rPr>
            </w:r>
            <w:r>
              <w:rPr>
                <w:rFonts w:ascii="PT Astra Serif" w:hAnsi="PT Astra Serif"/>
                <w:sz w:val="20"/>
                <w:szCs w:val="20"/>
              </w:rPr>
            </w:r>
          </w:p>
        </w:tc>
        <w:tc>
          <w:tcPr>
            <w:tcW w:w="3547" w:type="dxa"/>
            <w:vAlign w:val="center"/>
            <w:vMerge w:val="restart"/>
            <w:textDirection w:val="lrTb"/>
            <w:noWrap w:val="false"/>
          </w:tcPr>
          <w:p>
            <w:pPr>
              <w:spacing w:after="0" w:line="240" w:lineRule="auto"/>
              <w:rPr>
                <w:rFonts w:ascii="PT Astra Serif" w:hAnsi="PT Astra Serif"/>
                <w:sz w:val="20"/>
                <w:szCs w:val="20"/>
              </w:rPr>
            </w:pPr>
            <w:r>
              <w:rPr>
                <w:rFonts w:ascii="PT Astra Serif" w:hAnsi="PT Astra Serif"/>
                <w:sz w:val="20"/>
                <w:szCs w:val="20"/>
              </w:rPr>
              <w:t xml:space="preserve">Рост реальных распола</w:t>
            </w:r>
            <w:r>
              <w:rPr>
                <w:rFonts w:ascii="PT Astra Serif" w:hAnsi="PT Astra Serif"/>
                <w:sz w:val="20"/>
                <w:szCs w:val="20"/>
              </w:rPr>
              <w:t xml:space="preserve">гаемых денежных доходов населения в 2023 году обусловлен ростом средней заработной платы, совершенствованием системы оказания социальной помощи гражданам (социальные контракты, охват новых категорий семей, индексация пособий темпами, опережающими инфляцию)</w:t>
            </w:r>
            <w:r>
              <w:rPr>
                <w:rFonts w:ascii="PT Astra Serif" w:hAnsi="PT Astra Serif"/>
                <w:sz w:val="20"/>
                <w:szCs w:val="20"/>
              </w:rPr>
            </w:r>
            <w:r>
              <w:rPr>
                <w:rFonts w:ascii="PT Astra Serif" w:hAnsi="PT Astra Serif"/>
                <w:sz w:val="20"/>
                <w:szCs w:val="20"/>
              </w:rPr>
            </w:r>
          </w:p>
        </w:tc>
      </w:tr>
      <w:tr>
        <w:tblPrEx/>
        <w:trPr>
          <w:trHeight w:val="580"/>
        </w:trPr>
        <w:tc>
          <w:tcPr>
            <w:shd w:val="clear" w:color="auto" w:fill="auto"/>
            <w:tcW w:w="1843" w:type="dxa"/>
            <w:vAlign w:val="center"/>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базовый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101,2</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100,8</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tcW w:w="3547" w:type="dxa"/>
            <w:vAlign w:val="center"/>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633"/>
        </w:trPr>
        <w:tc>
          <w:tcPr>
            <w:shd w:val="clear" w:color="auto" w:fill="auto"/>
            <w:tcW w:w="1843" w:type="dxa"/>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целевой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101,5</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101,6</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vertAlign w:val="superscript"/>
              </w:rPr>
            </w:pPr>
            <w:r>
              <w:rPr>
                <w:rFonts w:ascii="PT Astra Serif" w:hAnsi="PT Astra Serif"/>
                <w:sz w:val="20"/>
                <w:szCs w:val="20"/>
                <w:vertAlign w:val="superscript"/>
              </w:rPr>
            </w:r>
            <w:r>
              <w:rPr>
                <w:rFonts w:ascii="PT Astra Serif" w:hAnsi="PT Astra Serif"/>
                <w:sz w:val="20"/>
                <w:szCs w:val="20"/>
                <w:vertAlign w:val="superscript"/>
              </w:rPr>
            </w:r>
            <w:r>
              <w:rPr>
                <w:rFonts w:ascii="PT Astra Serif" w:hAnsi="PT Astra Serif"/>
                <w:sz w:val="20"/>
                <w:szCs w:val="20"/>
                <w:vertAlign w:val="superscript"/>
              </w:rPr>
            </w:r>
          </w:p>
        </w:tc>
        <w:tc>
          <w:tcPr>
            <w:tcW w:w="3547"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21"/>
        </w:trPr>
        <w:tc>
          <w:tcPr>
            <w:gridSpan w:val="6"/>
            <w:shd w:val="clear" w:color="auto" w:fill="f2f2f2" w:themeFill="background1" w:themeFillShade="F2"/>
            <w:tcW w:w="10632" w:type="dxa"/>
            <w:textDirection w:val="lrTb"/>
            <w:noWrap w:val="false"/>
          </w:tcPr>
          <w:p>
            <w:pPr>
              <w:jc w:val="center"/>
              <w:spacing w:after="0" w:line="240" w:lineRule="auto"/>
              <w:rPr>
                <w:rFonts w:ascii="PT Astra Serif" w:hAnsi="PT Astra Serif"/>
                <w:b/>
                <w:sz w:val="20"/>
                <w:szCs w:val="20"/>
              </w:rPr>
            </w:pPr>
            <w:r>
              <w:rPr>
                <w:rFonts w:ascii="PT Astra Serif" w:hAnsi="PT Astra Serif"/>
                <w:b/>
                <w:sz w:val="20"/>
                <w:szCs w:val="20"/>
              </w:rPr>
            </w:r>
            <w:r>
              <w:rPr>
                <w:rFonts w:ascii="PT Astra Serif" w:hAnsi="PT Astra Serif"/>
                <w:b/>
                <w:sz w:val="20"/>
                <w:szCs w:val="20"/>
              </w:rPr>
            </w:r>
            <w:r>
              <w:rPr>
                <w:rFonts w:ascii="PT Astra Serif" w:hAnsi="PT Astra Serif"/>
                <w:b/>
                <w:sz w:val="20"/>
                <w:szCs w:val="20"/>
              </w:rPr>
            </w:r>
          </w:p>
        </w:tc>
      </w:tr>
      <w:tr>
        <w:tblPrEx/>
        <w:trPr>
          <w:trHeight w:val="648"/>
        </w:trPr>
        <w:tc>
          <w:tcPr>
            <w:shd w:val="clear" w:color="auto" w:fill="auto"/>
            <w:tcW w:w="1843" w:type="dxa"/>
            <w:vAlign w:val="center"/>
            <w:vMerge w:val="restart"/>
            <w:textDirection w:val="lrTb"/>
            <w:noWrap w:val="false"/>
          </w:tcPr>
          <w:p>
            <w:pPr>
              <w:spacing w:after="0" w:line="240" w:lineRule="auto"/>
              <w:rPr>
                <w:rFonts w:ascii="PT Astra Serif" w:hAnsi="PT Astra Serif"/>
                <w:sz w:val="20"/>
                <w:szCs w:val="20"/>
              </w:rPr>
            </w:pPr>
            <w:r>
              <w:rPr>
                <w:rFonts w:ascii="PT Astra Serif" w:hAnsi="PT Astra Serif"/>
                <w:sz w:val="20"/>
                <w:szCs w:val="20"/>
              </w:rPr>
              <w:t xml:space="preserve">Численность населения с денежными доходами ниже прожиточного минимума в % ко всему населению</w:t>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консерва</w:t>
            </w:r>
            <w:r>
              <w:rPr>
                <w:rFonts w:ascii="PT Astra Serif" w:hAnsi="PT Astra Serif"/>
                <w:sz w:val="20"/>
                <w:szCs w:val="20"/>
              </w:rPr>
              <w:t xml:space="preserve">-</w:t>
            </w:r>
            <w:r>
              <w:rPr>
                <w:rFonts w:ascii="PT Astra Serif" w:hAnsi="PT Astra Serif"/>
                <w:sz w:val="20"/>
                <w:szCs w:val="20"/>
              </w:rPr>
              <w:t xml:space="preserve">тивный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14,0</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14,0</w:t>
            </w:r>
            <w:r>
              <w:rPr>
                <w:rFonts w:ascii="PT Astra Serif" w:hAnsi="PT Astra Serif"/>
                <w:sz w:val="20"/>
                <w:szCs w:val="20"/>
              </w:rPr>
            </w:r>
            <w:r>
              <w:rPr>
                <w:rFonts w:ascii="PT Astra Serif" w:hAnsi="PT Astra Serif"/>
                <w:sz w:val="20"/>
                <w:szCs w:val="20"/>
              </w:rPr>
            </w:r>
          </w:p>
        </w:tc>
        <w:tc>
          <w:tcPr>
            <w:tcW w:w="991" w:type="dxa"/>
            <w:vAlign w:val="center"/>
            <w:vMerge w:val="restart"/>
            <w:textDirection w:val="lrTb"/>
            <w:noWrap w:val="false"/>
          </w:tcPr>
          <w:p>
            <w:pPr>
              <w:ind w:right="-108"/>
              <w:jc w:val="center"/>
              <w:spacing w:after="0" w:line="240" w:lineRule="auto"/>
              <w:rPr>
                <w:rFonts w:ascii="PT Astra Serif" w:hAnsi="PT Astra Serif"/>
                <w:sz w:val="20"/>
                <w:szCs w:val="20"/>
              </w:rPr>
            </w:pPr>
            <w:r>
              <w:rPr>
                <w:rFonts w:ascii="PT Astra Serif" w:hAnsi="PT Astra Serif"/>
                <w:sz w:val="20"/>
                <w:szCs w:val="20"/>
              </w:rPr>
              <w:t xml:space="preserve">12,5</w:t>
            </w:r>
            <w:r>
              <w:rPr>
                <w:rFonts w:ascii="PT Astra Serif" w:hAnsi="PT Astra Serif"/>
                <w:sz w:val="20"/>
                <w:szCs w:val="20"/>
              </w:rPr>
              <w:t xml:space="preserve">***</w:t>
            </w:r>
            <w:r>
              <w:rPr>
                <w:rFonts w:ascii="PT Astra Serif" w:hAnsi="PT Astra Serif"/>
                <w:sz w:val="20"/>
                <w:szCs w:val="20"/>
              </w:rPr>
            </w:r>
            <w:r>
              <w:rPr>
                <w:rFonts w:ascii="PT Astra Serif" w:hAnsi="PT Astra Serif"/>
                <w:sz w:val="20"/>
                <w:szCs w:val="20"/>
              </w:rPr>
            </w:r>
          </w:p>
        </w:tc>
        <w:tc>
          <w:tcPr>
            <w:tcW w:w="3547" w:type="dxa"/>
            <w:vAlign w:val="center"/>
            <w:vMerge w:val="restart"/>
            <w:textDirection w:val="lrTb"/>
            <w:noWrap w:val="false"/>
          </w:tcPr>
          <w:p>
            <w:pPr>
              <w:spacing w:after="0" w:line="240" w:lineRule="auto"/>
              <w:rPr>
                <w:rFonts w:ascii="PT Astra Serif" w:hAnsi="PT Astra Serif"/>
                <w:sz w:val="20"/>
                <w:szCs w:val="20"/>
              </w:rPr>
            </w:pPr>
            <w:r>
              <w:rPr>
                <w:rFonts w:ascii="PT Astra Serif" w:hAnsi="PT Astra Serif"/>
                <w:sz w:val="20"/>
                <w:szCs w:val="20"/>
              </w:rPr>
              <w:t xml:space="preserve">Значение показателя за 2023 год будет опубликовано Росстатом в апреле 2024 года</w:t>
            </w:r>
            <w:r>
              <w:rPr>
                <w:rFonts w:ascii="PT Astra Serif" w:hAnsi="PT Astra Serif"/>
                <w:sz w:val="20"/>
                <w:szCs w:val="20"/>
              </w:rPr>
            </w:r>
            <w:r>
              <w:rPr>
                <w:rFonts w:ascii="PT Astra Serif" w:hAnsi="PT Astra Serif"/>
                <w:sz w:val="20"/>
                <w:szCs w:val="20"/>
              </w:rPr>
            </w:r>
          </w:p>
        </w:tc>
      </w:tr>
      <w:tr>
        <w:tblPrEx/>
        <w:trPr>
          <w:trHeight w:val="521"/>
        </w:trPr>
        <w:tc>
          <w:tcPr>
            <w:shd w:val="clear" w:color="auto" w:fill="auto"/>
            <w:tcW w:w="1843" w:type="dxa"/>
            <w:vAlign w:val="center"/>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базовый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13,6</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13,6</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ind w:right="-108"/>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tcW w:w="3547"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21"/>
        </w:trPr>
        <w:tc>
          <w:tcPr>
            <w:shd w:val="clear" w:color="auto" w:fill="auto"/>
            <w:tcW w:w="1843" w:type="dxa"/>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целевой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13,6</w:t>
            </w:r>
            <w:r>
              <w:rPr>
                <w:rFonts w:ascii="PT Astra Serif" w:hAnsi="PT Astra Serif"/>
                <w:sz w:val="20"/>
                <w:szCs w:val="20"/>
              </w:rPr>
            </w:r>
            <w:r>
              <w:rPr>
                <w:rFonts w:ascii="PT Astra Serif" w:hAnsi="PT Astra Serif"/>
                <w:sz w:val="20"/>
                <w:szCs w:val="20"/>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13,6</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vertAlign w:val="superscript"/>
              </w:rPr>
            </w:pPr>
            <w:r>
              <w:rPr>
                <w:rFonts w:ascii="PT Astra Serif" w:hAnsi="PT Astra Serif"/>
                <w:sz w:val="20"/>
                <w:szCs w:val="20"/>
                <w:vertAlign w:val="superscript"/>
              </w:rPr>
            </w:r>
            <w:r>
              <w:rPr>
                <w:rFonts w:ascii="PT Astra Serif" w:hAnsi="PT Astra Serif"/>
                <w:sz w:val="20"/>
                <w:szCs w:val="20"/>
                <w:vertAlign w:val="superscript"/>
              </w:rPr>
            </w:r>
            <w:r>
              <w:rPr>
                <w:rFonts w:ascii="PT Astra Serif" w:hAnsi="PT Astra Serif"/>
                <w:sz w:val="20"/>
                <w:szCs w:val="20"/>
                <w:vertAlign w:val="superscript"/>
              </w:rPr>
            </w:r>
          </w:p>
        </w:tc>
        <w:tc>
          <w:tcPr>
            <w:tcW w:w="3547"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21"/>
        </w:trPr>
        <w:tc>
          <w:tcPr>
            <w:gridSpan w:val="6"/>
            <w:shd w:val="clear" w:color="auto" w:fill="f2f2f2" w:themeFill="background1" w:themeFillShade="F2"/>
            <w:tcW w:w="10632" w:type="dxa"/>
            <w:textDirection w:val="lrTb"/>
            <w:noWrap w:val="false"/>
          </w:tcPr>
          <w:p>
            <w:pPr>
              <w:jc w:val="center"/>
              <w:spacing w:after="0" w:line="240" w:lineRule="auto"/>
              <w:rPr>
                <w:rFonts w:ascii="PT Astra Serif" w:hAnsi="PT Astra Serif"/>
                <w:b/>
                <w:sz w:val="20"/>
                <w:szCs w:val="20"/>
              </w:rPr>
            </w:pPr>
            <w:r>
              <w:rPr>
                <w:rFonts w:ascii="PT Astra Serif" w:hAnsi="PT Astra Serif"/>
                <w:b/>
                <w:sz w:val="20"/>
                <w:szCs w:val="20"/>
              </w:rPr>
            </w:r>
            <w:r>
              <w:rPr>
                <w:rFonts w:ascii="PT Astra Serif" w:hAnsi="PT Astra Serif"/>
                <w:b/>
                <w:sz w:val="20"/>
                <w:szCs w:val="20"/>
              </w:rPr>
            </w:r>
            <w:r>
              <w:rPr>
                <w:rFonts w:ascii="PT Astra Serif" w:hAnsi="PT Astra Serif"/>
                <w:b/>
                <w:sz w:val="20"/>
                <w:szCs w:val="20"/>
              </w:rPr>
            </w:r>
          </w:p>
        </w:tc>
      </w:tr>
      <w:tr>
        <w:tblPrEx/>
        <w:trPr>
          <w:trHeight w:val="556"/>
        </w:trPr>
        <w:tc>
          <w:tcPr>
            <w:shd w:val="clear" w:color="auto" w:fill="auto"/>
            <w:tcW w:w="1843" w:type="dxa"/>
            <w:vAlign w:val="center"/>
            <w:vMerge w:val="restart"/>
            <w:textDirection w:val="lrTb"/>
            <w:noWrap w:val="false"/>
          </w:tcPr>
          <w:p>
            <w:pPr>
              <w:spacing w:after="0" w:line="240" w:lineRule="auto"/>
              <w:rPr>
                <w:rFonts w:ascii="PT Astra Serif" w:hAnsi="PT Astra Serif"/>
                <w:sz w:val="20"/>
                <w:szCs w:val="20"/>
              </w:rPr>
            </w:pPr>
            <w:r>
              <w:rPr>
                <w:rFonts w:ascii="PT Astra Serif" w:hAnsi="PT Astra Serif"/>
                <w:sz w:val="20"/>
                <w:szCs w:val="20"/>
              </w:rPr>
              <w:t xml:space="preserve">Уровень зарегистрирован</w:t>
            </w:r>
            <w:r>
              <w:rPr>
                <w:rFonts w:ascii="PT Astra Serif" w:hAnsi="PT Astra Serif"/>
                <w:sz w:val="20"/>
                <w:szCs w:val="20"/>
              </w:rPr>
              <w:t xml:space="preserve">-</w:t>
            </w:r>
            <w:r>
              <w:rPr>
                <w:rFonts w:ascii="PT Astra Serif" w:hAnsi="PT Astra Serif"/>
                <w:sz w:val="20"/>
                <w:szCs w:val="20"/>
              </w:rPr>
              <w:t xml:space="preserve">ной безработицы, %</w:t>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консерва</w:t>
            </w:r>
            <w:r>
              <w:rPr>
                <w:rFonts w:ascii="PT Astra Serif" w:hAnsi="PT Astra Serif"/>
                <w:sz w:val="20"/>
                <w:szCs w:val="20"/>
              </w:rPr>
              <w:t xml:space="preserve">-</w:t>
            </w:r>
            <w:r>
              <w:rPr>
                <w:rFonts w:ascii="PT Astra Serif" w:hAnsi="PT Astra Serif"/>
                <w:sz w:val="20"/>
                <w:szCs w:val="20"/>
              </w:rPr>
              <w:t xml:space="preserve">тивный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lang w:val="en-US"/>
              </w:rPr>
            </w:pPr>
            <w:r>
              <w:rPr>
                <w:rFonts w:ascii="PT Astra Serif" w:hAnsi="PT Astra Serif"/>
                <w:sz w:val="20"/>
                <w:szCs w:val="20"/>
                <w:lang w:val="en-US"/>
              </w:rPr>
              <w:t xml:space="preserve">X</w:t>
            </w:r>
            <w:r>
              <w:rPr>
                <w:rFonts w:ascii="PT Astra Serif" w:hAnsi="PT Astra Serif"/>
                <w:sz w:val="20"/>
                <w:szCs w:val="20"/>
                <w:lang w:val="en-US"/>
              </w:rPr>
            </w:r>
            <w:r>
              <w:rPr>
                <w:rFonts w:ascii="PT Astra Serif" w:hAnsi="PT Astra Serif"/>
                <w:sz w:val="20"/>
                <w:szCs w:val="20"/>
                <w:lang w:val="en-US"/>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1,1</w:t>
            </w:r>
            <w:r>
              <w:rPr>
                <w:rFonts w:ascii="PT Astra Serif" w:hAnsi="PT Astra Serif"/>
                <w:sz w:val="20"/>
                <w:szCs w:val="20"/>
              </w:rPr>
            </w:r>
            <w:r>
              <w:rPr>
                <w:rFonts w:ascii="PT Astra Serif" w:hAnsi="PT Astra Serif"/>
                <w:sz w:val="20"/>
                <w:szCs w:val="20"/>
              </w:rPr>
            </w:r>
          </w:p>
        </w:tc>
        <w:tc>
          <w:tcPr>
            <w:tcW w:w="991" w:type="dxa"/>
            <w:vAlign w:val="center"/>
            <w:vMerge w:val="restart"/>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0,65</w:t>
            </w:r>
            <w:r>
              <w:rPr>
                <w:rFonts w:ascii="PT Astra Serif" w:hAnsi="PT Astra Serif"/>
                <w:sz w:val="20"/>
                <w:szCs w:val="20"/>
              </w:rPr>
            </w:r>
            <w:r>
              <w:rPr>
                <w:rFonts w:ascii="PT Astra Serif" w:hAnsi="PT Astra Serif"/>
                <w:sz w:val="20"/>
                <w:szCs w:val="20"/>
              </w:rPr>
            </w:r>
          </w:p>
        </w:tc>
        <w:tc>
          <w:tcPr>
            <w:tcW w:w="3547" w:type="dxa"/>
            <w:vAlign w:val="center"/>
            <w:vMerge w:val="restart"/>
            <w:textDirection w:val="lrTb"/>
            <w:noWrap w:val="false"/>
          </w:tcPr>
          <w:p>
            <w:pPr>
              <w:spacing w:after="0" w:line="240" w:lineRule="auto"/>
              <w:rPr>
                <w:rFonts w:ascii="PT Astra Serif" w:hAnsi="PT Astra Serif"/>
                <w:sz w:val="20"/>
                <w:szCs w:val="20"/>
              </w:rPr>
            </w:pPr>
            <w:r>
              <w:rPr>
                <w:rFonts w:ascii="PT Astra Serif" w:hAnsi="PT Astra Serif"/>
                <w:sz w:val="20"/>
                <w:szCs w:val="20"/>
              </w:rPr>
              <w:t xml:space="preserve">Снижение</w:t>
            </w:r>
            <w:r>
              <w:rPr>
                <w:rFonts w:ascii="PT Astra Serif" w:hAnsi="PT Astra Serif" w:cs="PT Astra Serif"/>
                <w:sz w:val="20"/>
                <w:szCs w:val="20"/>
              </w:rPr>
              <w:t xml:space="preserve"> </w:t>
            </w:r>
            <w:r>
              <w:rPr>
                <w:rFonts w:ascii="PT Astra Serif" w:hAnsi="PT Astra Serif"/>
                <w:sz w:val="20"/>
                <w:szCs w:val="20"/>
              </w:rPr>
              <w:t xml:space="preserve">уровня безработицы в связи с реализацией комплекса мероприятий по восстановлению рынка труда</w:t>
            </w:r>
            <w:r>
              <w:rPr>
                <w:rFonts w:ascii="PT Astra Serif" w:hAnsi="PT Astra Serif"/>
                <w:sz w:val="20"/>
                <w:szCs w:val="20"/>
              </w:rPr>
            </w:r>
            <w:r>
              <w:rPr>
                <w:rFonts w:ascii="PT Astra Serif" w:hAnsi="PT Astra Serif"/>
                <w:sz w:val="20"/>
                <w:szCs w:val="20"/>
              </w:rPr>
            </w:r>
          </w:p>
        </w:tc>
      </w:tr>
      <w:tr>
        <w:tblPrEx/>
        <w:trPr>
          <w:trHeight w:val="419"/>
        </w:trPr>
        <w:tc>
          <w:tcPr>
            <w:shd w:val="clear" w:color="auto" w:fill="auto"/>
            <w:tcW w:w="1843" w:type="dxa"/>
            <w:vAlign w:val="center"/>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базовый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lang w:val="en-US"/>
              </w:rPr>
            </w:pPr>
            <w:r>
              <w:rPr>
                <w:rFonts w:ascii="PT Astra Serif" w:hAnsi="PT Astra Serif"/>
                <w:sz w:val="20"/>
                <w:szCs w:val="20"/>
                <w:lang w:val="en-US"/>
              </w:rPr>
              <w:t xml:space="preserve">X</w:t>
            </w:r>
            <w:r>
              <w:rPr>
                <w:rFonts w:ascii="PT Astra Serif" w:hAnsi="PT Astra Serif"/>
                <w:sz w:val="20"/>
                <w:szCs w:val="20"/>
                <w:lang w:val="en-US"/>
              </w:rPr>
            </w:r>
            <w:r>
              <w:rPr>
                <w:rFonts w:ascii="PT Astra Serif" w:hAnsi="PT Astra Serif"/>
                <w:sz w:val="20"/>
                <w:szCs w:val="20"/>
                <w:lang w:val="en-US"/>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1,1</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tcW w:w="3547" w:type="dxa"/>
            <w:vAlign w:val="center"/>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r>
        <w:tblPrEx/>
        <w:trPr>
          <w:trHeight w:val="426"/>
        </w:trPr>
        <w:tc>
          <w:tcPr>
            <w:shd w:val="clear" w:color="auto" w:fill="auto"/>
            <w:tcW w:w="1843" w:type="dxa"/>
            <w:vMerge w:val="continue"/>
            <w:textDirection w:val="lrTb"/>
            <w:noWrap w:val="false"/>
          </w:tcPr>
          <w:p>
            <w:pP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shd w:val="clear" w:color="auto" w:fill="auto"/>
            <w:tcW w:w="1134"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целевой</w:t>
            </w:r>
            <w:r>
              <w:rPr>
                <w:rFonts w:ascii="PT Astra Serif" w:hAnsi="PT Astra Serif"/>
                <w:sz w:val="20"/>
                <w:szCs w:val="20"/>
              </w:rPr>
            </w:r>
            <w:r>
              <w:rPr>
                <w:rFonts w:ascii="PT Astra Serif" w:hAnsi="PT Astra Serif"/>
                <w:sz w:val="20"/>
                <w:szCs w:val="20"/>
              </w:rPr>
            </w:r>
          </w:p>
        </w:tc>
        <w:tc>
          <w:tcPr>
            <w:tcW w:w="1558" w:type="dxa"/>
            <w:vAlign w:val="center"/>
            <w:textDirection w:val="lrTb"/>
            <w:noWrap w:val="false"/>
          </w:tcPr>
          <w:p>
            <w:pPr>
              <w:jc w:val="center"/>
              <w:spacing w:after="0" w:line="240" w:lineRule="auto"/>
              <w:rPr>
                <w:rFonts w:ascii="PT Astra Serif" w:hAnsi="PT Astra Serif"/>
                <w:sz w:val="20"/>
                <w:szCs w:val="20"/>
                <w:lang w:val="en-US"/>
              </w:rPr>
            </w:pPr>
            <w:r>
              <w:rPr>
                <w:rFonts w:ascii="PT Astra Serif" w:hAnsi="PT Astra Serif"/>
                <w:sz w:val="20"/>
                <w:szCs w:val="20"/>
                <w:lang w:val="en-US"/>
              </w:rPr>
              <w:t xml:space="preserve">X</w:t>
            </w:r>
            <w:r>
              <w:rPr>
                <w:rFonts w:ascii="PT Astra Serif" w:hAnsi="PT Astra Serif"/>
                <w:sz w:val="20"/>
                <w:szCs w:val="20"/>
                <w:lang w:val="en-US"/>
              </w:rPr>
            </w:r>
            <w:r>
              <w:rPr>
                <w:rFonts w:ascii="PT Astra Serif" w:hAnsi="PT Astra Serif"/>
                <w:sz w:val="20"/>
                <w:szCs w:val="20"/>
                <w:lang w:val="en-US"/>
              </w:rPr>
            </w:r>
          </w:p>
        </w:tc>
        <w:tc>
          <w:tcPr>
            <w:tcW w:w="1559" w:type="dxa"/>
            <w:vAlign w:val="center"/>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t xml:space="preserve">1,0</w:t>
            </w:r>
            <w:r>
              <w:rPr>
                <w:rFonts w:ascii="PT Astra Serif" w:hAnsi="PT Astra Serif"/>
                <w:sz w:val="20"/>
                <w:szCs w:val="20"/>
              </w:rPr>
            </w:r>
            <w:r>
              <w:rPr>
                <w:rFonts w:ascii="PT Astra Serif" w:hAnsi="PT Astra Serif"/>
                <w:sz w:val="20"/>
                <w:szCs w:val="20"/>
              </w:rPr>
            </w:r>
          </w:p>
        </w:tc>
        <w:tc>
          <w:tcPr>
            <w:tcW w:w="991" w:type="dxa"/>
            <w:vAlign w:val="center"/>
            <w:vMerge w:val="continue"/>
            <w:textDirection w:val="lrTb"/>
            <w:noWrap w:val="false"/>
          </w:tcPr>
          <w:p>
            <w:pPr>
              <w:jc w:val="center"/>
              <w:spacing w:after="0" w:line="240" w:lineRule="auto"/>
              <w:rPr>
                <w:rFonts w:ascii="PT Astra Serif" w:hAnsi="PT Astra Serif"/>
                <w:sz w:val="20"/>
                <w:szCs w:val="20"/>
                <w:vertAlign w:val="superscript"/>
              </w:rPr>
            </w:pPr>
            <w:r>
              <w:rPr>
                <w:rFonts w:ascii="PT Astra Serif" w:hAnsi="PT Astra Serif"/>
                <w:sz w:val="20"/>
                <w:szCs w:val="20"/>
                <w:vertAlign w:val="superscript"/>
              </w:rPr>
            </w:r>
            <w:r>
              <w:rPr>
                <w:rFonts w:ascii="PT Astra Serif" w:hAnsi="PT Astra Serif"/>
                <w:sz w:val="20"/>
                <w:szCs w:val="20"/>
                <w:vertAlign w:val="superscript"/>
              </w:rPr>
            </w:r>
            <w:r>
              <w:rPr>
                <w:rFonts w:ascii="PT Astra Serif" w:hAnsi="PT Astra Serif"/>
                <w:sz w:val="20"/>
                <w:szCs w:val="20"/>
                <w:vertAlign w:val="superscript"/>
              </w:rPr>
            </w:r>
          </w:p>
        </w:tc>
        <w:tc>
          <w:tcPr>
            <w:tcW w:w="3547" w:type="dxa"/>
            <w:vAlign w:val="center"/>
            <w:vMerge w:val="continue"/>
            <w:textDirection w:val="lrTb"/>
            <w:noWrap w:val="false"/>
          </w:tcPr>
          <w:p>
            <w:pPr>
              <w:jc w:val="center"/>
              <w:spacing w:after="0" w:line="240" w:lineRule="auto"/>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r>
    </w:tbl>
    <w:p>
      <w:pPr>
        <w:pStyle w:val="1152"/>
        <w:ind w:left="-360"/>
        <w:spacing w:after="0" w:line="240" w:lineRule="auto"/>
        <w:rPr>
          <w:rFonts w:ascii="PT Astra Serif" w:hAnsi="PT Astra Serif"/>
          <w:sz w:val="24"/>
          <w:szCs w:val="24"/>
          <w:vertAlign w:val="superscript"/>
        </w:rPr>
      </w:pPr>
      <w:r>
        <w:rPr>
          <w:rFonts w:ascii="PT Astra Serif" w:hAnsi="PT Astra Serif"/>
          <w:sz w:val="24"/>
          <w:szCs w:val="24"/>
          <w:vertAlign w:val="superscript"/>
        </w:rPr>
      </w:r>
      <w:r>
        <w:rPr>
          <w:rFonts w:ascii="PT Astra Serif" w:hAnsi="PT Astra Serif"/>
          <w:sz w:val="24"/>
          <w:szCs w:val="24"/>
          <w:vertAlign w:val="superscript"/>
        </w:rPr>
      </w:r>
      <w:r>
        <w:rPr>
          <w:rFonts w:ascii="PT Astra Serif" w:hAnsi="PT Astra Serif"/>
          <w:sz w:val="24"/>
          <w:szCs w:val="24"/>
          <w:vertAlign w:val="superscript"/>
        </w:rPr>
      </w:r>
    </w:p>
    <w:p>
      <w:pPr>
        <w:pStyle w:val="1152"/>
        <w:ind w:left="-709" w:hanging="284"/>
        <w:jc w:val="both"/>
        <w:spacing w:before="240" w:after="120" w:line="240" w:lineRule="auto"/>
        <w:rPr>
          <w:rFonts w:ascii="PT Astra Serif" w:hAnsi="PT Astra Serif"/>
          <w:sz w:val="20"/>
          <w:szCs w:val="20"/>
        </w:rPr>
      </w:pPr>
      <w:r>
        <w:rPr>
          <w:rFonts w:ascii="PT Astra Serif" w:hAnsi="PT Astra Serif"/>
          <w:sz w:val="24"/>
          <w:szCs w:val="24"/>
        </w:rPr>
        <w:t xml:space="preserve">* </w:t>
      </w:r>
      <w:r>
        <w:rPr>
          <w:rFonts w:ascii="PT Astra Serif" w:hAnsi="PT Astra Serif"/>
          <w:sz w:val="20"/>
          <w:szCs w:val="20"/>
        </w:rPr>
        <w:t xml:space="preserve">Прогнозные значения на 2023 год в соответствии с </w:t>
      </w:r>
      <w:r>
        <w:rPr>
          <w:rFonts w:ascii="PT Astra Serif" w:hAnsi="PT Astra Serif"/>
          <w:sz w:val="20"/>
          <w:szCs w:val="20"/>
        </w:rPr>
        <w:t xml:space="preserve">п</w:t>
      </w:r>
      <w:r>
        <w:rPr>
          <w:rFonts w:ascii="PT Astra Serif" w:hAnsi="PT Astra Serif"/>
          <w:sz w:val="20"/>
          <w:szCs w:val="20"/>
        </w:rPr>
        <w:t xml:space="preserve">остановлением Администрации Томской области от 18.11.2021 № 463а «Об утверждении прогноза социально-экономического развития Томской области на до</w:t>
      </w:r>
      <w:r>
        <w:rPr>
          <w:rFonts w:ascii="PT Astra Serif" w:hAnsi="PT Astra Serif"/>
          <w:sz w:val="20"/>
          <w:szCs w:val="20"/>
        </w:rPr>
        <w:t xml:space="preserve">лгосрочный период до 2036 года».</w:t>
      </w:r>
      <w:r>
        <w:rPr>
          <w:rFonts w:ascii="PT Astra Serif" w:hAnsi="PT Astra Serif"/>
          <w:sz w:val="20"/>
          <w:szCs w:val="20"/>
        </w:rPr>
      </w:r>
      <w:r>
        <w:rPr>
          <w:rFonts w:ascii="PT Astra Serif" w:hAnsi="PT Astra Serif"/>
          <w:sz w:val="20"/>
          <w:szCs w:val="20"/>
        </w:rPr>
      </w:r>
    </w:p>
    <w:p>
      <w:pPr>
        <w:pStyle w:val="1152"/>
        <w:ind w:left="-709" w:hanging="284"/>
        <w:jc w:val="both"/>
        <w:spacing w:before="240" w:after="120" w:line="240" w:lineRule="auto"/>
        <w:rPr>
          <w:rFonts w:ascii="PT Astra Serif" w:hAnsi="PT Astra Serif"/>
          <w:sz w:val="20"/>
          <w:szCs w:val="20"/>
        </w:rPr>
      </w:pPr>
      <w:r>
        <w:rPr>
          <w:rFonts w:ascii="PT Astra Serif" w:hAnsi="PT Astra Serif"/>
          <w:sz w:val="20"/>
          <w:szCs w:val="20"/>
        </w:rPr>
        <w:t xml:space="preserve">**</w:t>
      </w:r>
      <w:r>
        <w:rPr>
          <w:rFonts w:ascii="PT Astra Serif" w:hAnsi="PT Astra Serif"/>
          <w:sz w:val="20"/>
          <w:szCs w:val="20"/>
        </w:rPr>
        <w:t xml:space="preserve"> </w:t>
      </w:r>
      <w:r>
        <w:rPr>
          <w:rFonts w:ascii="PT Astra Serif" w:hAnsi="PT Astra Serif"/>
          <w:sz w:val="20"/>
          <w:szCs w:val="20"/>
        </w:rPr>
        <w:t xml:space="preserve">Прогнозные значения на 2023 год в соответствии с </w:t>
      </w:r>
      <w:r>
        <w:rPr>
          <w:rFonts w:ascii="PT Astra Serif" w:hAnsi="PT Astra Serif"/>
          <w:sz w:val="20"/>
          <w:szCs w:val="20"/>
        </w:rPr>
        <w:t xml:space="preserve">п</w:t>
      </w:r>
      <w:r>
        <w:rPr>
          <w:rFonts w:ascii="PT Astra Serif" w:hAnsi="PT Astra Serif"/>
          <w:sz w:val="20"/>
          <w:szCs w:val="20"/>
        </w:rPr>
        <w:t xml:space="preserve">остановлением Администрации Томской области от 29.09.2022 № 427а «Об одобрении прогноза социально-экономического развития Томской области на 2023 год и на пла</w:t>
      </w:r>
      <w:r>
        <w:rPr>
          <w:rFonts w:ascii="PT Astra Serif" w:hAnsi="PT Astra Serif"/>
          <w:sz w:val="20"/>
          <w:szCs w:val="20"/>
        </w:rPr>
        <w:t xml:space="preserve">новый период 2024 - 2025 годов».</w:t>
      </w:r>
      <w:r>
        <w:rPr>
          <w:rFonts w:ascii="PT Astra Serif" w:hAnsi="PT Astra Serif"/>
          <w:sz w:val="20"/>
          <w:szCs w:val="20"/>
        </w:rPr>
      </w:r>
      <w:r>
        <w:rPr>
          <w:rFonts w:ascii="PT Astra Serif" w:hAnsi="PT Astra Serif"/>
          <w:sz w:val="20"/>
          <w:szCs w:val="20"/>
        </w:rPr>
      </w:r>
    </w:p>
    <w:p>
      <w:pPr>
        <w:ind w:left="-709" w:hanging="284"/>
        <w:spacing w:after="120" w:line="240" w:lineRule="auto"/>
        <w:rPr>
          <w:rFonts w:ascii="PT Astra Serif" w:hAnsi="PT Astra Serif"/>
          <w:sz w:val="20"/>
          <w:szCs w:val="20"/>
        </w:rPr>
      </w:pPr>
      <w:r>
        <w:rPr>
          <w:rFonts w:ascii="PT Astra Serif" w:hAnsi="PT Astra Serif"/>
          <w:sz w:val="20"/>
          <w:szCs w:val="20"/>
        </w:rPr>
        <w:t xml:space="preserve">*** О</w:t>
      </w:r>
      <w:r>
        <w:rPr>
          <w:rFonts w:ascii="PT Astra Serif" w:hAnsi="PT Astra Serif"/>
          <w:sz w:val="20"/>
          <w:szCs w:val="20"/>
        </w:rPr>
        <w:t xml:space="preserve">ценка Департамента экономики Администрации Томской области.</w:t>
      </w:r>
      <w:r>
        <w:rPr>
          <w:rFonts w:ascii="PT Astra Serif" w:hAnsi="PT Astra Serif"/>
          <w:sz w:val="20"/>
          <w:szCs w:val="20"/>
        </w:rPr>
      </w:r>
      <w:r>
        <w:rPr>
          <w:rFonts w:ascii="PT Astra Serif" w:hAnsi="PT Astra Serif"/>
          <w:sz w:val="20"/>
          <w:szCs w:val="20"/>
        </w:rPr>
      </w:r>
    </w:p>
    <w:p>
      <w:pPr>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sectPr>
          <w:footnotePr/>
          <w:endnotePr/>
          <w:type w:val="nextPage"/>
          <w:pgSz w:w="11906" w:h="16838" w:orient="portrait"/>
          <w:pgMar w:top="1134" w:right="850" w:bottom="1134" w:left="1701" w:header="708" w:footer="708" w:gutter="0"/>
          <w:cols w:num="1" w:sep="0" w:space="708" w:equalWidth="1"/>
          <w:docGrid w:linePitch="360"/>
        </w:sect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67"/>
        <w:outlineLvl w:val="1"/>
      </w:pPr>
      <w:r/>
      <w:bookmarkStart w:id="35" w:name="_Toc134630424"/>
      <w:r>
        <w:t xml:space="preserve">Приложение № 4</w:t>
      </w:r>
      <w:bookmarkEnd w:id="35"/>
      <w:r/>
      <w:r/>
    </w:p>
    <w:p>
      <w:pPr>
        <w:jc w:val="right"/>
        <w:spacing w:after="0" w:line="240" w:lineRule="auto"/>
        <w:tabs>
          <w:tab w:val="left" w:pos="993" w:leader="none"/>
          <w:tab w:val="left" w:pos="4962" w:leader="none"/>
        </w:tabs>
        <w:rPr>
          <w:rFonts w:ascii="PT Astra Serif" w:hAnsi="PT Astra Serif" w:eastAsia="Calibri"/>
          <w:b/>
          <w:sz w:val="24"/>
          <w:szCs w:val="24"/>
        </w:rPr>
      </w:pPr>
      <w:r>
        <w:rPr>
          <w:rFonts w:ascii="PT Astra Serif" w:hAnsi="PT Astra Serif" w:eastAsia="Calibri"/>
          <w:b/>
          <w:sz w:val="24"/>
          <w:szCs w:val="24"/>
        </w:rPr>
      </w:r>
      <w:r>
        <w:rPr>
          <w:rFonts w:ascii="PT Astra Serif" w:hAnsi="PT Astra Serif" w:eastAsia="Calibri"/>
          <w:b/>
          <w:sz w:val="24"/>
          <w:szCs w:val="24"/>
        </w:rPr>
      </w:r>
      <w:r>
        <w:rPr>
          <w:rFonts w:ascii="PT Astra Serif" w:hAnsi="PT Astra Serif" w:eastAsia="Calibri"/>
          <w:b/>
          <w:sz w:val="24"/>
          <w:szCs w:val="24"/>
        </w:rPr>
      </w:r>
    </w:p>
    <w:p>
      <w:pPr>
        <w:jc w:val="center"/>
        <w:spacing w:after="0" w:line="240" w:lineRule="auto"/>
        <w:tabs>
          <w:tab w:val="left" w:pos="993" w:leader="none"/>
          <w:tab w:val="left" w:pos="4962" w:leader="none"/>
        </w:tabs>
        <w:rPr>
          <w:rFonts w:ascii="PT Astra Serif" w:hAnsi="PT Astra Serif" w:eastAsia="Calibri"/>
          <w:b/>
          <w:sz w:val="24"/>
          <w:szCs w:val="24"/>
        </w:rPr>
      </w:pPr>
      <w:r>
        <w:rPr>
          <w:rFonts w:ascii="PT Astra Serif" w:hAnsi="PT Astra Serif" w:eastAsia="Calibri"/>
          <w:b/>
          <w:sz w:val="24"/>
          <w:szCs w:val="24"/>
        </w:rPr>
        <w:t xml:space="preserve">Мониторинг реализации схемы территориального планирования</w:t>
      </w:r>
      <w:r>
        <w:rPr>
          <w:rFonts w:ascii="PT Astra Serif" w:hAnsi="PT Astra Serif" w:eastAsia="Calibri"/>
          <w:b/>
          <w:sz w:val="24"/>
          <w:szCs w:val="24"/>
        </w:rPr>
        <w:br/>
        <w:t xml:space="preserve">Томской области</w:t>
      </w:r>
      <w:r>
        <w:rPr>
          <w:rFonts w:ascii="PT Astra Serif" w:hAnsi="PT Astra Serif" w:eastAsia="Calibri"/>
          <w:b/>
          <w:sz w:val="24"/>
          <w:szCs w:val="24"/>
        </w:rPr>
      </w:r>
      <w:r>
        <w:rPr>
          <w:rFonts w:ascii="PT Astra Serif" w:hAnsi="PT Astra Serif" w:eastAsia="Calibri"/>
          <w:b/>
          <w:sz w:val="24"/>
          <w:szCs w:val="24"/>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58"/>
        <w:ind w:firstLine="709"/>
        <w:jc w:val="both"/>
        <w:tabs>
          <w:tab w:val="left" w:pos="708" w:leader="none"/>
        </w:tabs>
        <w:rPr>
          <w:rFonts w:ascii="PT Astra Serif" w:hAnsi="PT Astra Serif"/>
        </w:rPr>
      </w:pPr>
      <w:r>
        <w:rPr>
          <w:rFonts w:ascii="PT Astra Serif" w:hAnsi="PT Astra Serif"/>
        </w:rPr>
        <w:t xml:space="preserve">Схема территориального планирования Томской области утверждена постановлением Администрации Томской области от 08.07.2011 № 204а (в ред. от 16.01.2023 № 11а, далее по разделу </w:t>
      </w:r>
      <w:r>
        <w:rPr>
          <w:rFonts w:ascii="PT Astra Serif" w:hAnsi="PT Astra Serif"/>
          <w:sz w:val="20"/>
          <w:szCs w:val="20"/>
        </w:rPr>
        <w:t xml:space="preserve">–</w:t>
      </w:r>
      <w:r>
        <w:rPr>
          <w:rFonts w:ascii="PT Astra Serif" w:hAnsi="PT Astra Serif"/>
        </w:rPr>
        <w:t xml:space="preserve"> СТП).</w:t>
      </w:r>
      <w:r>
        <w:rPr>
          <w:rFonts w:ascii="PT Astra Serif" w:hAnsi="PT Astra Serif"/>
        </w:rPr>
      </w:r>
      <w:r>
        <w:rPr>
          <w:rFonts w:ascii="PT Astra Serif" w:hAnsi="PT Astra Serif"/>
        </w:rPr>
      </w:r>
    </w:p>
    <w:p>
      <w:pPr>
        <w:ind w:firstLine="567"/>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2023 год</w:t>
      </w:r>
      <w:r>
        <w:rPr>
          <w:rFonts w:ascii="PT Astra Serif" w:hAnsi="PT Astra Serif" w:eastAsia="Times New Roman" w:cs="Arial"/>
          <w:sz w:val="24"/>
          <w:szCs w:val="24"/>
          <w:lang w:eastAsia="ru-RU"/>
        </w:rPr>
        <w:t xml:space="preserve">у</w:t>
      </w:r>
      <w:r>
        <w:rPr>
          <w:rFonts w:ascii="PT Astra Serif" w:hAnsi="PT Astra Serif" w:eastAsia="Times New Roman" w:cs="Arial"/>
          <w:sz w:val="24"/>
          <w:szCs w:val="24"/>
          <w:lang w:eastAsia="ru-RU"/>
        </w:rPr>
        <w:t xml:space="preserve"> внесены изменения в СТП Томской области, </w:t>
      </w:r>
      <w:r>
        <w:rPr>
          <w:rFonts w:ascii="PT Astra Serif" w:hAnsi="PT Astra Serif"/>
          <w:sz w:val="24"/>
          <w:szCs w:val="24"/>
        </w:rPr>
        <w:t xml:space="preserve">учитывающие положения Стратегии пространственного развития и Стратегии Томской области, </w:t>
      </w:r>
      <w:r>
        <w:rPr>
          <w:rFonts w:ascii="PT Astra Serif" w:hAnsi="PT Astra Serif" w:eastAsia="Times New Roman" w:cs="Arial"/>
          <w:sz w:val="24"/>
          <w:szCs w:val="24"/>
          <w:lang w:eastAsia="ru-RU"/>
        </w:rPr>
        <w:t xml:space="preserve">в целях реализации государственной программы «Развитие инновационной деятельности и науки в Томской области» в части </w:t>
      </w:r>
      <w:r>
        <w:rPr>
          <w:rFonts w:ascii="PT Astra Serif" w:hAnsi="PT Astra Serif" w:eastAsia="Times New Roman" w:cs="Arial"/>
          <w:sz w:val="24"/>
          <w:szCs w:val="24"/>
          <w:lang w:eastAsia="ru-RU"/>
        </w:rPr>
        <w:t xml:space="preserve">создания современного межвузовского кампуса в городе Томске, а также актуализации перечня планируемых объектов регионального значения в области электроэнергетики и газоснабжения, предусмотренных инвестиционными программами субъектов естественных монополий.</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ind w:firstLine="709"/>
        <w:jc w:val="both"/>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Подготовлены землеустроительные дела по описанию местоположения границ 129 муниципальных образований Томской области, цифровые ортофото</w:t>
      </w:r>
      <w:r>
        <w:rPr>
          <w:rFonts w:ascii="PT Astra Serif" w:hAnsi="PT Astra Serif" w:eastAsia="Times New Roman" w:cs="Arial"/>
          <w:sz w:val="24"/>
          <w:szCs w:val="24"/>
          <w:lang w:eastAsia="ru-RU"/>
        </w:rPr>
        <w:t xml:space="preserve">планы (фотографический план местности, на котором представлена земная поверхность и объекты на ней) на 118 населенных пунктов Бакчарского, Зырянского, Каргасокского, Колпашевского, Парабельского и Чаинского районов Томской области масштаба 1:500, подготовл</w:t>
      </w:r>
      <w:r>
        <w:rPr>
          <w:rFonts w:ascii="PT Astra Serif" w:hAnsi="PT Astra Serif" w:eastAsia="Times New Roman" w:cs="Arial"/>
          <w:sz w:val="24"/>
          <w:szCs w:val="24"/>
          <w:lang w:eastAsia="ru-RU"/>
        </w:rPr>
        <w:t xml:space="preserve">ены проекты изменений в генеральные планы, правила землепользования и застройки 74 поселений и городских округов в части установления границ населенных пунктов и территориальных зон. В ЕГРН внесен участок границы между Томской областью и Новосибирской обла</w:t>
      </w:r>
      <w:r>
        <w:rPr>
          <w:rFonts w:ascii="PT Astra Serif" w:hAnsi="PT Astra Serif" w:eastAsia="Times New Roman" w:cs="Arial"/>
          <w:sz w:val="24"/>
          <w:szCs w:val="24"/>
          <w:lang w:eastAsia="ru-RU"/>
        </w:rPr>
        <w:t xml:space="preserve">стью, подготовлено землеустроительное дело по описанию местоположения границы между Томской областью и ХМАО. Введена в промышленную эксплуатацию государственная информационная система обеспечения градостроительной деятельности Томской области (ГИС ОГД ТО).</w:t>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p>
      <w:pPr>
        <w:pStyle w:val="1158"/>
        <w:ind w:firstLine="459"/>
        <w:jc w:val="both"/>
        <w:tabs>
          <w:tab w:val="left" w:pos="708" w:leader="none"/>
        </w:tabs>
        <w:rPr>
          <w:rFonts w:ascii="PT Astra Serif" w:hAnsi="PT Astra Serif"/>
        </w:rPr>
      </w:pPr>
      <w:r>
        <w:rPr>
          <w:rFonts w:ascii="PT Astra Serif" w:hAnsi="PT Astra Serif"/>
        </w:rPr>
        <w:t xml:space="preserve">Схема территориального планирования Томской области размещена на официальном сайте Администрации Томской области и в федеральной государственной информационной системе территориального планирования по ссылке https://fgistp.economy.gov.ru.</w:t>
      </w:r>
      <w:r>
        <w:rPr>
          <w:rFonts w:ascii="PT Astra Serif" w:hAnsi="PT Astra Serif"/>
        </w:rPr>
      </w:r>
      <w:r>
        <w:rPr>
          <w:rFonts w:ascii="PT Astra Serif" w:hAnsi="PT Astra Serif"/>
        </w:rPr>
      </w:r>
    </w:p>
    <w:p>
      <w:pPr>
        <w:pStyle w:val="1158"/>
        <w:ind w:firstLine="459"/>
        <w:jc w:val="both"/>
        <w:tabs>
          <w:tab w:val="left" w:pos="708" w:leader="none"/>
        </w:tabs>
        <w:rPr>
          <w:rFonts w:ascii="PT Astra Serif" w:hAnsi="PT Astra Serif"/>
        </w:rPr>
      </w:pPr>
      <w:r>
        <w:rPr>
          <w:rFonts w:ascii="PT Astra Serif" w:hAnsi="PT Astra Serif"/>
        </w:rPr>
      </w:r>
      <w:r>
        <w:rPr>
          <w:rFonts w:ascii="PT Astra Serif" w:hAnsi="PT Astra Serif"/>
        </w:rPr>
      </w:r>
      <w:r>
        <w:rPr>
          <w:rFonts w:ascii="PT Astra Serif" w:hAnsi="PT Astra Serif"/>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sectPr>
          <w:footnotePr/>
          <w:endnotePr/>
          <w:type w:val="nextPage"/>
          <w:pgSz w:w="11906" w:h="16838" w:orient="portrait"/>
          <w:pgMar w:top="1134" w:right="850" w:bottom="1134" w:left="1701" w:header="708" w:footer="708" w:gutter="0"/>
          <w:cols w:num="1" w:sep="0" w:space="708" w:equalWidth="1"/>
          <w:docGrid w:linePitch="360"/>
        </w:sect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67"/>
        <w:outlineLvl w:val="1"/>
      </w:pPr>
      <w:r/>
      <w:bookmarkStart w:id="36" w:name="_Toc134630425"/>
      <w:r>
        <w:t xml:space="preserve">Приложение № 5</w:t>
      </w:r>
      <w:bookmarkEnd w:id="36"/>
      <w:r/>
      <w:r/>
    </w:p>
    <w:p>
      <w:pPr>
        <w:jc w:val="right"/>
        <w:spacing w:after="0" w:line="240" w:lineRule="auto"/>
        <w:rPr>
          <w:rFonts w:ascii="PT Astra Serif" w:hAnsi="PT Astra Serif" w:eastAsia="Calibri"/>
          <w:b/>
          <w:sz w:val="24"/>
          <w:szCs w:val="24"/>
        </w:rPr>
      </w:pPr>
      <w:r>
        <w:rPr>
          <w:rFonts w:ascii="PT Astra Serif" w:hAnsi="PT Astra Serif" w:eastAsia="Calibri"/>
          <w:b/>
          <w:sz w:val="24"/>
          <w:szCs w:val="24"/>
        </w:rPr>
      </w:r>
      <w:r>
        <w:rPr>
          <w:rFonts w:ascii="PT Astra Serif" w:hAnsi="PT Astra Serif" w:eastAsia="Calibri"/>
          <w:b/>
          <w:sz w:val="24"/>
          <w:szCs w:val="24"/>
        </w:rPr>
      </w:r>
      <w:r>
        <w:rPr>
          <w:rFonts w:ascii="PT Astra Serif" w:hAnsi="PT Astra Serif" w:eastAsia="Calibri"/>
          <w:b/>
          <w:sz w:val="24"/>
          <w:szCs w:val="24"/>
        </w:rPr>
      </w:r>
    </w:p>
    <w:p>
      <w:pPr>
        <w:jc w:val="center"/>
        <w:spacing w:after="0" w:line="240" w:lineRule="auto"/>
        <w:rPr>
          <w:rFonts w:ascii="PT Astra Serif" w:hAnsi="PT Astra Serif"/>
          <w:b/>
          <w:sz w:val="24"/>
          <w:szCs w:val="24"/>
        </w:rPr>
      </w:pPr>
      <w:r>
        <w:rPr>
          <w:rFonts w:ascii="PT Astra Serif" w:hAnsi="PT Astra Serif"/>
          <w:b/>
          <w:sz w:val="24"/>
          <w:szCs w:val="24"/>
        </w:rPr>
        <w:t xml:space="preserve">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contextualSpacing/>
        <w:ind w:firstLine="709"/>
        <w:jc w:val="both"/>
        <w:spacing w:after="0" w:line="240" w:lineRule="auto"/>
        <w:tabs>
          <w:tab w:val="left" w:pos="284" w:leader="none"/>
          <w:tab w:val="left" w:pos="851" w:leader="none"/>
        </w:tabs>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Национальный проект «Демография»</w:t>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contextualSpacing/>
        <w:ind w:firstLine="709"/>
        <w:jc w:val="both"/>
        <w:spacing w:after="0" w:line="240" w:lineRule="auto"/>
        <w:tabs>
          <w:tab w:val="left" w:pos="284" w:leader="none"/>
          <w:tab w:val="left" w:pos="851"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На достижение цели национального проекта в Томской области в 2023 году были направлены 5 региональных проектов. Фактический объем фин</w:t>
      </w:r>
      <w:r>
        <w:rPr>
          <w:rFonts w:ascii="PT Astra Serif" w:hAnsi="PT Astra Serif" w:eastAsia="Times New Roman"/>
          <w:sz w:val="24"/>
          <w:szCs w:val="24"/>
          <w:lang w:eastAsia="ru-RU"/>
        </w:rPr>
        <w:t xml:space="preserve">ансирования составил 602,0  млн</w:t>
      </w:r>
      <w:r>
        <w:rPr>
          <w:rFonts w:ascii="PT Astra Serif" w:hAnsi="PT Astra Serif" w:eastAsia="Times New Roman"/>
          <w:sz w:val="24"/>
          <w:szCs w:val="24"/>
          <w:lang w:eastAsia="ru-RU"/>
        </w:rPr>
        <w:t xml:space="preserve"> рублей.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contextualSpacing/>
        <w:ind w:firstLine="709"/>
        <w:jc w:val="both"/>
        <w:spacing w:after="0" w:line="240" w:lineRule="auto"/>
        <w:tabs>
          <w:tab w:val="left" w:pos="284" w:leader="none"/>
          <w:tab w:val="left" w:pos="851"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contextualSpacing/>
        <w:ind w:firstLine="709"/>
        <w:jc w:val="both"/>
        <w:spacing w:after="0" w:line="240" w:lineRule="auto"/>
        <w:tabs>
          <w:tab w:val="left" w:pos="0" w:leader="none"/>
          <w:tab w:val="left" w:pos="284" w:leader="none"/>
          <w:tab w:val="left" w:pos="851" w:leader="none"/>
        </w:tabs>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Итоги 2023 года:</w:t>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ind w:firstLine="709"/>
        <w:jc w:val="both"/>
        <w:spacing w:after="0" w:line="240" w:lineRule="auto"/>
        <w:tabs>
          <w:tab w:val="left" w:pos="0" w:leader="none"/>
        </w:tabs>
        <w:rPr>
          <w:rFonts w:ascii="PT Astra Serif" w:hAnsi="PT Astra Serif"/>
          <w:i/>
          <w:sz w:val="24"/>
          <w:szCs w:val="24"/>
        </w:rPr>
      </w:pPr>
      <w:r>
        <w:rPr>
          <w:rFonts w:ascii="PT Astra Serif" w:hAnsi="PT Astra Serif"/>
          <w:sz w:val="24"/>
          <w:szCs w:val="24"/>
        </w:rPr>
        <w:t xml:space="preserve">В рамках </w:t>
      </w:r>
      <w:r>
        <w:rPr>
          <w:rFonts w:ascii="PT Astra Serif" w:hAnsi="PT Astra Serif"/>
          <w:i/>
          <w:sz w:val="24"/>
          <w:szCs w:val="24"/>
        </w:rPr>
        <w:t xml:space="preserve">регионального проекта «Финансовая поддержка семей при рождении детей»:</w:t>
      </w:r>
      <w:r>
        <w:rPr>
          <w:rFonts w:ascii="PT Astra Serif" w:hAnsi="PT Astra Serif"/>
          <w:i/>
          <w:sz w:val="24"/>
          <w:szCs w:val="24"/>
        </w:rPr>
      </w:r>
      <w:r>
        <w:rPr>
          <w:rFonts w:ascii="PT Astra Serif" w:hAnsi="PT Astra Serif"/>
          <w:i/>
          <w:sz w:val="24"/>
          <w:szCs w:val="24"/>
        </w:rPr>
      </w:r>
    </w:p>
    <w:p>
      <w:pPr>
        <w:ind w:firstLine="709"/>
        <w:jc w:val="both"/>
        <w:spacing w:after="0" w:line="240" w:lineRule="auto"/>
        <w:tabs>
          <w:tab w:val="left" w:pos="0" w:leader="none"/>
        </w:tabs>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предоставлены меры социальной поддержки в связи с рождением детей 3 818  семьям на 4 054 детей, из них: </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tabs>
          <w:tab w:val="left" w:pos="0" w:leader="none"/>
          <w:tab w:val="left" w:pos="993" w:leader="none"/>
        </w:tabs>
        <w:rPr>
          <w:rFonts w:ascii="PT Astra Serif" w:hAnsi="PT Astra Serif" w:eastAsia="Calibri"/>
          <w:sz w:val="24"/>
          <w:szCs w:val="24"/>
        </w:rPr>
      </w:pPr>
      <w:r>
        <w:rPr>
          <w:rFonts w:ascii="PT Astra Serif" w:hAnsi="PT Astra Serif" w:eastAsia="Calibri"/>
          <w:sz w:val="24"/>
          <w:szCs w:val="24"/>
        </w:rPr>
        <w:t xml:space="preserve">1</w:t>
      </w:r>
      <w:r>
        <w:rPr>
          <w:rFonts w:ascii="PT Astra Serif" w:hAnsi="PT Astra Serif" w:eastAsia="Calibri"/>
          <w:sz w:val="24"/>
          <w:szCs w:val="24"/>
        </w:rPr>
        <w:t xml:space="preserve">) ежемесячная денежная выплата в связи с рождением третьего ребенка или последующих д</w:t>
      </w:r>
      <w:r>
        <w:rPr>
          <w:rFonts w:ascii="PT Astra Serif" w:hAnsi="PT Astra Serif" w:eastAsia="Calibri"/>
          <w:sz w:val="24"/>
          <w:szCs w:val="24"/>
        </w:rPr>
        <w:t xml:space="preserve">етей, рожденных до 01.01.2020</w:t>
      </w:r>
      <w:r>
        <w:rPr>
          <w:rFonts w:ascii="PT Astra Serif" w:hAnsi="PT Astra Serif" w:eastAsia="Calibri"/>
          <w:sz w:val="24"/>
          <w:szCs w:val="24"/>
        </w:rPr>
        <w:t xml:space="preserve">, предоставлена 4 семьям;</w:t>
      </w:r>
      <w:r>
        <w:rPr>
          <w:rFonts w:ascii="PT Astra Serif" w:hAnsi="PT Astra Serif" w:eastAsia="Calibri"/>
          <w:sz w:val="24"/>
          <w:szCs w:val="24"/>
        </w:rPr>
      </w:r>
      <w:r>
        <w:rPr>
          <w:rFonts w:ascii="PT Astra Serif" w:hAnsi="PT Astra Serif" w:eastAsia="Calibri"/>
          <w:sz w:val="24"/>
          <w:szCs w:val="24"/>
        </w:rPr>
      </w:r>
    </w:p>
    <w:p>
      <w:pPr>
        <w:contextualSpacing/>
        <w:ind w:firstLine="709"/>
        <w:jc w:val="both"/>
        <w:spacing w:after="0" w:line="240" w:lineRule="auto"/>
        <w:tabs>
          <w:tab w:val="left" w:pos="0" w:leader="none"/>
          <w:tab w:val="left" w:pos="993" w:leader="none"/>
        </w:tabs>
        <w:rPr>
          <w:rFonts w:ascii="PT Astra Serif" w:hAnsi="PT Astra Serif" w:eastAsia="Calibri"/>
          <w:sz w:val="24"/>
          <w:szCs w:val="24"/>
        </w:rPr>
      </w:pPr>
      <w:r>
        <w:rPr>
          <w:rFonts w:ascii="PT Astra Serif" w:hAnsi="PT Astra Serif" w:eastAsia="Calibri"/>
          <w:sz w:val="24"/>
          <w:szCs w:val="24"/>
        </w:rPr>
        <w:t xml:space="preserve">2</w:t>
      </w:r>
      <w:r>
        <w:rPr>
          <w:rFonts w:ascii="PT Astra Serif" w:hAnsi="PT Astra Serif" w:eastAsia="Calibri"/>
          <w:sz w:val="24"/>
          <w:szCs w:val="24"/>
        </w:rPr>
        <w:t xml:space="preserve">) ежемесячная денежная выплата в связи с рождением третьего ребенка или последующих детей, рожденных после 01.01.2</w:t>
      </w:r>
      <w:r>
        <w:rPr>
          <w:rFonts w:ascii="PT Astra Serif" w:hAnsi="PT Astra Serif" w:eastAsia="Calibri"/>
          <w:sz w:val="24"/>
          <w:szCs w:val="24"/>
        </w:rPr>
        <w:t xml:space="preserve">020, предоставлена 3 814 семьям;</w:t>
      </w:r>
      <w:r>
        <w:rPr>
          <w:rFonts w:ascii="PT Astra Serif" w:hAnsi="PT Astra Serif" w:eastAsia="Calibri"/>
          <w:sz w:val="24"/>
          <w:szCs w:val="24"/>
        </w:rPr>
      </w:r>
      <w:r>
        <w:rPr>
          <w:rFonts w:ascii="PT Astra Serif" w:hAnsi="PT Astra Serif" w:eastAsia="Calibri"/>
          <w:sz w:val="24"/>
          <w:szCs w:val="24"/>
        </w:rPr>
      </w:r>
    </w:p>
    <w:p>
      <w:pPr>
        <w:numPr>
          <w:ilvl w:val="0"/>
          <w:numId w:val="39"/>
        </w:numPr>
        <w:contextualSpacing/>
        <w:ind w:left="0" w:firstLine="709"/>
        <w:jc w:val="both"/>
        <w:spacing w:after="0" w:line="240" w:lineRule="auto"/>
        <w:tabs>
          <w:tab w:val="left" w:pos="0" w:leader="none"/>
          <w:tab w:val="left" w:pos="993" w:leader="none"/>
        </w:tabs>
        <w:rPr>
          <w:rFonts w:ascii="PT Astra Serif" w:hAnsi="PT Astra Serif" w:eastAsia="Calibri"/>
          <w:sz w:val="24"/>
          <w:szCs w:val="24"/>
        </w:rPr>
      </w:pPr>
      <w:r>
        <w:rPr>
          <w:rFonts w:ascii="PT Astra Serif" w:hAnsi="PT Astra Serif" w:eastAsia="Calibri"/>
          <w:sz w:val="24"/>
          <w:szCs w:val="24"/>
        </w:rPr>
        <w:t xml:space="preserve">1 235 семьям, страдающим бесплодием, выполнено экстракорпоральное оплодотворение.</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0" w:leader="none"/>
        </w:tabs>
        <w:rPr>
          <w:rFonts w:ascii="PT Astra Serif" w:hAnsi="PT Astra Serif"/>
          <w:sz w:val="24"/>
          <w:szCs w:val="24"/>
        </w:rPr>
      </w:pPr>
      <w:r>
        <w:rPr>
          <w:rFonts w:ascii="PT Astra Serif" w:hAnsi="PT Astra Serif"/>
          <w:sz w:val="24"/>
          <w:szCs w:val="24"/>
        </w:rPr>
        <w:t xml:space="preserve">В рамках </w:t>
      </w:r>
      <w:r>
        <w:rPr>
          <w:rFonts w:ascii="PT Astra Serif" w:hAnsi="PT Astra Serif"/>
          <w:i/>
          <w:sz w:val="24"/>
          <w:szCs w:val="24"/>
        </w:rPr>
        <w:t xml:space="preserve">регионального проекта «Старшее поколение»</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numPr>
          <w:ilvl w:val="0"/>
          <w:numId w:val="4"/>
        </w:numPr>
        <w:contextualSpacing/>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sz w:val="24"/>
          <w:szCs w:val="24"/>
        </w:rPr>
        <w:t xml:space="preserve">охвачено 46,64% граждан старше трудоспособного возраста профилактическими осмотрами, включая диспансеризацию (план </w:t>
      </w:r>
      <w:r>
        <w:rPr>
          <w:rFonts w:ascii="PT Astra Serif" w:hAnsi="PT Astra Serif" w:cstheme="minorBidi"/>
          <w:sz w:val="24"/>
          <w:szCs w:val="24"/>
        </w:rPr>
        <w:t xml:space="preserve">–</w:t>
      </w:r>
      <w:r>
        <w:rPr>
          <w:rFonts w:ascii="PT Astra Serif" w:hAnsi="PT Astra Serif"/>
          <w:sz w:val="24"/>
          <w:szCs w:val="24"/>
        </w:rPr>
        <w:t xml:space="preserve"> 65,3%);</w:t>
      </w:r>
      <w:r>
        <w:rPr>
          <w:rFonts w:ascii="PT Astra Serif" w:hAnsi="PT Astra Serif"/>
          <w:sz w:val="24"/>
          <w:szCs w:val="24"/>
        </w:rPr>
      </w:r>
      <w:r>
        <w:rPr>
          <w:rFonts w:ascii="PT Astra Serif" w:hAnsi="PT Astra Serif"/>
          <w:sz w:val="24"/>
          <w:szCs w:val="24"/>
        </w:rPr>
      </w:r>
    </w:p>
    <w:p>
      <w:pPr>
        <w:numPr>
          <w:ilvl w:val="0"/>
          <w:numId w:val="4"/>
        </w:numPr>
        <w:contextualSpacing/>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sz w:val="24"/>
          <w:szCs w:val="24"/>
        </w:rPr>
        <w:t xml:space="preserve">у 80,0% лиц старше трудоспособного возраста, находящихся под диспансерным наблюдением, выявлены заболевания и патологические состояния;</w:t>
      </w:r>
      <w:r>
        <w:rPr>
          <w:rFonts w:ascii="PT Astra Serif" w:hAnsi="PT Astra Serif"/>
          <w:sz w:val="24"/>
          <w:szCs w:val="24"/>
        </w:rPr>
      </w:r>
      <w:r>
        <w:rPr>
          <w:rFonts w:ascii="PT Astra Serif" w:hAnsi="PT Astra Serif"/>
          <w:sz w:val="24"/>
          <w:szCs w:val="24"/>
        </w:rPr>
      </w:r>
    </w:p>
    <w:p>
      <w:pPr>
        <w:numPr>
          <w:ilvl w:val="0"/>
          <w:numId w:val="4"/>
        </w:numPr>
        <w:contextualSpacing/>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sz w:val="24"/>
          <w:szCs w:val="24"/>
        </w:rPr>
        <w:t xml:space="preserve">45,3 усл. единицы составил уровень госпитализации на геронтологические койки лиц старше 60 лет на 10 тыс. населения соответствующего возраста (план </w:t>
      </w:r>
      <w:r>
        <w:rPr>
          <w:rFonts w:ascii="PT Astra Serif" w:hAnsi="PT Astra Serif" w:cstheme="minorBidi"/>
          <w:sz w:val="24"/>
          <w:szCs w:val="24"/>
        </w:rPr>
        <w:t xml:space="preserve">–</w:t>
      </w:r>
      <w:r>
        <w:rPr>
          <w:rFonts w:ascii="PT Astra Serif" w:hAnsi="PT Astra Serif"/>
          <w:sz w:val="24"/>
          <w:szCs w:val="24"/>
        </w:rPr>
        <w:t xml:space="preserve"> 51,3 усл. единицы);</w:t>
      </w:r>
      <w:r>
        <w:rPr>
          <w:rFonts w:ascii="PT Astra Serif" w:hAnsi="PT Astra Serif"/>
          <w:bCs/>
          <w:sz w:val="24"/>
          <w:szCs w:val="24"/>
        </w:rPr>
        <w:t xml:space="preserve"> </w:t>
      </w:r>
      <w:r>
        <w:rPr>
          <w:rFonts w:ascii="PT Astra Serif" w:hAnsi="PT Astra Serif"/>
          <w:sz w:val="24"/>
          <w:szCs w:val="24"/>
        </w:rPr>
      </w:r>
      <w:r>
        <w:rPr>
          <w:rFonts w:ascii="PT Astra Serif" w:hAnsi="PT Astra Serif"/>
          <w:sz w:val="24"/>
          <w:szCs w:val="24"/>
        </w:rPr>
      </w:r>
    </w:p>
    <w:p>
      <w:pPr>
        <w:numPr>
          <w:ilvl w:val="0"/>
          <w:numId w:val="4"/>
        </w:numPr>
        <w:contextualSpacing/>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bCs/>
          <w:sz w:val="24"/>
          <w:szCs w:val="24"/>
        </w:rPr>
        <w:t xml:space="preserve">108 человек из группы риска</w:t>
      </w:r>
      <w:r>
        <w:rPr>
          <w:rFonts w:ascii="PT Astra Serif" w:hAnsi="PT Astra Serif"/>
          <w:sz w:val="24"/>
          <w:szCs w:val="24"/>
        </w:rPr>
        <w:t xml:space="preserve">, проживающих в организациях социального обслуживания Томской области вакцинировано против пневмококковой инфекции (план </w:t>
      </w:r>
      <w:r>
        <w:rPr>
          <w:rFonts w:ascii="PT Astra Serif" w:hAnsi="PT Astra Serif" w:eastAsia="Times New Roman"/>
          <w:sz w:val="20"/>
          <w:szCs w:val="20"/>
          <w:lang w:eastAsia="ru-RU"/>
        </w:rPr>
        <w:t xml:space="preserve">–</w:t>
      </w:r>
      <w:r>
        <w:rPr>
          <w:rFonts w:ascii="PT Astra Serif" w:hAnsi="PT Astra Serif"/>
          <w:sz w:val="24"/>
          <w:szCs w:val="24"/>
        </w:rPr>
        <w:t xml:space="preserve"> 108 человек);</w:t>
      </w:r>
      <w:r>
        <w:rPr>
          <w:rFonts w:ascii="PT Astra Serif" w:hAnsi="PT Astra Serif"/>
          <w:sz w:val="24"/>
          <w:szCs w:val="24"/>
        </w:rPr>
      </w:r>
      <w:r>
        <w:rPr>
          <w:rFonts w:ascii="PT Astra Serif" w:hAnsi="PT Astra Serif"/>
          <w:sz w:val="24"/>
          <w:szCs w:val="24"/>
        </w:rPr>
      </w:r>
    </w:p>
    <w:p>
      <w:pPr>
        <w:numPr>
          <w:ilvl w:val="0"/>
          <w:numId w:val="4"/>
        </w:numPr>
        <w:contextualSpacing/>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sz w:val="24"/>
          <w:szCs w:val="24"/>
        </w:rPr>
        <w:t xml:space="preserve">обучено 234 помощника по уходу. 250 граждан старше трудоспособного возраста и инвалидов получили услуги в рамках системы долговременного ухода (план </w:t>
      </w:r>
      <w:r>
        <w:rPr>
          <w:rFonts w:ascii="PT Astra Serif" w:hAnsi="PT Astra Serif" w:cstheme="minorBidi"/>
          <w:sz w:val="24"/>
          <w:szCs w:val="24"/>
        </w:rPr>
        <w:t xml:space="preserve">–</w:t>
      </w:r>
      <w:r>
        <w:rPr>
          <w:rFonts w:ascii="PT Astra Serif" w:hAnsi="PT Astra Serif"/>
          <w:sz w:val="24"/>
          <w:szCs w:val="24"/>
        </w:rPr>
        <w:t xml:space="preserve">250 человек).</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tabs>
          <w:tab w:val="left" w:pos="284" w:leader="none"/>
          <w:tab w:val="left" w:pos="851" w:leader="none"/>
        </w:tabs>
        <w:rPr>
          <w:rFonts w:ascii="PT Astra Serif" w:hAnsi="PT Astra Serif" w:eastAsia="Times New Roman"/>
          <w:i/>
          <w:sz w:val="24"/>
          <w:szCs w:val="24"/>
          <w:lang w:eastAsia="ru-RU"/>
        </w:rPr>
      </w:pPr>
      <w:r>
        <w:rPr>
          <w:rFonts w:ascii="PT Astra Serif" w:hAnsi="PT Astra Serif" w:eastAsia="Times New Roman"/>
          <w:sz w:val="24"/>
          <w:szCs w:val="24"/>
          <w:lang w:eastAsia="ru-RU"/>
        </w:rPr>
        <w:t xml:space="preserve">В рамках</w:t>
      </w:r>
      <w:r>
        <w:rPr>
          <w:rFonts w:ascii="PT Astra Serif" w:hAnsi="PT Astra Serif" w:eastAsia="Times New Roman"/>
          <w:i/>
          <w:sz w:val="24"/>
          <w:szCs w:val="24"/>
          <w:lang w:eastAsia="ru-RU"/>
        </w:rPr>
        <w:t xml:space="preserve"> регионального проекта «Содействие занятости»:</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pStyle w:val="1152"/>
        <w:numPr>
          <w:ilvl w:val="0"/>
          <w:numId w:val="35"/>
        </w:numPr>
        <w:ind w:left="0" w:firstLine="709"/>
        <w:jc w:val="both"/>
        <w:spacing w:after="0" w:line="240" w:lineRule="auto"/>
        <w:tabs>
          <w:tab w:val="left" w:pos="284" w:leader="none"/>
          <w:tab w:val="left" w:pos="993" w:leader="none"/>
        </w:tabs>
        <w:rPr>
          <w:rFonts w:ascii="PT Astra Serif" w:hAnsi="PT Astra Serif"/>
          <w:sz w:val="24"/>
          <w:szCs w:val="24"/>
        </w:rPr>
      </w:pPr>
      <w:r>
        <w:rPr>
          <w:rFonts w:ascii="PT Astra Serif" w:hAnsi="PT Astra Serif"/>
          <w:sz w:val="24"/>
          <w:szCs w:val="24"/>
        </w:rPr>
        <w:t xml:space="preserve">387 человек трудоустроено на общественные работы из числа граждан, зарегистрированных в органах службы занятости (план – 371 человек);</w:t>
      </w:r>
      <w:r>
        <w:rPr>
          <w:rFonts w:ascii="PT Astra Serif" w:hAnsi="PT Astra Serif"/>
          <w:sz w:val="24"/>
          <w:szCs w:val="24"/>
        </w:rPr>
      </w:r>
      <w:r>
        <w:rPr>
          <w:rFonts w:ascii="PT Astra Serif" w:hAnsi="PT Astra Serif"/>
          <w:sz w:val="24"/>
          <w:szCs w:val="24"/>
        </w:rPr>
      </w:r>
    </w:p>
    <w:p>
      <w:pPr>
        <w:pStyle w:val="1152"/>
        <w:numPr>
          <w:ilvl w:val="0"/>
          <w:numId w:val="35"/>
        </w:numPr>
        <w:ind w:left="0" w:firstLine="709"/>
        <w:jc w:val="both"/>
        <w:spacing w:after="0" w:line="240" w:lineRule="auto"/>
        <w:tabs>
          <w:tab w:val="left" w:pos="284" w:leader="none"/>
          <w:tab w:val="left" w:pos="993" w:leader="none"/>
        </w:tabs>
        <w:rPr>
          <w:rFonts w:ascii="PT Astra Serif" w:hAnsi="PT Astra Serif"/>
          <w:sz w:val="24"/>
          <w:szCs w:val="24"/>
        </w:rPr>
      </w:pPr>
      <w:r>
        <w:rPr>
          <w:rFonts w:ascii="PT Astra Serif" w:hAnsi="PT Astra Serif"/>
          <w:sz w:val="24"/>
          <w:szCs w:val="24"/>
        </w:rPr>
        <w:t xml:space="preserve">24 человека приняли участие в мероприятии по организации временного трудоустройства граждан из числа работников, находящихся под риском увольнения (план – 24 человек</w:t>
      </w:r>
      <w:r>
        <w:rPr>
          <w:rFonts w:ascii="PT Astra Serif" w:hAnsi="PT Astra Serif"/>
          <w:sz w:val="24"/>
          <w:szCs w:val="24"/>
        </w:rPr>
        <w:t xml:space="preserve">а</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pStyle w:val="1152"/>
        <w:numPr>
          <w:ilvl w:val="0"/>
          <w:numId w:val="35"/>
        </w:numPr>
        <w:ind w:left="0" w:firstLine="709"/>
        <w:jc w:val="both"/>
        <w:spacing w:after="0" w:line="240" w:lineRule="auto"/>
        <w:tabs>
          <w:tab w:val="left" w:pos="284" w:leader="none"/>
          <w:tab w:val="left" w:pos="993" w:leader="none"/>
        </w:tabs>
        <w:rPr>
          <w:rFonts w:ascii="PT Astra Serif" w:hAnsi="PT Astra Serif"/>
          <w:sz w:val="24"/>
          <w:szCs w:val="24"/>
        </w:rPr>
      </w:pPr>
      <w:r>
        <w:rPr>
          <w:rFonts w:ascii="PT Astra Serif" w:hAnsi="PT Astra Serif"/>
          <w:sz w:val="24"/>
          <w:szCs w:val="24"/>
        </w:rPr>
        <w:t xml:space="preserve">профессиональное обучение прошли 113 работников предприятий оборонно-промышленного комплекса (план – 80 человек), из них численность занятых – 109 человек.</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tabs>
          <w:tab w:val="left" w:pos="0" w:leader="none"/>
          <w:tab w:val="left" w:pos="993" w:leader="none"/>
        </w:tabs>
        <w:rPr>
          <w:rFonts w:ascii="PT Astra Serif" w:hAnsi="PT Astra Serif"/>
          <w:i/>
          <w:sz w:val="24"/>
          <w:szCs w:val="24"/>
        </w:rPr>
      </w:pPr>
      <w:r>
        <w:rPr>
          <w:rFonts w:ascii="PT Astra Serif" w:hAnsi="PT Astra Serif"/>
          <w:sz w:val="24"/>
          <w:szCs w:val="24"/>
        </w:rPr>
        <w:t xml:space="preserve">В рамках</w:t>
      </w:r>
      <w:r>
        <w:rPr>
          <w:rFonts w:ascii="PT Astra Serif" w:hAnsi="PT Astra Serif"/>
          <w:i/>
          <w:sz w:val="24"/>
          <w:szCs w:val="24"/>
        </w:rPr>
        <w:t xml:space="preserve"> регионального проекта «Спорт</w:t>
      </w:r>
      <w:r>
        <w:rPr>
          <w:rFonts w:ascii="PT Astra Serif" w:hAnsi="PT Astra Serif"/>
          <w:i/>
          <w:sz w:val="24"/>
          <w:szCs w:val="24"/>
        </w:rPr>
        <w:t xml:space="preserve"> </w:t>
      </w:r>
      <w:r>
        <w:rPr>
          <w:rFonts w:ascii="PT Astra Serif" w:hAnsi="PT Astra Serif" w:cstheme="minorBidi"/>
          <w:sz w:val="24"/>
          <w:szCs w:val="24"/>
        </w:rPr>
        <w:t xml:space="preserve">– </w:t>
      </w:r>
      <w:r>
        <w:rPr>
          <w:rFonts w:ascii="PT Astra Serif" w:hAnsi="PT Astra Serif"/>
          <w:i/>
          <w:sz w:val="24"/>
          <w:szCs w:val="24"/>
        </w:rPr>
        <w:t xml:space="preserve">норма жизни»:</w:t>
      </w:r>
      <w:r>
        <w:rPr>
          <w:rFonts w:ascii="PT Astra Serif" w:hAnsi="PT Astra Serif"/>
          <w:i/>
          <w:sz w:val="24"/>
          <w:szCs w:val="24"/>
        </w:rPr>
      </w:r>
      <w:r>
        <w:rPr>
          <w:rFonts w:ascii="PT Astra Serif" w:hAnsi="PT Astra Serif"/>
          <w:i/>
          <w:sz w:val="24"/>
          <w:szCs w:val="24"/>
        </w:rPr>
      </w:r>
    </w:p>
    <w:p>
      <w:pPr>
        <w:pStyle w:val="1152"/>
        <w:numPr>
          <w:ilvl w:val="0"/>
          <w:numId w:val="38"/>
        </w:numPr>
        <w:ind w:left="0" w:firstLine="709"/>
        <w:jc w:val="both"/>
        <w:spacing w:after="0" w:line="240" w:lineRule="auto"/>
        <w:tabs>
          <w:tab w:val="left" w:pos="0" w:leader="none"/>
          <w:tab w:val="left" w:pos="709" w:leader="none"/>
          <w:tab w:val="left" w:pos="993" w:leader="none"/>
        </w:tabs>
        <w:rPr>
          <w:rFonts w:ascii="PT Astra Serif" w:hAnsi="PT Astra Serif"/>
          <w:sz w:val="24"/>
          <w:szCs w:val="24"/>
        </w:rPr>
      </w:pPr>
      <w:r>
        <w:rPr>
          <w:rFonts w:ascii="PT Astra Serif" w:hAnsi="PT Astra Serif"/>
          <w:sz w:val="24"/>
          <w:szCs w:val="24"/>
        </w:rPr>
        <w:t xml:space="preserve">20 муниципал</w:t>
      </w:r>
      <w:r>
        <w:rPr>
          <w:rFonts w:ascii="PT Astra Serif" w:hAnsi="PT Astra Serif"/>
          <w:sz w:val="24"/>
          <w:szCs w:val="24"/>
        </w:rPr>
        <w:t xml:space="preserve">ьных образований региона обеспечены условиями для развития физической культуры и массового спорта в части оплаты труда инструкторов по спорту и приобретения спортивного инвентаря и оборудования для физкультурно-оздоровительной и спортивно-массовой работы; </w:t>
      </w:r>
      <w:r>
        <w:rPr>
          <w:rFonts w:ascii="PT Astra Serif" w:hAnsi="PT Astra Serif"/>
          <w:sz w:val="24"/>
          <w:szCs w:val="24"/>
        </w:rPr>
      </w:r>
      <w:r>
        <w:rPr>
          <w:rFonts w:ascii="PT Astra Serif" w:hAnsi="PT Astra Serif"/>
          <w:sz w:val="24"/>
          <w:szCs w:val="24"/>
        </w:rPr>
      </w:r>
    </w:p>
    <w:p>
      <w:pPr>
        <w:pStyle w:val="1152"/>
        <w:numPr>
          <w:ilvl w:val="0"/>
          <w:numId w:val="38"/>
        </w:numPr>
        <w:ind w:left="0" w:firstLine="709"/>
        <w:jc w:val="both"/>
        <w:spacing w:after="0" w:line="240" w:lineRule="auto"/>
        <w:tabs>
          <w:tab w:val="left" w:pos="0" w:leader="none"/>
          <w:tab w:val="left" w:pos="709" w:leader="none"/>
          <w:tab w:val="left" w:pos="993" w:leader="none"/>
        </w:tabs>
        <w:rPr>
          <w:rFonts w:ascii="PT Astra Serif" w:hAnsi="PT Astra Serif"/>
          <w:sz w:val="24"/>
          <w:szCs w:val="24"/>
        </w:rPr>
      </w:pPr>
      <w:r>
        <w:rPr>
          <w:rFonts w:ascii="PT Astra Serif" w:hAnsi="PT Astra Serif"/>
          <w:sz w:val="24"/>
          <w:szCs w:val="24"/>
        </w:rPr>
        <w:t xml:space="preserve">установлены 3 спортивные площадки, на которых возможно проведение тестирования по выполнению населением нормативов испытаний (тестов) комплекса ГТО в Александровском, Тегульдетском районах и г. Кедровый (план - 3 шт.); </w:t>
      </w:r>
      <w:r>
        <w:rPr>
          <w:rFonts w:ascii="PT Astra Serif" w:hAnsi="PT Astra Serif"/>
          <w:sz w:val="24"/>
          <w:szCs w:val="24"/>
        </w:rPr>
      </w:r>
      <w:r>
        <w:rPr>
          <w:rFonts w:ascii="PT Astra Serif" w:hAnsi="PT Astra Serif"/>
          <w:sz w:val="24"/>
          <w:szCs w:val="24"/>
        </w:rPr>
      </w:r>
    </w:p>
    <w:p>
      <w:pPr>
        <w:pStyle w:val="1152"/>
        <w:numPr>
          <w:ilvl w:val="0"/>
          <w:numId w:val="38"/>
        </w:numPr>
        <w:ind w:left="0" w:firstLine="709"/>
        <w:jc w:val="both"/>
        <w:spacing w:after="0" w:line="240" w:lineRule="auto"/>
        <w:tabs>
          <w:tab w:val="left" w:pos="0" w:leader="none"/>
          <w:tab w:val="left" w:pos="709" w:leader="none"/>
          <w:tab w:val="left" w:pos="993" w:leader="none"/>
        </w:tabs>
        <w:rPr>
          <w:rFonts w:ascii="PT Astra Serif" w:hAnsi="PT Astra Serif"/>
          <w:sz w:val="24"/>
          <w:szCs w:val="24"/>
        </w:rPr>
      </w:pPr>
      <w:r>
        <w:rPr>
          <w:rFonts w:ascii="PT Astra Serif" w:hAnsi="PT Astra Serif"/>
          <w:sz w:val="24"/>
          <w:szCs w:val="24"/>
        </w:rPr>
        <w:t xml:space="preserve">поставлено оборудование и инвентарь в количестве 358 единиц для спортивных школ г. Томска, ЗАТО Северск, г.о. Стрежевой; </w:t>
      </w:r>
      <w:r>
        <w:rPr>
          <w:rFonts w:ascii="PT Astra Serif" w:hAnsi="PT Astra Serif"/>
          <w:sz w:val="24"/>
          <w:szCs w:val="24"/>
        </w:rPr>
      </w:r>
      <w:r>
        <w:rPr>
          <w:rFonts w:ascii="PT Astra Serif" w:hAnsi="PT Astra Serif"/>
          <w:sz w:val="24"/>
          <w:szCs w:val="24"/>
        </w:rPr>
      </w:r>
    </w:p>
    <w:p>
      <w:pPr>
        <w:pStyle w:val="1152"/>
        <w:numPr>
          <w:ilvl w:val="0"/>
          <w:numId w:val="38"/>
        </w:numPr>
        <w:ind w:left="0" w:firstLine="709"/>
        <w:jc w:val="both"/>
        <w:spacing w:after="0" w:line="240" w:lineRule="auto"/>
        <w:tabs>
          <w:tab w:val="left" w:pos="0" w:leader="none"/>
          <w:tab w:val="left" w:pos="709" w:leader="none"/>
          <w:tab w:val="left" w:pos="993" w:leader="none"/>
        </w:tabs>
        <w:rPr>
          <w:rFonts w:ascii="PT Astra Serif" w:hAnsi="PT Astra Serif"/>
          <w:sz w:val="24"/>
          <w:szCs w:val="24"/>
        </w:rPr>
      </w:pPr>
      <w:r>
        <w:rPr>
          <w:rFonts w:ascii="PT Astra Serif" w:hAnsi="PT Astra Serif"/>
          <w:sz w:val="24"/>
          <w:szCs w:val="24"/>
        </w:rPr>
        <w:t xml:space="preserve">поставлено и установлено оборудование для 30 малобюджетных спортивных площадок в 18 муниципальных </w:t>
      </w:r>
      <w:r>
        <w:rPr>
          <w:rFonts w:ascii="PT Astra Serif" w:hAnsi="PT Astra Serif"/>
          <w:sz w:val="24"/>
          <w:szCs w:val="24"/>
        </w:rPr>
        <w:t xml:space="preserve">образованиях</w:t>
      </w:r>
      <w:r>
        <w:rPr>
          <w:rFonts w:ascii="PT Astra Serif" w:hAnsi="PT Astra Serif"/>
          <w:sz w:val="24"/>
          <w:szCs w:val="24"/>
        </w:rPr>
        <w:t xml:space="preserve">; </w:t>
      </w:r>
      <w:r>
        <w:rPr>
          <w:rFonts w:ascii="PT Astra Serif" w:hAnsi="PT Astra Serif"/>
          <w:sz w:val="24"/>
          <w:szCs w:val="24"/>
        </w:rPr>
      </w:r>
      <w:r>
        <w:rPr>
          <w:rFonts w:ascii="PT Astra Serif" w:hAnsi="PT Astra Serif"/>
          <w:sz w:val="24"/>
          <w:szCs w:val="24"/>
        </w:rPr>
      </w:r>
    </w:p>
    <w:p>
      <w:pPr>
        <w:pStyle w:val="1152"/>
        <w:numPr>
          <w:ilvl w:val="0"/>
          <w:numId w:val="38"/>
        </w:numPr>
        <w:ind w:left="0" w:firstLine="709"/>
        <w:jc w:val="both"/>
        <w:spacing w:after="0" w:line="240" w:lineRule="auto"/>
        <w:tabs>
          <w:tab w:val="left" w:pos="0" w:leader="none"/>
          <w:tab w:val="left" w:pos="709" w:leader="none"/>
          <w:tab w:val="left" w:pos="993" w:leader="none"/>
        </w:tabs>
        <w:rPr>
          <w:rFonts w:ascii="PT Astra Serif" w:hAnsi="PT Astra Serif"/>
          <w:sz w:val="24"/>
          <w:szCs w:val="24"/>
        </w:rPr>
      </w:pPr>
      <w:r>
        <w:rPr>
          <w:rFonts w:ascii="PT Astra Serif" w:hAnsi="PT Astra Serif"/>
          <w:sz w:val="24"/>
          <w:szCs w:val="24"/>
        </w:rPr>
        <w:t xml:space="preserve">введен в эксплуатацию ф</w:t>
      </w:r>
      <w:r>
        <w:rPr>
          <w:rFonts w:ascii="PT Astra Serif" w:hAnsi="PT Astra Serif"/>
          <w:sz w:val="24"/>
          <w:szCs w:val="24"/>
        </w:rPr>
        <w:t xml:space="preserve">изкультурно-спортивный комплекс</w:t>
      </w:r>
      <w:r>
        <w:rPr>
          <w:rFonts w:ascii="PT Astra Serif" w:hAnsi="PT Astra Serif"/>
          <w:sz w:val="24"/>
          <w:szCs w:val="24"/>
        </w:rPr>
        <w:t xml:space="preserve"> в с. Молчаново Молчановского района;</w:t>
      </w:r>
      <w:r>
        <w:rPr>
          <w:rFonts w:ascii="PT Astra Serif" w:hAnsi="PT Astra Serif"/>
          <w:sz w:val="24"/>
          <w:szCs w:val="24"/>
        </w:rPr>
      </w:r>
      <w:r>
        <w:rPr>
          <w:rFonts w:ascii="PT Astra Serif" w:hAnsi="PT Astra Serif"/>
          <w:sz w:val="24"/>
          <w:szCs w:val="24"/>
        </w:rPr>
      </w:r>
    </w:p>
    <w:p>
      <w:pPr>
        <w:pStyle w:val="1152"/>
        <w:numPr>
          <w:ilvl w:val="0"/>
          <w:numId w:val="38"/>
        </w:numPr>
        <w:ind w:left="0" w:firstLine="709"/>
        <w:jc w:val="both"/>
        <w:spacing w:after="0" w:line="240" w:lineRule="auto"/>
        <w:tabs>
          <w:tab w:val="left" w:pos="0" w:leader="none"/>
          <w:tab w:val="left" w:pos="709" w:leader="none"/>
          <w:tab w:val="left" w:pos="993" w:leader="none"/>
        </w:tabs>
        <w:rPr>
          <w:rFonts w:ascii="PT Astra Serif" w:hAnsi="PT Astra Serif"/>
          <w:sz w:val="24"/>
          <w:szCs w:val="24"/>
        </w:rPr>
      </w:pPr>
      <w:r>
        <w:rPr>
          <w:rFonts w:ascii="PT Astra Serif" w:hAnsi="PT Astra Serif"/>
          <w:sz w:val="24"/>
          <w:szCs w:val="24"/>
        </w:rPr>
        <w:t xml:space="preserve">доля граждан</w:t>
      </w:r>
      <w:r>
        <w:rPr>
          <w:rFonts w:ascii="PT Astra Serif" w:hAnsi="PT Astra Serif"/>
          <w:sz w:val="24"/>
          <w:szCs w:val="24"/>
        </w:rPr>
        <w:t xml:space="preserve">,</w:t>
      </w:r>
      <w:r>
        <w:rPr>
          <w:rFonts w:ascii="PT Astra Serif" w:hAnsi="PT Astra Serif"/>
          <w:sz w:val="24"/>
          <w:szCs w:val="24"/>
        </w:rPr>
        <w:t xml:space="preserve"> систематически занимающихся физической культурой и спортом</w:t>
      </w:r>
      <w:r>
        <w:rPr>
          <w:rFonts w:ascii="PT Astra Serif" w:hAnsi="PT Astra Serif"/>
          <w:sz w:val="24"/>
          <w:szCs w:val="24"/>
        </w:rPr>
        <w:t xml:space="preserve">,</w:t>
      </w:r>
      <w:r>
        <w:rPr>
          <w:rFonts w:ascii="PT Astra Serif" w:hAnsi="PT Astra Serif"/>
          <w:sz w:val="24"/>
          <w:szCs w:val="24"/>
        </w:rPr>
        <w:t xml:space="preserve"> составила 54,7% (план — 51,7%).</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В рамках </w:t>
      </w:r>
      <w:r>
        <w:rPr>
          <w:rFonts w:ascii="PT Astra Serif" w:hAnsi="PT Astra Serif"/>
          <w:i/>
          <w:sz w:val="24"/>
          <w:szCs w:val="24"/>
        </w:rPr>
        <w:t xml:space="preserve">регионального проекта «Формирование системы мотивации граждан к здоровому образу жизни, включая здоровое питание и отказ от вредных привычек»</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pStyle w:val="1152"/>
        <w:numPr>
          <w:ilvl w:val="0"/>
          <w:numId w:val="36"/>
        </w:numPr>
        <w:ind w:left="0" w:firstLine="709"/>
        <w:jc w:val="both"/>
        <w:spacing w:after="0" w:line="240" w:lineRule="auto"/>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проводились информационно-коммуникационные кампании, осуществлялось размещение социальной рекламы в местах общего пользования, проводились мероприятия, приуроченные к дням Всемирной организации здравоохранения. </w:t>
      </w:r>
      <w:r>
        <w:rPr>
          <w:rFonts w:ascii="PT Astra Serif" w:hAnsi="PT Astra Serif"/>
          <w:sz w:val="24"/>
          <w:szCs w:val="24"/>
          <w:lang w:eastAsia="ru-RU"/>
        </w:rPr>
      </w:r>
      <w:r>
        <w:rPr>
          <w:rFonts w:ascii="PT Astra Serif" w:hAnsi="PT Astra Serif"/>
          <w:sz w:val="24"/>
          <w:szCs w:val="24"/>
          <w:lang w:eastAsia="ru-RU"/>
        </w:rPr>
      </w:r>
    </w:p>
    <w:p>
      <w:pPr>
        <w:pStyle w:val="1152"/>
        <w:ind w:left="709"/>
        <w:jc w:val="both"/>
        <w:spacing w:after="0" w:line="240" w:lineRule="auto"/>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целях снижения темпов прироста первичной заболеваемости ожирением:</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36"/>
        </w:numPr>
        <w:ind w:left="0" w:firstLine="709"/>
        <w:jc w:val="both"/>
        <w:spacing w:after="0" w:line="240" w:lineRule="auto"/>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инициирован межведомственный проект «Здоровая Сибирь», в каникулярное время на базе центра «Кванториум» проведен комплекс мероприятий «Квантум здоровья»;</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36"/>
        </w:numPr>
        <w:ind w:left="0" w:firstLine="709"/>
        <w:jc w:val="both"/>
        <w:spacing w:after="0" w:line="240" w:lineRule="auto"/>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на базе СибГМУ создана открытая интерактивная платформа «Превенториум», направленная на профилактику хронических неинфекционных заболеваний</w:t>
      </w:r>
      <w:r>
        <w:rPr>
          <w:rFonts w:ascii="PT Astra Serif" w:hAnsi="PT Astra Serif"/>
          <w:sz w:val="24"/>
          <w:szCs w:val="24"/>
          <w:lang w:eastAsia="ru-RU"/>
        </w:rPr>
        <w:t xml:space="preserve">,</w:t>
      </w:r>
      <w:r>
        <w:rPr>
          <w:rFonts w:ascii="PT Astra Serif" w:hAnsi="PT Astra Serif"/>
          <w:sz w:val="24"/>
          <w:szCs w:val="24"/>
          <w:lang w:eastAsia="ru-RU"/>
        </w:rPr>
        <w:t xml:space="preserve"> с рубриками «Врачи против мифов», «Здоровье без фанатизма» и т.д.;</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36"/>
        </w:numPr>
        <w:ind w:left="0" w:firstLine="709"/>
        <w:jc w:val="both"/>
        <w:spacing w:after="0" w:line="240" w:lineRule="auto"/>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экспертами-диетологами в рамках программы «Приоритет 2030» разработан и размещен на платформах «Степик» и «Лекториум» электронный образовательный онлайн</w:t>
      </w:r>
      <w:r>
        <w:rPr>
          <w:rFonts w:ascii="PT Astra Serif" w:hAnsi="PT Astra Serif" w:cstheme="minorBidi"/>
          <w:sz w:val="24"/>
          <w:szCs w:val="24"/>
        </w:rPr>
        <w:t xml:space="preserve">–</w:t>
      </w:r>
      <w:r>
        <w:rPr>
          <w:rFonts w:ascii="PT Astra Serif" w:hAnsi="PT Astra Serif"/>
          <w:sz w:val="24"/>
          <w:szCs w:val="24"/>
          <w:lang w:eastAsia="ru-RU"/>
        </w:rPr>
        <w:t xml:space="preserve">курс «Здоровая семья – путеводитель по питанию».</w:t>
      </w:r>
      <w:r>
        <w:rPr>
          <w:rFonts w:ascii="PT Astra Serif" w:hAnsi="PT Astra Serif"/>
          <w:sz w:val="24"/>
          <w:szCs w:val="24"/>
          <w:lang w:eastAsia="ru-RU"/>
        </w:rPr>
      </w:r>
      <w:r>
        <w:rPr>
          <w:rFonts w:ascii="PT Astra Serif" w:hAnsi="PT Astra Serif"/>
          <w:sz w:val="24"/>
          <w:szCs w:val="24"/>
          <w:lang w:eastAsia="ru-RU"/>
        </w:rPr>
      </w:r>
    </w:p>
    <w:p>
      <w:pPr>
        <w:contextualSpacing/>
        <w:ind w:firstLine="709"/>
        <w:jc w:val="both"/>
        <w:spacing w:after="0" w:line="240" w:lineRule="auto"/>
        <w:tabs>
          <w:tab w:val="left" w:pos="0" w:leader="none"/>
          <w:tab w:val="left" w:pos="851" w:leader="none"/>
        </w:tabs>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Перспективные задачи на 2024 год:</w:t>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ind w:firstLine="709"/>
        <w:jc w:val="both"/>
        <w:spacing w:after="0" w:line="240" w:lineRule="auto"/>
        <w:tabs>
          <w:tab w:val="left" w:pos="0" w:leader="none"/>
          <w:tab w:val="left" w:pos="284" w:leader="none"/>
        </w:tabs>
        <w:rPr>
          <w:rFonts w:ascii="PT Astra Serif" w:hAnsi="PT Astra Serif"/>
          <w:i/>
          <w:sz w:val="24"/>
          <w:szCs w:val="24"/>
        </w:rPr>
      </w:pPr>
      <w:r>
        <w:rPr>
          <w:rFonts w:ascii="PT Astra Serif" w:hAnsi="PT Astra Serif"/>
          <w:i/>
          <w:sz w:val="24"/>
          <w:szCs w:val="24"/>
        </w:rPr>
        <w:t xml:space="preserve">Региональный проект «Финансовая поддержка семей при рождении детей»</w:t>
      </w:r>
      <w:r>
        <w:rPr>
          <w:rFonts w:ascii="PT Astra Serif" w:hAnsi="PT Astra Serif"/>
          <w:sz w:val="24"/>
          <w:szCs w:val="24"/>
        </w:rPr>
        <w:t xml:space="preserve">:</w:t>
      </w:r>
      <w:r>
        <w:rPr>
          <w:rFonts w:ascii="PT Astra Serif" w:hAnsi="PT Astra Serif"/>
          <w:i/>
          <w:sz w:val="24"/>
          <w:szCs w:val="24"/>
        </w:rPr>
      </w:r>
      <w:r>
        <w:rPr>
          <w:rFonts w:ascii="PT Astra Serif" w:hAnsi="PT Astra Serif"/>
          <w:i/>
          <w:sz w:val="24"/>
          <w:szCs w:val="24"/>
        </w:rPr>
      </w:r>
    </w:p>
    <w:p>
      <w:pPr>
        <w:numPr>
          <w:ilvl w:val="0"/>
          <w:numId w:val="5"/>
        </w:numPr>
        <w:contextualSpacing/>
        <w:ind w:left="0" w:firstLine="709"/>
        <w:jc w:val="both"/>
        <w:spacing w:after="0" w:line="240" w:lineRule="auto"/>
        <w:tabs>
          <w:tab w:val="left" w:pos="0" w:leader="none"/>
          <w:tab w:val="left" w:pos="284" w:leader="none"/>
          <w:tab w:val="left" w:pos="851" w:leader="none"/>
          <w:tab w:val="left" w:pos="993" w:leader="none"/>
          <w:tab w:val="left" w:pos="1276" w:leader="none"/>
        </w:tabs>
        <w:rPr>
          <w:rFonts w:ascii="PT Astra Serif" w:hAnsi="PT Astra Serif" w:eastAsia="Calibri"/>
          <w:sz w:val="24"/>
          <w:szCs w:val="24"/>
        </w:rPr>
      </w:pPr>
      <w:r>
        <w:rPr>
          <w:rFonts w:ascii="PT Astra Serif" w:hAnsi="PT Astra Serif" w:eastAsia="Calibri"/>
          <w:bCs/>
          <w:sz w:val="24"/>
          <w:szCs w:val="24"/>
        </w:rPr>
        <w:t xml:space="preserve">Проведение процедуры </w:t>
      </w:r>
      <w:r>
        <w:rPr>
          <w:rFonts w:ascii="PT Astra Serif" w:hAnsi="PT Astra Serif" w:eastAsia="Calibri"/>
          <w:sz w:val="24"/>
          <w:szCs w:val="24"/>
        </w:rPr>
        <w:t xml:space="preserve">экстракорпорального оплодотворения</w:t>
      </w:r>
      <w:r>
        <w:rPr>
          <w:rFonts w:ascii="PT Astra Serif" w:hAnsi="PT Astra Serif" w:eastAsia="Calibri"/>
          <w:bCs/>
          <w:sz w:val="24"/>
          <w:szCs w:val="24"/>
        </w:rPr>
        <w:t xml:space="preserve"> 790</w:t>
      </w:r>
      <w:r>
        <w:rPr>
          <w:rFonts w:ascii="PT Astra Serif" w:hAnsi="PT Astra Serif" w:eastAsia="Calibri"/>
          <w:sz w:val="24"/>
          <w:szCs w:val="24"/>
        </w:rPr>
        <w:t xml:space="preserve"> семьям</w:t>
      </w:r>
      <w:r>
        <w:rPr>
          <w:rFonts w:ascii="PT Astra Serif" w:hAnsi="PT Astra Serif" w:eastAsia="Calibri"/>
          <w:bCs/>
          <w:sz w:val="24"/>
          <w:szCs w:val="24"/>
        </w:rPr>
        <w:t xml:space="preserve">, </w:t>
      </w:r>
      <w:r>
        <w:rPr>
          <w:rFonts w:ascii="PT Astra Serif" w:hAnsi="PT Astra Serif" w:eastAsia="Calibri"/>
          <w:sz w:val="24"/>
          <w:szCs w:val="24"/>
        </w:rPr>
        <w:t xml:space="preserve">страдающим бесплодием.</w:t>
      </w:r>
      <w:r>
        <w:rPr>
          <w:rFonts w:ascii="PT Astra Serif" w:hAnsi="PT Astra Serif" w:eastAsia="Calibri"/>
          <w:sz w:val="24"/>
          <w:szCs w:val="24"/>
        </w:rPr>
      </w:r>
      <w:r>
        <w:rPr>
          <w:rFonts w:ascii="PT Astra Serif" w:hAnsi="PT Astra Serif" w:eastAsia="Calibri"/>
          <w:sz w:val="24"/>
          <w:szCs w:val="24"/>
        </w:rPr>
      </w:r>
    </w:p>
    <w:p>
      <w:pPr>
        <w:numPr>
          <w:ilvl w:val="0"/>
          <w:numId w:val="5"/>
        </w:numPr>
        <w:contextualSpacing/>
        <w:ind w:left="0" w:firstLine="709"/>
        <w:jc w:val="both"/>
        <w:spacing w:after="0" w:line="240" w:lineRule="auto"/>
        <w:tabs>
          <w:tab w:val="left" w:pos="0" w:leader="none"/>
          <w:tab w:val="left" w:pos="284" w:leader="none"/>
          <w:tab w:val="left" w:pos="851" w:leader="none"/>
          <w:tab w:val="left" w:pos="993" w:leader="none"/>
          <w:tab w:val="left" w:pos="1276" w:leader="none"/>
        </w:tabs>
        <w:rPr>
          <w:rFonts w:ascii="PT Astra Serif" w:hAnsi="PT Astra Serif" w:eastAsia="Calibri"/>
          <w:sz w:val="24"/>
          <w:szCs w:val="24"/>
        </w:rPr>
      </w:pPr>
      <w:r>
        <w:rPr>
          <w:rFonts w:ascii="PT Astra Serif" w:hAnsi="PT Astra Serif" w:eastAsia="Calibri"/>
          <w:sz w:val="24"/>
          <w:szCs w:val="24"/>
        </w:rPr>
        <w:t xml:space="preserve">Предоставление 975</w:t>
      </w:r>
      <w:r>
        <w:rPr>
          <w:rFonts w:ascii="PT Astra Serif" w:hAnsi="PT Astra Serif" w:eastAsia="Calibri"/>
          <w:sz w:val="24"/>
          <w:szCs w:val="24"/>
        </w:rPr>
        <w:t xml:space="preserve"> семьям ежемесячной денежной выплаты в случае рождения третьего ребенка и последующих детей до достижения ребенком возраста трех лет</w:t>
      </w:r>
      <w:r>
        <w:rPr>
          <w:rFonts w:ascii="PT Astra Serif" w:hAnsi="PT Astra Serif" w:eastAsia="Calibri"/>
          <w:sz w:val="24"/>
          <w:szCs w:val="24"/>
        </w:rPr>
        <w:t xml:space="preserve">.</w:t>
      </w:r>
      <w:r>
        <w:rPr>
          <w:rFonts w:ascii="PT Astra Serif" w:hAnsi="PT Astra Serif" w:eastAsia="Calibri"/>
          <w:sz w:val="24"/>
          <w:szCs w:val="24"/>
        </w:rPr>
      </w:r>
      <w:r>
        <w:rPr>
          <w:rFonts w:ascii="PT Astra Serif" w:hAnsi="PT Astra Serif" w:eastAsia="Calibri"/>
          <w:sz w:val="24"/>
          <w:szCs w:val="24"/>
        </w:rPr>
      </w:r>
    </w:p>
    <w:p>
      <w:pPr>
        <w:contextualSpacing/>
        <w:ind w:firstLine="709"/>
        <w:jc w:val="both"/>
        <w:spacing w:after="0" w:line="240" w:lineRule="auto"/>
        <w:tabs>
          <w:tab w:val="left" w:pos="0" w:leader="none"/>
          <w:tab w:val="left" w:pos="284" w:leader="none"/>
        </w:tabs>
        <w:rPr>
          <w:rFonts w:ascii="PT Astra Serif" w:hAnsi="PT Astra Serif" w:eastAsia="Calibri"/>
          <w:i/>
          <w:sz w:val="24"/>
          <w:szCs w:val="24"/>
        </w:rPr>
      </w:pPr>
      <w:r>
        <w:rPr>
          <w:rFonts w:ascii="PT Astra Serif" w:hAnsi="PT Astra Serif" w:eastAsia="Calibri"/>
          <w:i/>
          <w:sz w:val="24"/>
          <w:szCs w:val="24"/>
        </w:rPr>
        <w:t xml:space="preserve">Региональный проект «Старшее поколение»:</w:t>
      </w:r>
      <w:r>
        <w:rPr>
          <w:rFonts w:ascii="PT Astra Serif" w:hAnsi="PT Astra Serif" w:eastAsia="Calibri"/>
          <w:i/>
          <w:sz w:val="24"/>
          <w:szCs w:val="24"/>
        </w:rPr>
      </w:r>
      <w:r>
        <w:rPr>
          <w:rFonts w:ascii="PT Astra Serif" w:hAnsi="PT Astra Serif" w:eastAsia="Calibri"/>
          <w:i/>
          <w:sz w:val="24"/>
          <w:szCs w:val="24"/>
        </w:rPr>
      </w:r>
    </w:p>
    <w:p>
      <w:pPr>
        <w:numPr>
          <w:ilvl w:val="3"/>
          <w:numId w:val="6"/>
        </w:numPr>
        <w:contextualSpacing/>
        <w:ind w:left="0" w:firstLine="709"/>
        <w:jc w:val="both"/>
        <w:spacing w:after="0" w:line="240" w:lineRule="auto"/>
        <w:tabs>
          <w:tab w:val="left" w:pos="0" w:leader="none"/>
          <w:tab w:val="left" w:pos="284" w:leader="none"/>
          <w:tab w:val="left" w:pos="851" w:leader="none"/>
          <w:tab w:val="left" w:pos="993" w:leader="none"/>
        </w:tabs>
        <w:rPr>
          <w:rFonts w:ascii="PT Astra Serif" w:hAnsi="PT Astra Serif" w:eastAsia="Calibri"/>
          <w:sz w:val="24"/>
          <w:szCs w:val="24"/>
        </w:rPr>
      </w:pPr>
      <w:r>
        <w:rPr>
          <w:rFonts w:ascii="PT Astra Serif" w:hAnsi="PT Astra Serif" w:eastAsia="Calibri"/>
          <w:sz w:val="24"/>
          <w:szCs w:val="24"/>
        </w:rPr>
        <w:t xml:space="preserve">Проведение вакцинации против пневмококковой инфекции лиц старше трудоспособного возраста в Томской области из групп риска, проживающих</w:t>
      </w:r>
      <w:r>
        <w:rPr>
          <w:rFonts w:ascii="PT Astra Serif" w:hAnsi="PT Astra Serif" w:eastAsia="Calibri"/>
          <w:sz w:val="24"/>
          <w:szCs w:val="24"/>
        </w:rPr>
        <w:br/>
        <w:t xml:space="preserve">в организациях социально</w:t>
      </w:r>
      <w:r>
        <w:rPr>
          <w:rFonts w:ascii="PT Astra Serif" w:hAnsi="PT Astra Serif" w:eastAsia="Calibri"/>
          <w:sz w:val="24"/>
          <w:szCs w:val="24"/>
        </w:rPr>
        <w:t xml:space="preserve">го обслуживания (план – 102 человек</w:t>
      </w:r>
      <w:r>
        <w:rPr>
          <w:rFonts w:ascii="PT Astra Serif" w:hAnsi="PT Astra Serif" w:eastAsia="Calibri"/>
          <w:sz w:val="24"/>
          <w:szCs w:val="24"/>
        </w:rPr>
        <w:t xml:space="preserve">а</w:t>
      </w:r>
      <w:r>
        <w:rPr>
          <w:rFonts w:ascii="PT Astra Serif" w:hAnsi="PT Astra Serif" w:eastAsia="Calibri"/>
          <w:sz w:val="24"/>
          <w:szCs w:val="24"/>
        </w:rPr>
        <w:t xml:space="preserve">).</w:t>
      </w:r>
      <w:r>
        <w:rPr>
          <w:rFonts w:ascii="PT Astra Serif" w:hAnsi="PT Astra Serif" w:eastAsia="Calibri"/>
          <w:sz w:val="24"/>
          <w:szCs w:val="24"/>
        </w:rPr>
      </w:r>
      <w:r>
        <w:rPr>
          <w:rFonts w:ascii="PT Astra Serif" w:hAnsi="PT Astra Serif" w:eastAsia="Calibri"/>
          <w:sz w:val="24"/>
          <w:szCs w:val="24"/>
        </w:rPr>
      </w:r>
    </w:p>
    <w:p>
      <w:pPr>
        <w:pStyle w:val="1152"/>
        <w:numPr>
          <w:ilvl w:val="0"/>
          <w:numId w:val="6"/>
        </w:numPr>
        <w:ind w:left="0" w:firstLine="709"/>
        <w:jc w:val="both"/>
        <w:spacing w:after="0" w:line="240" w:lineRule="auto"/>
        <w:tabs>
          <w:tab w:val="left" w:pos="0" w:leader="none"/>
          <w:tab w:val="left" w:pos="851" w:leader="none"/>
          <w:tab w:val="left" w:pos="993" w:leader="none"/>
        </w:tabs>
        <w:rPr>
          <w:rFonts w:ascii="PT Astra Serif" w:hAnsi="PT Astra Serif"/>
          <w:bCs/>
          <w:sz w:val="24"/>
          <w:szCs w:val="24"/>
        </w:rPr>
      </w:pPr>
      <w:r>
        <w:rPr>
          <w:rFonts w:ascii="PT Astra Serif" w:hAnsi="PT Astra Serif"/>
          <w:bCs/>
          <w:sz w:val="24"/>
          <w:szCs w:val="24"/>
        </w:rPr>
        <w:t xml:space="preserve">Численность граждан старше трудоспособного возраста и инвалидов, получающих услуги в рамках системы долговременного ухода</w:t>
      </w:r>
      <w:r>
        <w:rPr>
          <w:rFonts w:ascii="PT Astra Serif" w:hAnsi="PT Astra Serif"/>
          <w:bCs/>
          <w:sz w:val="24"/>
          <w:szCs w:val="24"/>
        </w:rPr>
        <w:t xml:space="preserve">,</w:t>
      </w:r>
      <w:r>
        <w:rPr>
          <w:rFonts w:ascii="PT Astra Serif" w:hAnsi="PT Astra Serif"/>
          <w:bCs/>
          <w:sz w:val="24"/>
          <w:szCs w:val="24"/>
        </w:rPr>
        <w:t xml:space="preserve"> </w:t>
      </w:r>
      <w:r>
        <w:rPr>
          <w:rFonts w:ascii="PT Astra Serif" w:hAnsi="PT Astra Serif" w:cstheme="minorBidi"/>
          <w:sz w:val="24"/>
          <w:szCs w:val="24"/>
        </w:rPr>
        <w:t xml:space="preserve">–</w:t>
      </w:r>
      <w:r>
        <w:rPr>
          <w:rFonts w:ascii="PT Astra Serif" w:hAnsi="PT Astra Serif"/>
          <w:bCs/>
          <w:sz w:val="24"/>
          <w:szCs w:val="24"/>
        </w:rPr>
        <w:t xml:space="preserve"> 250 человек</w:t>
      </w:r>
      <w:r>
        <w:rPr>
          <w:rFonts w:ascii="PT Astra Serif" w:hAnsi="PT Astra Serif"/>
          <w:bCs/>
          <w:sz w:val="24"/>
          <w:szCs w:val="24"/>
        </w:rPr>
        <w:t xml:space="preserve"> (план на 2024</w:t>
      </w:r>
      <w:r>
        <w:rPr>
          <w:rFonts w:ascii="PT Astra Serif" w:hAnsi="PT Astra Serif"/>
          <w:bCs/>
          <w:sz w:val="24"/>
          <w:szCs w:val="24"/>
        </w:rPr>
        <w:t xml:space="preserve"> </w:t>
      </w:r>
      <w:r>
        <w:rPr>
          <w:rFonts w:ascii="PT Astra Serif" w:hAnsi="PT Astra Serif"/>
          <w:bCs/>
          <w:sz w:val="24"/>
          <w:szCs w:val="24"/>
        </w:rPr>
        <w:t xml:space="preserve">год </w:t>
      </w:r>
      <w:r>
        <w:rPr>
          <w:rFonts w:ascii="PT Astra Serif" w:hAnsi="PT Astra Serif" w:cstheme="minorBidi"/>
          <w:sz w:val="24"/>
          <w:szCs w:val="24"/>
        </w:rPr>
        <w:t xml:space="preserve">–</w:t>
      </w:r>
      <w:r>
        <w:rPr>
          <w:rFonts w:ascii="PT Astra Serif" w:hAnsi="PT Astra Serif"/>
          <w:bCs/>
          <w:sz w:val="24"/>
          <w:szCs w:val="24"/>
        </w:rPr>
        <w:t xml:space="preserve"> 250 человек</w:t>
      </w:r>
      <w:r>
        <w:rPr>
          <w:rFonts w:ascii="PT Astra Serif" w:hAnsi="PT Astra Serif"/>
          <w:bCs/>
          <w:sz w:val="24"/>
          <w:szCs w:val="24"/>
        </w:rPr>
        <w:t xml:space="preserve">).</w:t>
      </w:r>
      <w:r>
        <w:rPr>
          <w:rFonts w:ascii="PT Astra Serif" w:hAnsi="PT Astra Serif"/>
          <w:bCs/>
          <w:sz w:val="24"/>
          <w:szCs w:val="24"/>
        </w:rPr>
      </w:r>
      <w:r>
        <w:rPr>
          <w:rFonts w:ascii="PT Astra Serif" w:hAnsi="PT Astra Serif"/>
          <w:bCs/>
          <w:sz w:val="24"/>
          <w:szCs w:val="24"/>
        </w:rPr>
      </w:r>
    </w:p>
    <w:p>
      <w:pPr>
        <w:pStyle w:val="1152"/>
        <w:ind w:left="0" w:firstLine="709"/>
        <w:jc w:val="both"/>
        <w:spacing w:after="0" w:line="240" w:lineRule="auto"/>
        <w:tabs>
          <w:tab w:val="left" w:pos="0" w:leader="none"/>
          <w:tab w:val="left" w:pos="851" w:leader="none"/>
        </w:tabs>
        <w:rPr>
          <w:rFonts w:ascii="PT Astra Serif" w:hAnsi="PT Astra Serif"/>
          <w:bCs/>
          <w:i/>
          <w:sz w:val="24"/>
          <w:szCs w:val="24"/>
        </w:rPr>
      </w:pPr>
      <w:r>
        <w:rPr>
          <w:rFonts w:ascii="PT Astra Serif" w:hAnsi="PT Astra Serif"/>
          <w:bCs/>
          <w:i/>
          <w:sz w:val="24"/>
          <w:szCs w:val="24"/>
        </w:rPr>
        <w:t xml:space="preserve">Региональный проект «Содействие занятости»:</w:t>
      </w:r>
      <w:r>
        <w:rPr>
          <w:rFonts w:ascii="PT Astra Serif" w:hAnsi="PT Astra Serif"/>
          <w:bCs/>
          <w:i/>
          <w:sz w:val="24"/>
          <w:szCs w:val="24"/>
        </w:rPr>
      </w:r>
      <w:r>
        <w:rPr>
          <w:rFonts w:ascii="PT Astra Serif" w:hAnsi="PT Astra Serif"/>
          <w:bCs/>
          <w:i/>
          <w:sz w:val="24"/>
          <w:szCs w:val="24"/>
        </w:rPr>
      </w:r>
    </w:p>
    <w:p>
      <w:pPr>
        <w:pStyle w:val="1152"/>
        <w:numPr>
          <w:ilvl w:val="3"/>
          <w:numId w:val="6"/>
        </w:numPr>
        <w:ind w:left="0" w:firstLine="709"/>
        <w:jc w:val="both"/>
        <w:spacing w:after="0" w:line="240" w:lineRule="auto"/>
        <w:tabs>
          <w:tab w:val="left" w:pos="851" w:leader="none"/>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150 человек планируется вовлечь для организации профессионального обучения и дополнительного профессионального образования работников п</w:t>
      </w:r>
      <w:r>
        <w:rPr>
          <w:rFonts w:ascii="PT Astra Serif" w:hAnsi="PT Astra Serif" w:eastAsia="Times New Roman"/>
          <w:sz w:val="24"/>
          <w:szCs w:val="24"/>
          <w:lang w:eastAsia="ru-RU"/>
        </w:rPr>
        <w:t xml:space="preserve">редприятий (организаций)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предприятиями (организациями) оборонно-промышленного комплекса.</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ind w:left="709"/>
        <w:jc w:val="both"/>
        <w:spacing w:after="0" w:line="240" w:lineRule="auto"/>
        <w:tabs>
          <w:tab w:val="left" w:pos="851" w:leader="none"/>
          <w:tab w:val="left" w:pos="993" w:leader="none"/>
        </w:tabs>
        <w:rPr>
          <w:rFonts w:ascii="PT Astra Serif" w:hAnsi="PT Astra Serif" w:eastAsia="Times New Roman"/>
          <w:sz w:val="24"/>
          <w:szCs w:val="24"/>
          <w:lang w:eastAsia="ru-RU"/>
        </w:rPr>
      </w:pPr>
      <w:r>
        <w:rPr>
          <w:rFonts w:ascii="PT Astra Serif" w:hAnsi="PT Astra Serif"/>
          <w:bCs/>
          <w:i/>
          <w:sz w:val="24"/>
          <w:szCs w:val="24"/>
        </w:rPr>
        <w:t xml:space="preserve">Региональный проект «Спорт</w:t>
      </w:r>
      <w:r>
        <w:rPr>
          <w:rFonts w:ascii="PT Astra Serif" w:hAnsi="PT Astra Serif"/>
          <w:bCs/>
          <w:i/>
          <w:sz w:val="24"/>
          <w:szCs w:val="24"/>
        </w:rPr>
        <w:t xml:space="preserve"> </w:t>
      </w:r>
      <w:r>
        <w:rPr>
          <w:rFonts w:ascii="PT Astra Serif" w:hAnsi="PT Astra Serif" w:cstheme="minorBidi"/>
          <w:sz w:val="24"/>
          <w:szCs w:val="24"/>
        </w:rPr>
        <w:t xml:space="preserve">– </w:t>
      </w:r>
      <w:r>
        <w:rPr>
          <w:rFonts w:ascii="PT Astra Serif" w:hAnsi="PT Astra Serif"/>
          <w:bCs/>
          <w:i/>
          <w:sz w:val="24"/>
          <w:szCs w:val="24"/>
        </w:rPr>
        <w:t xml:space="preserve">норма жизни»: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ind w:left="0" w:firstLine="709"/>
        <w:jc w:val="both"/>
        <w:spacing w:after="0" w:line="240" w:lineRule="auto"/>
        <w:tabs>
          <w:tab w:val="left" w:pos="0" w:leader="none"/>
          <w:tab w:val="left" w:pos="851" w:leader="none"/>
          <w:tab w:val="left" w:pos="993" w:leader="none"/>
        </w:tabs>
        <w:rPr>
          <w:rFonts w:ascii="PT Astra Serif" w:hAnsi="PT Astra Serif"/>
          <w:bCs/>
          <w:sz w:val="24"/>
          <w:szCs w:val="24"/>
        </w:rPr>
      </w:pPr>
      <w:r>
        <w:rPr>
          <w:rFonts w:ascii="PT Astra Serif" w:hAnsi="PT Astra Serif"/>
          <w:bCs/>
          <w:sz w:val="24"/>
          <w:szCs w:val="24"/>
        </w:rPr>
        <w:t xml:space="preserve">1.</w:t>
      </w:r>
      <w:r>
        <w:rPr>
          <w:rFonts w:ascii="PT Astra Serif" w:hAnsi="PT Astra Serif"/>
          <w:bCs/>
          <w:sz w:val="24"/>
          <w:szCs w:val="24"/>
        </w:rPr>
        <w:tab/>
        <w:t xml:space="preserve">Приобретение оборудования для 30 малобюджетных спортивных площадок в 18 муниципальных образованиях. </w:t>
      </w:r>
      <w:r>
        <w:rPr>
          <w:rFonts w:ascii="PT Astra Serif" w:hAnsi="PT Astra Serif"/>
          <w:bCs/>
          <w:sz w:val="24"/>
          <w:szCs w:val="24"/>
        </w:rPr>
      </w:r>
      <w:r>
        <w:rPr>
          <w:rFonts w:ascii="PT Astra Serif" w:hAnsi="PT Astra Serif"/>
          <w:bCs/>
          <w:sz w:val="24"/>
          <w:szCs w:val="24"/>
        </w:rPr>
      </w:r>
    </w:p>
    <w:p>
      <w:pPr>
        <w:pStyle w:val="1152"/>
        <w:ind w:left="0" w:firstLine="709"/>
        <w:jc w:val="both"/>
        <w:spacing w:after="0" w:line="240" w:lineRule="auto"/>
        <w:tabs>
          <w:tab w:val="left" w:pos="0" w:leader="none"/>
          <w:tab w:val="left" w:pos="851" w:leader="none"/>
          <w:tab w:val="left" w:pos="993" w:leader="none"/>
        </w:tabs>
        <w:rPr>
          <w:rFonts w:ascii="PT Astra Serif" w:hAnsi="PT Astra Serif"/>
          <w:bCs/>
          <w:sz w:val="24"/>
          <w:szCs w:val="24"/>
        </w:rPr>
      </w:pPr>
      <w:r>
        <w:rPr>
          <w:rFonts w:ascii="PT Astra Serif" w:hAnsi="PT Astra Serif"/>
          <w:bCs/>
          <w:sz w:val="24"/>
          <w:szCs w:val="24"/>
        </w:rPr>
        <w:t xml:space="preserve">2.</w:t>
      </w:r>
      <w:r>
        <w:rPr>
          <w:rFonts w:ascii="PT Astra Serif" w:hAnsi="PT Astra Serif"/>
          <w:bCs/>
          <w:sz w:val="24"/>
          <w:szCs w:val="24"/>
        </w:rPr>
        <w:tab/>
        <w:t xml:space="preserve">Приобретение спортивного оборудования и инвентаря для приведения организаций спортивной подготовки в нормативное состояние. </w:t>
      </w:r>
      <w:r>
        <w:rPr>
          <w:rFonts w:ascii="PT Astra Serif" w:hAnsi="PT Astra Serif"/>
          <w:bCs/>
          <w:sz w:val="24"/>
          <w:szCs w:val="24"/>
        </w:rPr>
      </w:r>
      <w:r>
        <w:rPr>
          <w:rFonts w:ascii="PT Astra Serif" w:hAnsi="PT Astra Serif"/>
          <w:bCs/>
          <w:sz w:val="24"/>
          <w:szCs w:val="24"/>
        </w:rPr>
      </w:r>
    </w:p>
    <w:p>
      <w:pPr>
        <w:pStyle w:val="1152"/>
        <w:ind w:left="0" w:firstLine="709"/>
        <w:jc w:val="both"/>
        <w:spacing w:after="0" w:line="240" w:lineRule="auto"/>
        <w:tabs>
          <w:tab w:val="left" w:pos="0" w:leader="none"/>
          <w:tab w:val="left" w:pos="851" w:leader="none"/>
          <w:tab w:val="left" w:pos="993" w:leader="none"/>
        </w:tabs>
        <w:rPr>
          <w:rFonts w:ascii="PT Astra Serif" w:hAnsi="PT Astra Serif"/>
          <w:bCs/>
          <w:sz w:val="24"/>
          <w:szCs w:val="24"/>
        </w:rPr>
      </w:pPr>
      <w:r>
        <w:rPr>
          <w:rFonts w:ascii="PT Astra Serif" w:hAnsi="PT Astra Serif"/>
          <w:bCs/>
          <w:sz w:val="24"/>
          <w:szCs w:val="24"/>
        </w:rPr>
        <w:t xml:space="preserve">3.</w:t>
      </w:r>
      <w:r>
        <w:rPr>
          <w:rFonts w:ascii="PT Astra Serif" w:hAnsi="PT Astra Serif"/>
          <w:bCs/>
          <w:sz w:val="24"/>
          <w:szCs w:val="24"/>
        </w:rPr>
        <w:tab/>
        <w:t xml:space="preserve">Реализация спортивной подготовки по базовым олимпийским, паралимпийским и сурдлимпийским видам спорта, повышение квалификации и переподготовка специалистов, поддержка одаренных спортсменов, проезд спортсменов и тренеров до мест проведения спартакиад. </w:t>
      </w:r>
      <w:r>
        <w:rPr>
          <w:rFonts w:ascii="PT Astra Serif" w:hAnsi="PT Astra Serif"/>
          <w:bCs/>
          <w:sz w:val="24"/>
          <w:szCs w:val="24"/>
        </w:rPr>
      </w:r>
      <w:r>
        <w:rPr>
          <w:rFonts w:ascii="PT Astra Serif" w:hAnsi="PT Astra Serif"/>
          <w:bCs/>
          <w:sz w:val="24"/>
          <w:szCs w:val="24"/>
        </w:rPr>
      </w:r>
    </w:p>
    <w:p>
      <w:pPr>
        <w:pStyle w:val="1152"/>
        <w:ind w:left="0" w:firstLine="709"/>
        <w:jc w:val="both"/>
        <w:spacing w:after="0" w:line="240" w:lineRule="auto"/>
        <w:tabs>
          <w:tab w:val="left" w:pos="0" w:leader="none"/>
          <w:tab w:val="left" w:pos="851" w:leader="none"/>
          <w:tab w:val="left" w:pos="993" w:leader="none"/>
        </w:tabs>
        <w:rPr>
          <w:rFonts w:ascii="PT Astra Serif" w:hAnsi="PT Astra Serif"/>
          <w:bCs/>
          <w:sz w:val="24"/>
          <w:szCs w:val="24"/>
        </w:rPr>
      </w:pPr>
      <w:r>
        <w:rPr>
          <w:rFonts w:ascii="PT Astra Serif" w:hAnsi="PT Astra Serif"/>
          <w:bCs/>
          <w:sz w:val="24"/>
          <w:szCs w:val="24"/>
        </w:rPr>
        <w:t xml:space="preserve">4.</w:t>
      </w:r>
      <w:r>
        <w:rPr>
          <w:rFonts w:ascii="PT Astra Serif" w:hAnsi="PT Astra Serif"/>
          <w:bCs/>
          <w:sz w:val="24"/>
          <w:szCs w:val="24"/>
        </w:rPr>
        <w:tab/>
        <w:t xml:space="preserve">Предоставление субсидии для 4 МО (г. Томск, ЗАТО Северск, г. Стрежевой</w:t>
      </w:r>
      <w:r>
        <w:rPr>
          <w:rFonts w:ascii="PT Astra Serif" w:hAnsi="PT Astra Serif"/>
          <w:bCs/>
          <w:sz w:val="24"/>
          <w:szCs w:val="24"/>
        </w:rPr>
        <w:t xml:space="preserve">, Верхнекетский район</w:t>
      </w:r>
      <w:r>
        <w:rPr>
          <w:rFonts w:ascii="PT Astra Serif" w:hAnsi="PT Astra Serif"/>
          <w:bCs/>
          <w:sz w:val="24"/>
          <w:szCs w:val="24"/>
        </w:rPr>
        <w:t xml:space="preserve">) для 24 ДЮСШ на осуществление спортивной подготовки.</w:t>
      </w:r>
      <w:r>
        <w:rPr>
          <w:rFonts w:ascii="PT Astra Serif" w:hAnsi="PT Astra Serif"/>
          <w:bCs/>
          <w:sz w:val="24"/>
          <w:szCs w:val="24"/>
        </w:rPr>
      </w:r>
      <w:r>
        <w:rPr>
          <w:rFonts w:ascii="PT Astra Serif" w:hAnsi="PT Astra Serif"/>
          <w:bCs/>
          <w:sz w:val="24"/>
          <w:szCs w:val="24"/>
        </w:rPr>
      </w:r>
    </w:p>
    <w:p>
      <w:pPr>
        <w:ind w:firstLine="709"/>
        <w:jc w:val="both"/>
        <w:spacing w:after="0" w:line="240" w:lineRule="auto"/>
        <w:tabs>
          <w:tab w:val="left" w:pos="284" w:leader="none"/>
          <w:tab w:val="left" w:pos="851" w:leader="none"/>
          <w:tab w:val="left" w:pos="1418" w:leader="none"/>
        </w:tabs>
        <w:rPr>
          <w:rFonts w:ascii="PT Astra Serif" w:hAnsi="PT Astra Serif" w:eastAsia="Times New Roman"/>
          <w:i/>
          <w:sz w:val="24"/>
          <w:szCs w:val="24"/>
          <w:lang w:eastAsia="ru-RU"/>
        </w:rPr>
      </w:pPr>
      <w:r>
        <w:rPr>
          <w:rFonts w:ascii="PT Astra Serif" w:hAnsi="PT Astra Serif" w:eastAsia="Times New Roman"/>
          <w:i/>
          <w:sz w:val="24"/>
          <w:szCs w:val="24"/>
          <w:lang w:eastAsia="ru-RU"/>
        </w:rPr>
        <w:t xml:space="preserve">Региональный проект «</w:t>
      </w:r>
      <w:r>
        <w:rPr>
          <w:rFonts w:ascii="PT Astra Serif" w:hAnsi="PT Astra Serif"/>
          <w:i/>
          <w:sz w:val="24"/>
          <w:szCs w:val="24"/>
        </w:rPr>
        <w:t xml:space="preserve">Формирование системы мотивации граждан к здоровому образу жизни, включая здоровое питание и отказ от вредных привычек</w:t>
      </w:r>
      <w:r>
        <w:rPr>
          <w:rFonts w:ascii="PT Astra Serif" w:hAnsi="PT Astra Serif" w:eastAsia="Times New Roman"/>
          <w:i/>
          <w:sz w:val="24"/>
          <w:szCs w:val="24"/>
          <w:lang w:eastAsia="ru-RU"/>
        </w:rPr>
        <w:t xml:space="preserve">»:</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numPr>
          <w:ilvl w:val="0"/>
          <w:numId w:val="37"/>
        </w:numPr>
        <w:contextualSpacing/>
        <w:ind w:left="0" w:firstLine="709"/>
        <w:jc w:val="both"/>
        <w:spacing w:after="0" w:line="240" w:lineRule="auto"/>
        <w:tabs>
          <w:tab w:val="left" w:pos="284" w:leader="none"/>
          <w:tab w:val="left" w:pos="851" w:leader="none"/>
          <w:tab w:val="left" w:pos="993" w:leader="none"/>
          <w:tab w:val="left" w:pos="1134" w:leader="none"/>
        </w:tabs>
        <w:rPr>
          <w:rFonts w:ascii="PT Astra Serif" w:hAnsi="PT Astra Serif"/>
          <w:sz w:val="24"/>
          <w:szCs w:val="24"/>
        </w:rPr>
      </w:pPr>
      <w:r>
        <w:rPr>
          <w:rFonts w:ascii="PT Astra Serif" w:hAnsi="PT Astra Serif" w:eastAsia="Calibri"/>
          <w:sz w:val="24"/>
          <w:szCs w:val="24"/>
        </w:rPr>
        <w:t xml:space="preserve">Продолжение реализации мероприятий по формированию приверженности здоровому образу жизни жителей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0" w:leader="none"/>
          <w:tab w:val="left" w:pos="851" w:leader="none"/>
        </w:tabs>
        <w:rPr>
          <w:rFonts w:ascii="PT Astra Serif" w:hAnsi="PT Astra Serif"/>
          <w:bCs/>
          <w:sz w:val="24"/>
          <w:szCs w:val="24"/>
        </w:rPr>
      </w:pPr>
      <w:r>
        <w:rPr>
          <w:rFonts w:ascii="PT Astra Serif" w:hAnsi="PT Astra Serif"/>
          <w:bCs/>
          <w:sz w:val="24"/>
          <w:szCs w:val="24"/>
        </w:rPr>
      </w:r>
      <w:r>
        <w:rPr>
          <w:rFonts w:ascii="PT Astra Serif" w:hAnsi="PT Astra Serif"/>
          <w:bCs/>
          <w:sz w:val="24"/>
          <w:szCs w:val="24"/>
        </w:rPr>
      </w:r>
      <w:r>
        <w:rPr>
          <w:rFonts w:ascii="PT Astra Serif" w:hAnsi="PT Astra Serif"/>
          <w:bCs/>
          <w:sz w:val="24"/>
          <w:szCs w:val="24"/>
        </w:rPr>
      </w:r>
    </w:p>
    <w:p>
      <w:pPr>
        <w:ind w:firstLine="709"/>
        <w:spacing w:after="0" w:line="240" w:lineRule="auto"/>
        <w:rPr>
          <w:rFonts w:ascii="PT Astra Serif" w:hAnsi="PT Astra Serif"/>
          <w:b/>
          <w:sz w:val="24"/>
          <w:szCs w:val="24"/>
        </w:rPr>
      </w:pPr>
      <w:r>
        <w:rPr>
          <w:rFonts w:ascii="PT Astra Serif" w:hAnsi="PT Astra Serif"/>
          <w:b/>
          <w:sz w:val="24"/>
          <w:szCs w:val="24"/>
        </w:rPr>
        <w:t xml:space="preserve">Национальный проект «Здравоохранение»</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sz w:val="24"/>
          <w:szCs w:val="24"/>
        </w:rPr>
        <w:t xml:space="preserve">На достижение цели национального проекта в Томской области в 2023 году были направлены 8 региональных проектов</w:t>
      </w:r>
      <w:r>
        <w:rPr>
          <w:rFonts w:ascii="PT Astra Serif" w:hAnsi="PT Astra Serif" w:eastAsia="Times New Roman"/>
          <w:sz w:val="24"/>
          <w:szCs w:val="24"/>
          <w:lang w:eastAsia="ru-RU"/>
        </w:rPr>
        <w:t xml:space="preserve">. </w:t>
      </w:r>
      <w:r>
        <w:rPr>
          <w:rFonts w:ascii="PT Astra Serif" w:hAnsi="PT Astra Serif"/>
          <w:sz w:val="24"/>
          <w:szCs w:val="24"/>
        </w:rPr>
        <w:t xml:space="preserve">Фактический объем финан</w:t>
      </w:r>
      <w:r>
        <w:rPr>
          <w:rFonts w:ascii="PT Astra Serif" w:hAnsi="PT Astra Serif"/>
          <w:sz w:val="24"/>
          <w:szCs w:val="24"/>
        </w:rPr>
        <w:t xml:space="preserve">сирования составил 1 736,9  млн</w:t>
      </w:r>
      <w:r>
        <w:rPr>
          <w:rFonts w:ascii="PT Astra Serif" w:hAnsi="PT Astra Serif"/>
          <w:sz w:val="24"/>
          <w:szCs w:val="24"/>
        </w:rPr>
        <w:t xml:space="preserve"> рублей.</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b/>
          <w:sz w:val="24"/>
          <w:szCs w:val="24"/>
        </w:rPr>
      </w:pPr>
      <w:r>
        <w:rPr>
          <w:rFonts w:ascii="PT Astra Serif" w:hAnsi="PT Astra Serif"/>
          <w:b/>
          <w:sz w:val="24"/>
          <w:szCs w:val="24"/>
        </w:rPr>
        <w:t xml:space="preserve">Итоги 2023 года:</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sz w:val="24"/>
          <w:szCs w:val="24"/>
          <w:lang w:eastAsia="ru-RU"/>
        </w:rPr>
      </w:pPr>
      <w:r>
        <w:rPr>
          <w:rFonts w:ascii="PT Astra Serif" w:hAnsi="PT Astra Serif"/>
          <w:sz w:val="24"/>
          <w:szCs w:val="24"/>
          <w:lang w:eastAsia="ru-RU"/>
        </w:rPr>
        <w:t xml:space="preserve">В рамках </w:t>
      </w:r>
      <w:r>
        <w:rPr>
          <w:rFonts w:ascii="PT Astra Serif" w:hAnsi="PT Astra Serif"/>
          <w:i/>
          <w:sz w:val="24"/>
          <w:szCs w:val="24"/>
          <w:lang w:eastAsia="ru-RU"/>
        </w:rPr>
        <w:t xml:space="preserve">регионального проекта «Развитие системы оказания первичной медико-санитарной помощи»</w:t>
      </w:r>
      <w:r>
        <w:rPr>
          <w:rFonts w:ascii="PT Astra Serif" w:hAnsi="PT Astra Serif"/>
          <w:sz w:val="24"/>
          <w:szCs w:val="24"/>
          <w:lang w:eastAsia="ru-RU"/>
        </w:rPr>
        <w:t xml:space="preserve">: </w:t>
      </w:r>
      <w:r>
        <w:rPr>
          <w:rFonts w:ascii="PT Astra Serif" w:hAnsi="PT Astra Serif"/>
          <w:sz w:val="24"/>
          <w:szCs w:val="24"/>
          <w:lang w:eastAsia="ru-RU"/>
        </w:rPr>
      </w:r>
      <w:r>
        <w:rPr>
          <w:rFonts w:ascii="PT Astra Serif" w:hAnsi="PT Astra Serif"/>
          <w:sz w:val="24"/>
          <w:szCs w:val="24"/>
          <w:lang w:eastAsia="ru-RU"/>
        </w:rPr>
      </w:r>
    </w:p>
    <w:p>
      <w:pPr>
        <w:numPr>
          <w:ilvl w:val="0"/>
          <w:numId w:val="7"/>
        </w:numPr>
        <w:ind w:left="0" w:firstLine="709"/>
        <w:jc w:val="both"/>
        <w:spacing w:after="0" w:line="240" w:lineRule="auto"/>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378 вылетов санитарной авиации выполнено за счет средств </w:t>
      </w:r>
      <w:r>
        <w:rPr>
          <w:rFonts w:ascii="PT Astra Serif" w:hAnsi="PT Astra Serif"/>
          <w:sz w:val="24"/>
          <w:szCs w:val="24"/>
        </w:rPr>
        <w:t xml:space="preserve">областного и федерального бюджетов</w:t>
      </w:r>
      <w:r>
        <w:rPr>
          <w:rFonts w:ascii="PT Astra Serif" w:hAnsi="PT Astra Serif"/>
          <w:sz w:val="24"/>
          <w:szCs w:val="24"/>
          <w:lang w:eastAsia="ru-RU"/>
        </w:rPr>
        <w:t xml:space="preserve">, эвакуировано 644 пациента;</w:t>
      </w:r>
      <w:r>
        <w:rPr>
          <w:rFonts w:ascii="PT Astra Serif" w:hAnsi="PT Astra Serif"/>
          <w:sz w:val="24"/>
          <w:szCs w:val="24"/>
          <w:lang w:eastAsia="ru-RU"/>
        </w:rPr>
      </w:r>
      <w:r>
        <w:rPr>
          <w:rFonts w:ascii="PT Astra Serif" w:hAnsi="PT Astra Serif"/>
          <w:sz w:val="24"/>
          <w:szCs w:val="24"/>
          <w:lang w:eastAsia="ru-RU"/>
        </w:rPr>
      </w:r>
    </w:p>
    <w:p>
      <w:pPr>
        <w:numPr>
          <w:ilvl w:val="0"/>
          <w:numId w:val="7"/>
        </w:numPr>
        <w:ind w:left="0" w:firstLine="709"/>
        <w:jc w:val="both"/>
        <w:spacing w:after="0" w:line="240" w:lineRule="auto"/>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доля населенных пунктов с числом жителей до 2000 человек, населению которых доступна первичная медико-санитарная помощь по месту их проживания</w:t>
      </w:r>
      <w:r>
        <w:rPr>
          <w:rFonts w:ascii="PT Astra Serif" w:hAnsi="PT Astra Serif"/>
          <w:sz w:val="24"/>
          <w:szCs w:val="24"/>
          <w:lang w:eastAsia="ru-RU"/>
        </w:rPr>
        <w:t xml:space="preserve">,</w:t>
      </w:r>
      <w:r>
        <w:rPr>
          <w:rFonts w:ascii="PT Astra Serif" w:hAnsi="PT Astra Serif"/>
          <w:sz w:val="24"/>
          <w:szCs w:val="24"/>
          <w:lang w:eastAsia="ru-RU"/>
        </w:rPr>
        <w:t xml:space="preserve"> составила 100% (план – 99,38%).</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rPr>
          <w:rFonts w:ascii="PT Astra Serif" w:hAnsi="PT Astra Serif"/>
          <w:sz w:val="24"/>
          <w:szCs w:val="24"/>
          <w:lang w:eastAsia="ru-RU"/>
        </w:rPr>
      </w:pPr>
      <w:r>
        <w:rPr>
          <w:rFonts w:ascii="PT Astra Serif" w:hAnsi="PT Astra Serif"/>
          <w:sz w:val="24"/>
          <w:szCs w:val="24"/>
          <w:lang w:eastAsia="ru-RU"/>
        </w:rPr>
        <w:t xml:space="preserve">В рамках </w:t>
      </w:r>
      <w:r>
        <w:rPr>
          <w:rFonts w:ascii="PT Astra Serif" w:hAnsi="PT Astra Serif"/>
          <w:i/>
          <w:sz w:val="24"/>
          <w:szCs w:val="24"/>
          <w:lang w:eastAsia="ru-RU"/>
        </w:rPr>
        <w:t xml:space="preserve">регионального проекта «Борьба с сердечно-сосудистыми заболеваниями»</w:t>
      </w:r>
      <w:r>
        <w:rPr>
          <w:rFonts w:ascii="PT Astra Serif" w:hAnsi="PT Astra Serif"/>
          <w:sz w:val="24"/>
          <w:szCs w:val="24"/>
          <w:lang w:eastAsia="ru-RU"/>
        </w:rPr>
        <w:t xml:space="preserve">:</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40"/>
        </w:numPr>
        <w:ind w:left="0" w:firstLine="709"/>
        <w:jc w:val="both"/>
        <w:spacing w:after="0" w:line="240" w:lineRule="auto"/>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региональный сосудистый центр Томской областной клинической больницы и первичные сосудистые отделения Колпашевского, Асиновского районов и г. Стрежевой оснащены 17 единицами оборудования;</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40"/>
        </w:numPr>
        <w:ind w:left="0" w:firstLine="709"/>
        <w:jc w:val="both"/>
        <w:spacing w:after="0" w:line="240" w:lineRule="auto"/>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лекарственными препаратами обеспечено </w:t>
      </w:r>
      <w:r>
        <w:rPr>
          <w:rFonts w:ascii="PT Astra Serif" w:hAnsi="PT Astra Serif" w:eastAsia="Times New Roman"/>
          <w:sz w:val="24"/>
          <w:szCs w:val="24"/>
        </w:rPr>
        <w:t xml:space="preserve">7 650 </w:t>
      </w:r>
      <w:r>
        <w:rPr>
          <w:rFonts w:ascii="PT Astra Serif" w:hAnsi="PT Astra Serif"/>
          <w:sz w:val="24"/>
          <w:szCs w:val="24"/>
          <w:lang w:eastAsia="ru-RU"/>
        </w:rPr>
        <w:t xml:space="preserve">пациентов с сердечно-сосудистыми заболеваниями, находящихся на диспансерном наблюдении, организован льготный отпуск препаратов.</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rPr>
          <w:rFonts w:ascii="PT Astra Serif" w:hAnsi="PT Astra Serif"/>
          <w:sz w:val="24"/>
          <w:szCs w:val="24"/>
          <w:lang w:eastAsia="ru-RU"/>
        </w:rPr>
      </w:pPr>
      <w:r>
        <w:rPr>
          <w:rFonts w:ascii="PT Astra Serif" w:hAnsi="PT Astra Serif"/>
          <w:sz w:val="24"/>
          <w:szCs w:val="24"/>
          <w:lang w:eastAsia="ru-RU"/>
        </w:rPr>
        <w:t xml:space="preserve">В рамках </w:t>
      </w:r>
      <w:r>
        <w:rPr>
          <w:rFonts w:ascii="PT Astra Serif" w:hAnsi="PT Astra Serif"/>
          <w:i/>
          <w:sz w:val="24"/>
          <w:szCs w:val="24"/>
          <w:lang w:eastAsia="ru-RU"/>
        </w:rPr>
        <w:t xml:space="preserve">регионального проекта «Борьба с онкологическими заболеваниями»:</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41"/>
        </w:numPr>
        <w:ind w:left="0" w:firstLine="709"/>
        <w:jc w:val="both"/>
        <w:spacing w:after="0" w:line="240" w:lineRule="auto"/>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онкологический диспансер закуплено 5 единиц оборудования (автоматический инжектор-шприц, дозкалибратор, автоматический гистопроцессор, автоматический прибор для заключения срезов);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41"/>
        </w:numPr>
        <w:ind w:left="0" w:firstLine="709"/>
        <w:jc w:val="both"/>
        <w:spacing w:after="0" w:line="240" w:lineRule="auto"/>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17.11.2023 введен в эксплуатацию новый хирургический корпус с хирургическим отделением на 120 коек. </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rPr>
          <w:rFonts w:ascii="PT Astra Serif" w:hAnsi="PT Astra Serif"/>
          <w:sz w:val="24"/>
          <w:szCs w:val="24"/>
          <w:lang w:eastAsia="ru-RU"/>
        </w:rPr>
      </w:pPr>
      <w:r>
        <w:rPr>
          <w:rFonts w:ascii="PT Astra Serif" w:hAnsi="PT Astra Serif"/>
          <w:sz w:val="24"/>
          <w:szCs w:val="24"/>
          <w:lang w:eastAsia="ru-RU"/>
        </w:rPr>
        <w:t xml:space="preserve">В рамках </w:t>
      </w:r>
      <w:r>
        <w:rPr>
          <w:rFonts w:ascii="PT Astra Serif" w:hAnsi="PT Astra Serif"/>
          <w:i/>
          <w:sz w:val="24"/>
          <w:szCs w:val="24"/>
          <w:lang w:eastAsia="ru-RU"/>
        </w:rPr>
        <w:t xml:space="preserve">регионального проекта «Развитие детского здравоохранения Томской области»: </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42"/>
        </w:numPr>
        <w:ind w:left="0" w:firstLine="709"/>
        <w:jc w:val="both"/>
        <w:spacing w:after="0" w:line="240" w:lineRule="auto"/>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повышена квалификация 275 медицинских работников в области перинатологии, неонаталогии и педиатрии в симуляционных центрах, нарастающим итогом 518 чел</w:t>
      </w:r>
      <w:r>
        <w:rPr>
          <w:rFonts w:ascii="PT Astra Serif" w:hAnsi="PT Astra Serif"/>
          <w:sz w:val="24"/>
          <w:szCs w:val="24"/>
          <w:lang w:eastAsia="ru-RU"/>
        </w:rPr>
        <w:t xml:space="preserve">овек</w:t>
      </w:r>
      <w:r>
        <w:rPr>
          <w:rFonts w:ascii="PT Astra Serif" w:hAnsi="PT Astra Serif"/>
          <w:sz w:val="24"/>
          <w:szCs w:val="24"/>
          <w:lang w:eastAsia="ru-RU"/>
        </w:rPr>
        <w:t xml:space="preserve">;</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42"/>
        </w:numPr>
        <w:ind w:left="0" w:firstLine="709"/>
        <w:jc w:val="both"/>
        <w:spacing w:after="0" w:line="240" w:lineRule="auto"/>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укомплектованность медицинских организаций, оказывающих медицинскую помощь детям (доля занятых физическими лицами должностей от общего количества должностей в медицинских организациях, оказывающих медицинскую помощь в амбулаторных условиях),</w:t>
      </w:r>
      <w:r>
        <w:rPr>
          <w:rFonts w:ascii="PT Astra Serif" w:hAnsi="PT Astra Serif"/>
          <w:sz w:val="24"/>
          <w:szCs w:val="24"/>
        </w:rPr>
        <w:t xml:space="preserve"> </w:t>
      </w:r>
      <w:r>
        <w:rPr>
          <w:rFonts w:ascii="PT Astra Serif" w:hAnsi="PT Astra Serif"/>
          <w:sz w:val="24"/>
          <w:szCs w:val="24"/>
          <w:lang w:eastAsia="ru-RU"/>
        </w:rPr>
        <w:t xml:space="preserve">врачами – педиатрами нарастающим итогом составила 93,9% (план – 86,3%).</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rPr>
          <w:rFonts w:ascii="PT Astra Serif" w:hAnsi="PT Astra Serif"/>
          <w:sz w:val="24"/>
          <w:szCs w:val="24"/>
          <w:lang w:eastAsia="ru-RU"/>
        </w:rPr>
      </w:pPr>
      <w:r>
        <w:rPr>
          <w:rFonts w:ascii="PT Astra Serif" w:hAnsi="PT Astra Serif"/>
          <w:sz w:val="24"/>
          <w:szCs w:val="24"/>
          <w:lang w:eastAsia="ru-RU"/>
        </w:rPr>
        <w:t xml:space="preserve">В рамках </w:t>
      </w:r>
      <w:r>
        <w:rPr>
          <w:rFonts w:ascii="PT Astra Serif" w:hAnsi="PT Astra Serif"/>
          <w:i/>
          <w:sz w:val="24"/>
          <w:szCs w:val="24"/>
          <w:lang w:eastAsia="ru-RU"/>
        </w:rPr>
        <w:t xml:space="preserve">регионального проекта «Обеспечение медицинских организаций системы здравоохранения квалифицированными кадрами»:</w:t>
      </w:r>
      <w:r>
        <w:rPr>
          <w:rFonts w:ascii="PT Astra Serif" w:hAnsi="PT Astra Serif"/>
          <w:sz w:val="24"/>
          <w:szCs w:val="24"/>
          <w:lang w:eastAsia="ru-RU"/>
        </w:rPr>
      </w:r>
      <w:r>
        <w:rPr>
          <w:rFonts w:ascii="PT Astra Serif" w:hAnsi="PT Astra Serif"/>
          <w:sz w:val="24"/>
          <w:szCs w:val="24"/>
          <w:lang w:eastAsia="ru-RU"/>
        </w:rPr>
      </w:r>
    </w:p>
    <w:p>
      <w:pPr>
        <w:numPr>
          <w:ilvl w:val="0"/>
          <w:numId w:val="9"/>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с 2019 года увеличена численность врачей, работающих в государственных медицинских организациях</w:t>
      </w:r>
      <w:r>
        <w:rPr>
          <w:rFonts w:ascii="PT Astra Serif" w:hAnsi="PT Astra Serif" w:eastAsia="Calibri"/>
          <w:sz w:val="24"/>
          <w:szCs w:val="24"/>
        </w:rPr>
        <w:t xml:space="preserve">,</w:t>
      </w:r>
      <w:r>
        <w:rPr>
          <w:rFonts w:ascii="PT Astra Serif" w:hAnsi="PT Astra Serif" w:eastAsia="Calibri"/>
          <w:sz w:val="24"/>
          <w:szCs w:val="24"/>
        </w:rPr>
        <w:t xml:space="preserve"> до 5 463 человек (план – 4 886 специалистов);</w:t>
      </w:r>
      <w:r>
        <w:rPr>
          <w:rFonts w:ascii="PT Astra Serif" w:hAnsi="PT Astra Serif" w:eastAsia="Calibri"/>
          <w:sz w:val="24"/>
          <w:szCs w:val="24"/>
        </w:rPr>
      </w:r>
      <w:r>
        <w:rPr>
          <w:rFonts w:ascii="PT Astra Serif" w:hAnsi="PT Astra Serif" w:eastAsia="Calibri"/>
          <w:sz w:val="24"/>
          <w:szCs w:val="24"/>
        </w:rPr>
      </w:r>
    </w:p>
    <w:p>
      <w:pPr>
        <w:numPr>
          <w:ilvl w:val="0"/>
          <w:numId w:val="9"/>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с 2019 года увеличена численность средних медицинских работников, работающих в государственных медицинских организациях до 9 759 человек (план – 9 528 специалистов);</w:t>
      </w:r>
      <w:r>
        <w:rPr>
          <w:rFonts w:ascii="PT Astra Serif" w:hAnsi="PT Astra Serif" w:eastAsia="Calibri"/>
          <w:sz w:val="24"/>
          <w:szCs w:val="24"/>
        </w:rPr>
      </w:r>
      <w:r>
        <w:rPr>
          <w:rFonts w:ascii="PT Astra Serif" w:hAnsi="PT Astra Serif" w:eastAsia="Calibri"/>
          <w:sz w:val="24"/>
          <w:szCs w:val="24"/>
        </w:rPr>
      </w:r>
    </w:p>
    <w:p>
      <w:pPr>
        <w:numPr>
          <w:ilvl w:val="0"/>
          <w:numId w:val="9"/>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увеличено число специалистов, участвующих в системе непрерывного образования медицинских работников, в том числе с использованием дистанционных образовательных технологий</w:t>
      </w:r>
      <w:r>
        <w:rPr>
          <w:rFonts w:ascii="PT Astra Serif" w:hAnsi="PT Astra Serif" w:eastAsia="Calibri"/>
          <w:sz w:val="24"/>
          <w:szCs w:val="24"/>
        </w:rPr>
        <w:t xml:space="preserve">,</w:t>
      </w:r>
      <w:r>
        <w:rPr>
          <w:rFonts w:ascii="PT Astra Serif" w:hAnsi="PT Astra Serif" w:eastAsia="Calibri"/>
          <w:sz w:val="24"/>
          <w:szCs w:val="24"/>
        </w:rPr>
        <w:t xml:space="preserve"> до 15 468 человек.</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sz w:val="24"/>
          <w:szCs w:val="24"/>
          <w:lang w:eastAsia="ru-RU"/>
        </w:rPr>
      </w:pPr>
      <w:r>
        <w:rPr>
          <w:rFonts w:ascii="PT Astra Serif" w:hAnsi="PT Astra Serif"/>
          <w:sz w:val="24"/>
          <w:szCs w:val="24"/>
          <w:lang w:eastAsia="ru-RU"/>
        </w:rPr>
        <w:t xml:space="preserve">В рамках </w:t>
      </w:r>
      <w:r>
        <w:rPr>
          <w:rFonts w:ascii="PT Astra Serif" w:hAnsi="PT Astra Serif"/>
          <w:i/>
          <w:sz w:val="24"/>
          <w:szCs w:val="24"/>
          <w:lang w:eastAsia="ru-RU"/>
        </w:rPr>
        <w:t xml:space="preserve">регионального проекта «Создание единого цифрового контура в здравоохранении на основе единой государственной информационной системы в сфере здравоохранения (ЕГИСЗ)»:</w:t>
      </w:r>
      <w:r>
        <w:rPr>
          <w:rFonts w:ascii="PT Astra Serif" w:hAnsi="PT Astra Serif"/>
          <w:sz w:val="24"/>
          <w:szCs w:val="24"/>
          <w:lang w:eastAsia="ru-RU"/>
        </w:rPr>
      </w:r>
      <w:r>
        <w:rPr>
          <w:rFonts w:ascii="PT Astra Serif" w:hAnsi="PT Astra Serif"/>
          <w:sz w:val="24"/>
          <w:szCs w:val="24"/>
          <w:lang w:eastAsia="ru-RU"/>
        </w:rPr>
      </w:r>
    </w:p>
    <w:p>
      <w:pPr>
        <w:numPr>
          <w:ilvl w:val="0"/>
          <w:numId w:val="8"/>
        </w:numPr>
        <w:contextualSpacing/>
        <w:ind w:left="0" w:firstLine="709"/>
        <w:jc w:val="both"/>
        <w:spacing w:after="0" w:line="240" w:lineRule="auto"/>
        <w:tabs>
          <w:tab w:val="left" w:pos="0" w:leader="none"/>
          <w:tab w:val="left" w:pos="993" w:leader="none"/>
        </w:tabs>
        <w:rPr>
          <w:rFonts w:ascii="PT Astra Serif" w:hAnsi="PT Astra Serif"/>
          <w:sz w:val="24"/>
          <w:szCs w:val="24"/>
          <w:lang w:eastAsia="ru-RU"/>
        </w:rPr>
      </w:pPr>
      <w:r>
        <w:rPr>
          <w:rFonts w:ascii="PT Astra Serif" w:hAnsi="PT Astra Serif"/>
          <w:sz w:val="24"/>
          <w:szCs w:val="24"/>
          <w:lang w:eastAsia="ru-RU"/>
        </w:rPr>
        <w:t xml:space="preserve">308 000 человек воспользовались услугами (сервисами) в Личном кабинете пациента «Мое здоровье» на Едином портале государственных услуг и функций (план – 303 880 человек);</w:t>
      </w:r>
      <w:r>
        <w:rPr>
          <w:rFonts w:ascii="PT Astra Serif" w:hAnsi="PT Astra Serif"/>
          <w:sz w:val="24"/>
          <w:szCs w:val="24"/>
          <w:lang w:eastAsia="ru-RU"/>
        </w:rPr>
      </w:r>
      <w:r>
        <w:rPr>
          <w:rFonts w:ascii="PT Astra Serif" w:hAnsi="PT Astra Serif"/>
          <w:sz w:val="24"/>
          <w:szCs w:val="24"/>
          <w:lang w:eastAsia="ru-RU"/>
        </w:rPr>
      </w:r>
    </w:p>
    <w:p>
      <w:pPr>
        <w:numPr>
          <w:ilvl w:val="0"/>
          <w:numId w:val="8"/>
        </w:numPr>
        <w:contextualSpacing/>
        <w:ind w:left="0" w:firstLine="709"/>
        <w:jc w:val="both"/>
        <w:spacing w:after="0" w:line="240" w:lineRule="auto"/>
        <w:tabs>
          <w:tab w:val="left" w:pos="0" w:leader="none"/>
          <w:tab w:val="left" w:pos="993" w:leader="none"/>
        </w:tabs>
        <w:rPr>
          <w:rFonts w:ascii="PT Astra Serif" w:hAnsi="PT Astra Serif"/>
          <w:sz w:val="24"/>
          <w:szCs w:val="24"/>
          <w:lang w:eastAsia="ru-RU"/>
        </w:rPr>
      </w:pPr>
      <w:r>
        <w:rPr>
          <w:rFonts w:ascii="PT Astra Serif" w:hAnsi="PT Astra Serif"/>
          <w:sz w:val="24"/>
          <w:szCs w:val="24"/>
          <w:lang w:eastAsia="ru-RU"/>
        </w:rPr>
        <w:t xml:space="preserve">100% медицинских организаций государственной и муниципальной систем здравоохранения используют медицинские информационные системы для организации</w:t>
      </w:r>
      <w:r>
        <w:rPr>
          <w:rFonts w:ascii="PT Astra Serif" w:hAnsi="PT Astra Serif"/>
          <w:sz w:val="24"/>
          <w:szCs w:val="24"/>
          <w:lang w:eastAsia="ru-RU"/>
        </w:rPr>
        <w:br/>
        <w:t xml:space="preserve">и оказания медицинской помощи гражданам, обеспечивающие информационное взаимодействие с ЕГИСЗ;</w:t>
      </w:r>
      <w:r>
        <w:rPr>
          <w:rFonts w:ascii="PT Astra Serif" w:hAnsi="PT Astra Serif"/>
          <w:sz w:val="24"/>
          <w:szCs w:val="24"/>
          <w:lang w:eastAsia="ru-RU"/>
        </w:rPr>
      </w:r>
      <w:r>
        <w:rPr>
          <w:rFonts w:ascii="PT Astra Serif" w:hAnsi="PT Astra Serif"/>
          <w:sz w:val="24"/>
          <w:szCs w:val="24"/>
          <w:lang w:eastAsia="ru-RU"/>
        </w:rPr>
      </w:r>
    </w:p>
    <w:p>
      <w:pPr>
        <w:numPr>
          <w:ilvl w:val="0"/>
          <w:numId w:val="8"/>
        </w:numPr>
        <w:contextualSpacing/>
        <w:ind w:left="0" w:firstLine="709"/>
        <w:jc w:val="both"/>
        <w:spacing w:after="0" w:line="240" w:lineRule="auto"/>
        <w:tabs>
          <w:tab w:val="left" w:pos="0" w:leader="none"/>
          <w:tab w:val="left" w:pos="993" w:leader="none"/>
        </w:tabs>
        <w:rPr>
          <w:rFonts w:ascii="PT Astra Serif" w:hAnsi="PT Astra Serif"/>
          <w:sz w:val="24"/>
          <w:szCs w:val="24"/>
          <w:lang w:eastAsia="ru-RU"/>
        </w:rPr>
      </w:pPr>
      <w:r>
        <w:rPr>
          <w:rFonts w:ascii="PT Astra Serif" w:hAnsi="PT Astra Serif"/>
          <w:sz w:val="24"/>
          <w:szCs w:val="24"/>
          <w:shd w:val="clear" w:color="auto" w:fill="ffffff"/>
        </w:rPr>
        <w:t xml:space="preserve">организовано 6 062 автоматизированных рабочих места медицинских работников при внедрении и эксплуатации медицинских информационных систем.</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rPr>
          <w:rFonts w:ascii="PT Astra Serif" w:hAnsi="PT Astra Serif"/>
          <w:i/>
          <w:sz w:val="24"/>
          <w:szCs w:val="24"/>
          <w:lang w:eastAsia="ru-RU"/>
        </w:rPr>
      </w:pPr>
      <w:r>
        <w:rPr>
          <w:rFonts w:ascii="PT Astra Serif" w:hAnsi="PT Astra Serif"/>
          <w:sz w:val="24"/>
          <w:szCs w:val="24"/>
          <w:lang w:eastAsia="ru-RU"/>
        </w:rPr>
        <w:t xml:space="preserve">В рамках </w:t>
      </w:r>
      <w:r>
        <w:rPr>
          <w:rFonts w:ascii="PT Astra Serif" w:hAnsi="PT Astra Serif"/>
          <w:i/>
          <w:sz w:val="24"/>
          <w:szCs w:val="24"/>
          <w:lang w:eastAsia="ru-RU"/>
        </w:rPr>
        <w:t xml:space="preserve">регионального проекта «Развитие экспорта медицинских услуг»:</w:t>
      </w:r>
      <w:r>
        <w:rPr>
          <w:rFonts w:ascii="PT Astra Serif" w:hAnsi="PT Astra Serif"/>
          <w:i/>
          <w:sz w:val="24"/>
          <w:szCs w:val="24"/>
          <w:lang w:eastAsia="ru-RU"/>
        </w:rPr>
      </w:r>
      <w:r>
        <w:rPr>
          <w:rFonts w:ascii="PT Astra Serif" w:hAnsi="PT Astra Serif"/>
          <w:i/>
          <w:sz w:val="24"/>
          <w:szCs w:val="24"/>
          <w:lang w:eastAsia="ru-RU"/>
        </w:rPr>
      </w:r>
    </w:p>
    <w:p>
      <w:pPr>
        <w:numPr>
          <w:ilvl w:val="0"/>
          <w:numId w:val="8"/>
        </w:numPr>
        <w:contextualSpacing/>
        <w:ind w:left="0" w:firstLine="709"/>
        <w:jc w:val="both"/>
        <w:spacing w:after="0" w:line="240" w:lineRule="auto"/>
        <w:tabs>
          <w:tab w:val="left" w:pos="0" w:leader="none"/>
          <w:tab w:val="left" w:pos="993" w:leader="none"/>
        </w:tabs>
        <w:rPr>
          <w:rFonts w:ascii="PT Astra Serif" w:hAnsi="PT Astra Serif"/>
          <w:sz w:val="24"/>
          <w:szCs w:val="24"/>
          <w:shd w:val="clear" w:color="auto" w:fill="ffffff"/>
        </w:rPr>
      </w:pPr>
      <w:r>
        <w:rPr>
          <w:rFonts w:ascii="PT Astra Serif" w:hAnsi="PT Astra Serif"/>
          <w:sz w:val="24"/>
          <w:szCs w:val="24"/>
          <w:shd w:val="clear" w:color="auto" w:fill="ffffff"/>
        </w:rPr>
        <w:t xml:space="preserve">с 2017 года увеличилось  количество иностранных граждан, получивших лечение в медицинских организациях Томской области</w:t>
      </w:r>
      <w:r>
        <w:rPr>
          <w:rFonts w:ascii="PT Astra Serif" w:hAnsi="PT Astra Serif"/>
          <w:sz w:val="24"/>
          <w:szCs w:val="24"/>
          <w:shd w:val="clear" w:color="auto" w:fill="ffffff"/>
        </w:rPr>
        <w:t xml:space="preserve">,</w:t>
      </w:r>
      <w:r>
        <w:rPr>
          <w:rFonts w:ascii="PT Astra Serif" w:hAnsi="PT Astra Serif"/>
          <w:sz w:val="24"/>
          <w:szCs w:val="24"/>
          <w:shd w:val="clear" w:color="auto" w:fill="ffffff"/>
        </w:rPr>
        <w:t xml:space="preserve"> до 54,020 тыс. человек (план – 30,6136 тыс.</w:t>
      </w:r>
      <w:r>
        <w:rPr>
          <w:rFonts w:ascii="PT Astra Serif" w:hAnsi="PT Astra Serif"/>
          <w:sz w:val="24"/>
          <w:szCs w:val="24"/>
          <w:shd w:val="clear" w:color="auto" w:fill="ffffff"/>
        </w:rPr>
        <w:t xml:space="preserve"> </w:t>
      </w:r>
      <w:r>
        <w:rPr>
          <w:rFonts w:ascii="PT Astra Serif" w:hAnsi="PT Astra Serif"/>
          <w:sz w:val="24"/>
          <w:szCs w:val="24"/>
          <w:shd w:val="clear" w:color="auto" w:fill="ffffff"/>
        </w:rPr>
        <w:t xml:space="preserve">человек);</w:t>
      </w:r>
      <w:r>
        <w:rPr>
          <w:rFonts w:ascii="PT Astra Serif" w:hAnsi="PT Astra Serif"/>
          <w:sz w:val="24"/>
          <w:szCs w:val="24"/>
          <w:shd w:val="clear" w:color="auto" w:fill="ffffff"/>
        </w:rPr>
      </w:r>
      <w:r>
        <w:rPr>
          <w:rFonts w:ascii="PT Astra Serif" w:hAnsi="PT Astra Serif"/>
          <w:sz w:val="24"/>
          <w:szCs w:val="24"/>
          <w:shd w:val="clear" w:color="auto" w:fill="ffffff"/>
        </w:rPr>
      </w:r>
    </w:p>
    <w:p>
      <w:pPr>
        <w:numPr>
          <w:ilvl w:val="0"/>
          <w:numId w:val="8"/>
        </w:numPr>
        <w:contextualSpacing/>
        <w:ind w:left="0" w:firstLine="709"/>
        <w:jc w:val="both"/>
        <w:spacing w:after="0" w:line="240" w:lineRule="auto"/>
        <w:tabs>
          <w:tab w:val="left" w:pos="0" w:leader="none"/>
          <w:tab w:val="left" w:pos="993" w:leader="none"/>
        </w:tabs>
        <w:rPr>
          <w:rFonts w:ascii="PT Astra Serif" w:hAnsi="PT Astra Serif"/>
          <w:sz w:val="24"/>
          <w:szCs w:val="24"/>
          <w:shd w:val="clear" w:color="auto" w:fill="ffffff"/>
        </w:rPr>
      </w:pPr>
      <w:r>
        <w:rPr>
          <w:rFonts w:ascii="PT Astra Serif" w:hAnsi="PT Astra Serif"/>
          <w:sz w:val="24"/>
          <w:szCs w:val="24"/>
          <w:shd w:val="clear" w:color="auto" w:fill="ffffff"/>
        </w:rPr>
        <w:t xml:space="preserve">объем экспорта медицинск</w:t>
      </w:r>
      <w:r>
        <w:rPr>
          <w:rFonts w:ascii="PT Astra Serif" w:hAnsi="PT Astra Serif"/>
          <w:sz w:val="24"/>
          <w:szCs w:val="24"/>
          <w:shd w:val="clear" w:color="auto" w:fill="ffffff"/>
        </w:rPr>
        <w:t xml:space="preserve">их услуг увеличился до 2,57 млн долл. США (план – 1,98 млн</w:t>
      </w:r>
      <w:r>
        <w:rPr>
          <w:rFonts w:ascii="PT Astra Serif" w:hAnsi="PT Astra Serif"/>
          <w:sz w:val="24"/>
          <w:szCs w:val="24"/>
          <w:shd w:val="clear" w:color="auto" w:fill="ffffff"/>
        </w:rPr>
        <w:t xml:space="preserve"> </w:t>
      </w:r>
      <w:r>
        <w:rPr>
          <w:rFonts w:ascii="PT Astra Serif" w:hAnsi="PT Astra Serif"/>
          <w:sz w:val="24"/>
          <w:szCs w:val="24"/>
          <w:shd w:val="clear" w:color="auto" w:fill="ffffff"/>
        </w:rPr>
        <w:t xml:space="preserve">долл.</w:t>
      </w:r>
      <w:r>
        <w:rPr>
          <w:rFonts w:ascii="PT Astra Serif" w:hAnsi="PT Astra Serif"/>
          <w:sz w:val="24"/>
          <w:szCs w:val="24"/>
          <w:shd w:val="clear" w:color="auto" w:fill="ffffff"/>
        </w:rPr>
        <w:t xml:space="preserve"> </w:t>
      </w:r>
      <w:r>
        <w:rPr>
          <w:rFonts w:ascii="PT Astra Serif" w:hAnsi="PT Astra Serif"/>
          <w:sz w:val="24"/>
          <w:szCs w:val="24"/>
          <w:shd w:val="clear" w:color="auto" w:fill="ffffff"/>
        </w:rPr>
        <w:t xml:space="preserve">США).</w:t>
      </w:r>
      <w:r>
        <w:rPr>
          <w:rFonts w:ascii="PT Astra Serif" w:hAnsi="PT Astra Serif"/>
          <w:sz w:val="24"/>
          <w:szCs w:val="24"/>
          <w:shd w:val="clear" w:color="auto" w:fill="ffffff"/>
        </w:rPr>
      </w:r>
      <w:r>
        <w:rPr>
          <w:rFonts w:ascii="PT Astra Serif" w:hAnsi="PT Astra Serif"/>
          <w:sz w:val="24"/>
          <w:szCs w:val="24"/>
          <w:shd w:val="clear" w:color="auto" w:fill="ffffff"/>
        </w:rPr>
      </w:r>
    </w:p>
    <w:p>
      <w:pPr>
        <w:ind w:firstLine="709"/>
        <w:jc w:val="both"/>
        <w:spacing w:after="0" w:line="240" w:lineRule="auto"/>
        <w:rPr>
          <w:rFonts w:ascii="PT Astra Serif" w:hAnsi="PT Astra Serif"/>
          <w:i/>
          <w:sz w:val="24"/>
          <w:szCs w:val="24"/>
          <w:lang w:eastAsia="ru-RU"/>
        </w:rPr>
      </w:pPr>
      <w:r>
        <w:rPr>
          <w:rFonts w:ascii="PT Astra Serif" w:hAnsi="PT Astra Serif"/>
          <w:sz w:val="24"/>
          <w:szCs w:val="24"/>
          <w:lang w:eastAsia="ru-RU"/>
        </w:rPr>
        <w:t xml:space="preserve">В рамках </w:t>
      </w:r>
      <w:r>
        <w:rPr>
          <w:rFonts w:ascii="PT Astra Serif" w:hAnsi="PT Astra Serif"/>
          <w:i/>
          <w:sz w:val="24"/>
          <w:szCs w:val="24"/>
          <w:lang w:eastAsia="ru-RU"/>
        </w:rPr>
        <w:t xml:space="preserve">регионального проекта «Модернизация первичного звена здравоохранения Российской Федерации»:</w:t>
      </w:r>
      <w:r>
        <w:rPr>
          <w:rFonts w:ascii="PT Astra Serif" w:hAnsi="PT Astra Serif"/>
          <w:i/>
          <w:sz w:val="24"/>
          <w:szCs w:val="24"/>
          <w:lang w:eastAsia="ru-RU"/>
        </w:rPr>
      </w:r>
      <w:r>
        <w:rPr>
          <w:rFonts w:ascii="PT Astra Serif" w:hAnsi="PT Astra Serif"/>
          <w:i/>
          <w:sz w:val="24"/>
          <w:szCs w:val="24"/>
          <w:lang w:eastAsia="ru-RU"/>
        </w:rPr>
      </w:r>
    </w:p>
    <w:p>
      <w:pPr>
        <w:numPr>
          <w:ilvl w:val="0"/>
          <w:numId w:val="10"/>
        </w:numPr>
        <w:ind w:left="0" w:firstLine="709"/>
        <w:jc w:val="both"/>
        <w:spacing w:after="0" w:line="240" w:lineRule="auto"/>
        <w:tabs>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поставлено 27 автомобилей в 13 медицинских организаций Томской области;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numPr>
          <w:ilvl w:val="0"/>
          <w:numId w:val="10"/>
        </w:numPr>
        <w:ind w:left="0" w:firstLine="709"/>
        <w:jc w:val="both"/>
        <w:spacing w:after="0" w:line="240" w:lineRule="auto"/>
        <w:tabs>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поставлена 1 быстровозводимая модульная конструкция (врачебная амбулатория) для нужд ОГАУЗ «Томская РБ» в с. Рыбалово, получена лицензия;</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numPr>
          <w:ilvl w:val="0"/>
          <w:numId w:val="10"/>
        </w:numPr>
        <w:ind w:left="0" w:firstLine="709"/>
        <w:jc w:val="both"/>
        <w:spacing w:after="0" w:line="240" w:lineRule="auto"/>
        <w:tabs>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постановлено 41 ед. медицинского оборудования в 14 медицинских организаций Томской области;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numPr>
          <w:ilvl w:val="0"/>
          <w:numId w:val="10"/>
        </w:numPr>
        <w:ind w:left="0" w:firstLine="709"/>
        <w:jc w:val="both"/>
        <w:spacing w:after="0" w:line="240" w:lineRule="auto"/>
        <w:tabs>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проведен капитальный ремонт 3</w:t>
      </w:r>
      <w:r>
        <w:rPr>
          <w:rFonts w:ascii="PT Astra Serif" w:hAnsi="PT Astra Serif" w:eastAsia="Times New Roman"/>
          <w:sz w:val="24"/>
          <w:szCs w:val="24"/>
          <w:lang w:eastAsia="ru-RU"/>
        </w:rPr>
        <w:t xml:space="preserve"> объектов медицинских учреждений (поликлинического отделения ОГАУЗ «Детская городска</w:t>
      </w:r>
      <w:r>
        <w:rPr>
          <w:rFonts w:ascii="PT Astra Serif" w:hAnsi="PT Astra Serif" w:eastAsia="Times New Roman"/>
          <w:sz w:val="24"/>
          <w:szCs w:val="24"/>
          <w:lang w:eastAsia="ru-RU"/>
        </w:rPr>
        <w:t xml:space="preserve">я больница №</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2» в г. Томске, ул. </w:t>
      </w:r>
      <w:r>
        <w:rPr>
          <w:rFonts w:ascii="PT Astra Serif" w:hAnsi="PT Astra Serif" w:eastAsia="Times New Roman"/>
          <w:sz w:val="24"/>
          <w:szCs w:val="24"/>
          <w:lang w:eastAsia="ru-RU"/>
        </w:rPr>
        <w:t xml:space="preserve">Набережная реки Ушайки</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22; ОГАУЗ «Шегарская </w:t>
      </w:r>
      <w:r>
        <w:rPr>
          <w:rFonts w:ascii="PT Astra Serif" w:hAnsi="PT Astra Serif" w:eastAsia="Times New Roman"/>
          <w:sz w:val="24"/>
          <w:szCs w:val="24"/>
          <w:lang w:eastAsia="ru-RU"/>
        </w:rPr>
        <w:t xml:space="preserve">районная больница» по адресу с. </w:t>
      </w:r>
      <w:r>
        <w:rPr>
          <w:rFonts w:ascii="PT Astra Serif" w:hAnsi="PT Astra Serif" w:eastAsia="Times New Roman"/>
          <w:sz w:val="24"/>
          <w:szCs w:val="24"/>
          <w:lang w:eastAsia="ru-RU"/>
        </w:rPr>
        <w:t xml:space="preserve">Мельниково, ул. Коммунистическая, 37, строени</w:t>
      </w:r>
      <w:r>
        <w:rPr>
          <w:rFonts w:ascii="PT Astra Serif" w:hAnsi="PT Astra Serif" w:eastAsia="Times New Roman"/>
          <w:sz w:val="24"/>
          <w:szCs w:val="24"/>
          <w:lang w:eastAsia="ru-RU"/>
        </w:rPr>
        <w:t xml:space="preserve">я</w:t>
      </w:r>
      <w:r>
        <w:rPr>
          <w:rFonts w:ascii="PT Astra Serif" w:hAnsi="PT Astra Serif" w:eastAsia="Times New Roman"/>
          <w:sz w:val="24"/>
          <w:szCs w:val="24"/>
          <w:lang w:eastAsia="ru-RU"/>
        </w:rPr>
        <w:t xml:space="preserve"> 1 и 3);</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numPr>
          <w:ilvl w:val="0"/>
          <w:numId w:val="10"/>
        </w:numPr>
        <w:ind w:left="0" w:firstLine="709"/>
        <w:jc w:val="both"/>
        <w:spacing w:after="0" w:line="240" w:lineRule="auto"/>
        <w:tabs>
          <w:tab w:val="left" w:pos="993" w:leader="none"/>
        </w:tabs>
        <w:rPr>
          <w:rFonts w:ascii="PT Astra Serif" w:hAnsi="PT Astra Serif"/>
          <w:i/>
          <w:sz w:val="24"/>
          <w:szCs w:val="24"/>
          <w:lang w:eastAsia="ru-RU"/>
        </w:rPr>
      </w:pPr>
      <w:r>
        <w:rPr>
          <w:rFonts w:ascii="PT Astra Serif" w:hAnsi="PT Astra Serif" w:eastAsia="Times New Roman"/>
          <w:sz w:val="24"/>
          <w:szCs w:val="24"/>
          <w:lang w:eastAsia="ru-RU"/>
        </w:rPr>
        <w:t xml:space="preserve">завершено </w:t>
      </w:r>
      <w:r>
        <w:rPr>
          <w:rFonts w:ascii="PT Astra Serif" w:hAnsi="PT Astra Serif"/>
          <w:sz w:val="24"/>
          <w:szCs w:val="24"/>
          <w:lang w:eastAsia="ru-RU"/>
        </w:rPr>
        <w:t xml:space="preserve">строительство детской поликлиники на 200 п/смену ОГБУЗ «Асиновская районная больница»</w:t>
      </w:r>
      <w:r>
        <w:rPr>
          <w:rFonts w:ascii="PT Astra Serif" w:hAnsi="PT Astra Serif" w:eastAsia="Times New Roman"/>
          <w:sz w:val="24"/>
          <w:szCs w:val="24"/>
          <w:lang w:eastAsia="ru-RU"/>
        </w:rPr>
        <w:t xml:space="preserve">;</w:t>
      </w:r>
      <w:r>
        <w:rPr>
          <w:rFonts w:ascii="PT Astra Serif" w:hAnsi="PT Astra Serif"/>
          <w:i/>
          <w:sz w:val="24"/>
          <w:szCs w:val="24"/>
          <w:lang w:eastAsia="ru-RU"/>
        </w:rPr>
      </w:r>
      <w:r>
        <w:rPr>
          <w:rFonts w:ascii="PT Astra Serif" w:hAnsi="PT Astra Serif"/>
          <w:i/>
          <w:sz w:val="24"/>
          <w:szCs w:val="24"/>
          <w:lang w:eastAsia="ru-RU"/>
        </w:rPr>
      </w:r>
    </w:p>
    <w:p>
      <w:pPr>
        <w:numPr>
          <w:ilvl w:val="0"/>
          <w:numId w:val="10"/>
        </w:numPr>
        <w:ind w:left="0" w:firstLine="709"/>
        <w:jc w:val="both"/>
        <w:spacing w:after="0" w:line="240" w:lineRule="auto"/>
        <w:tabs>
          <w:tab w:val="left" w:pos="993" w:leader="none"/>
        </w:tabs>
        <w:rPr>
          <w:rFonts w:ascii="PT Astra Serif" w:hAnsi="PT Astra Serif"/>
          <w:sz w:val="24"/>
          <w:szCs w:val="24"/>
          <w:lang w:eastAsia="ru-RU"/>
        </w:rPr>
      </w:pPr>
      <w:r>
        <w:rPr>
          <w:rFonts w:ascii="PT Astra Serif" w:hAnsi="PT Astra Serif" w:eastAsia="Times New Roman"/>
          <w:sz w:val="24"/>
          <w:szCs w:val="24"/>
          <w:lang w:eastAsia="ru-RU"/>
        </w:rPr>
        <w:t xml:space="preserve">начато строительство </w:t>
      </w:r>
      <w:r>
        <w:rPr>
          <w:rFonts w:ascii="PT Astra Serif" w:hAnsi="PT Astra Serif"/>
          <w:sz w:val="24"/>
          <w:szCs w:val="24"/>
          <w:lang w:eastAsia="ru-RU"/>
        </w:rPr>
        <w:t xml:space="preserve">поликлиники в мкр. Южные ворота, тех. готовность объекта – 12%, завершение строительства</w:t>
      </w:r>
      <w:r>
        <w:rPr>
          <w:rFonts w:ascii="PT Astra Serif" w:hAnsi="PT Astra Serif"/>
          <w:sz w:val="24"/>
          <w:szCs w:val="24"/>
          <w:lang w:eastAsia="ru-RU"/>
        </w:rPr>
        <w:t xml:space="preserve"> </w:t>
      </w:r>
      <w:r>
        <w:rPr>
          <w:rFonts w:ascii="PT Astra Serif" w:hAnsi="PT Astra Serif" w:cstheme="minorBidi"/>
          <w:sz w:val="24"/>
          <w:szCs w:val="24"/>
        </w:rPr>
        <w:t xml:space="preserve">–</w:t>
      </w:r>
      <w:r>
        <w:rPr>
          <w:rFonts w:ascii="PT Astra Serif" w:hAnsi="PT Astra Serif"/>
          <w:sz w:val="24"/>
          <w:szCs w:val="24"/>
          <w:lang w:eastAsia="ru-RU"/>
        </w:rPr>
        <w:t xml:space="preserve"> в 2024 году.</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b/>
          <w:sz w:val="24"/>
          <w:szCs w:val="24"/>
        </w:rPr>
      </w:pPr>
      <w:r>
        <w:rPr>
          <w:rFonts w:ascii="PT Astra Serif" w:hAnsi="PT Astra Serif"/>
          <w:b/>
          <w:sz w:val="24"/>
          <w:szCs w:val="24"/>
        </w:rPr>
        <w:t xml:space="preserve">Перспективные задачи на 2024 год:</w:t>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i/>
          <w:sz w:val="24"/>
          <w:szCs w:val="24"/>
        </w:rPr>
        <w:t xml:space="preserve">Региональный проект «Развитие системы оказания первичной медико-санитарной помощи»: </w:t>
      </w:r>
      <w:r>
        <w:rPr>
          <w:rFonts w:ascii="PT Astra Serif" w:hAnsi="PT Astra Serif"/>
          <w:i/>
          <w:sz w:val="24"/>
          <w:szCs w:val="24"/>
        </w:rPr>
      </w:r>
      <w:r>
        <w:rPr>
          <w:rFonts w:ascii="PT Astra Serif" w:hAnsi="PT Astra Serif"/>
          <w:i/>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ab/>
        <w:t xml:space="preserve">Выполнение не менее 205 вылетов санитарной авиации за счет средств федерального бюджета дополнительно к вылетам</w:t>
      </w:r>
      <w:r>
        <w:rPr>
          <w:rFonts w:ascii="PT Astra Serif" w:hAnsi="PT Astra Serif"/>
          <w:sz w:val="24"/>
          <w:szCs w:val="24"/>
        </w:rPr>
        <w:t xml:space="preserve">,</w:t>
      </w:r>
      <w:r>
        <w:rPr>
          <w:rFonts w:ascii="PT Astra Serif" w:hAnsi="PT Astra Serif"/>
          <w:sz w:val="24"/>
          <w:szCs w:val="24"/>
        </w:rPr>
        <w:t xml:space="preserve"> осуществляемым за счет собственных средств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ab/>
        <w:t xml:space="preserve">41% застрахованных лиц с хроническими неинфекционными заболеваниями, при наличии которых устанавливается диспансерное наблюдение при получении медицинской помощи, будут обеспечены индивидуальным информированием страховыми медицинскими организациями.</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3.</w:t>
      </w:r>
      <w:r>
        <w:rPr>
          <w:rFonts w:ascii="PT Astra Serif" w:hAnsi="PT Astra Serif"/>
          <w:sz w:val="24"/>
          <w:szCs w:val="24"/>
        </w:rPr>
        <w:tab/>
        <w:t xml:space="preserve">100% лиц, застрахованных в системе обязательного медицинского страхования, получат информацию о правах на получение бесплатной медицинской помощи.</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i/>
          <w:sz w:val="24"/>
          <w:szCs w:val="24"/>
        </w:rPr>
        <w:t xml:space="preserve">Региональный проект «Борьба с сердечно-сосудистыми заболеваниями»:</w:t>
      </w:r>
      <w:r>
        <w:rPr>
          <w:rFonts w:ascii="PT Astra Serif" w:hAnsi="PT Astra Serif"/>
          <w:i/>
          <w:sz w:val="24"/>
          <w:szCs w:val="24"/>
        </w:rPr>
      </w:r>
      <w:r>
        <w:rPr>
          <w:rFonts w:ascii="PT Astra Serif" w:hAnsi="PT Astra Serif"/>
          <w:i/>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ab/>
        <w:t xml:space="preserve">Приобретение 13 единиц медицинского оборудования для регионального сосудистого центра ОГАУЗ «Томской областной клинической больницы» и 3 первичных сосудистых отделений (ОГАУЗ «Колпашевская РБ</w:t>
      </w:r>
      <w:r>
        <w:rPr>
          <w:rFonts w:ascii="PT Astra Serif" w:hAnsi="PT Astra Serif"/>
          <w:sz w:val="24"/>
          <w:szCs w:val="24"/>
        </w:rPr>
        <w:t xml:space="preserve">», ОГБУЗ «Асиновская РБ», ОГАУЗ </w:t>
      </w:r>
      <w:r>
        <w:rPr>
          <w:rFonts w:ascii="PT Astra Serif" w:hAnsi="PT Astra Serif"/>
          <w:sz w:val="24"/>
          <w:szCs w:val="24"/>
        </w:rPr>
        <w:t xml:space="preserve">«Стрежевская ГБ»).</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ab/>
        <w:t xml:space="preserve">Реализация мероприятий по обеспечению лекарственными пр</w:t>
      </w:r>
      <w:r>
        <w:rPr>
          <w:rFonts w:ascii="PT Astra Serif" w:hAnsi="PT Astra Serif"/>
          <w:sz w:val="24"/>
          <w:szCs w:val="24"/>
        </w:rPr>
        <w:t xml:space="preserve">епаратами граждан Томской области, которым были выполнены аортокоронарное шунтирование, ангиопластика коронарных артерий со стентированием и катетерная аблация, перенесших острое нарушение мозгового кровообращения, инфаркт миокарда в амбулаторных условиях.</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i/>
          <w:sz w:val="24"/>
          <w:szCs w:val="24"/>
        </w:rPr>
        <w:t xml:space="preserve">Региональный проект «Борьба с онкологическими заболеваниями»:</w:t>
      </w:r>
      <w:r>
        <w:rPr>
          <w:rFonts w:ascii="PT Astra Serif" w:hAnsi="PT Astra Serif"/>
          <w:i/>
          <w:sz w:val="24"/>
          <w:szCs w:val="24"/>
        </w:rPr>
      </w:r>
      <w:r>
        <w:rPr>
          <w:rFonts w:ascii="PT Astra Serif" w:hAnsi="PT Astra Serif"/>
          <w:i/>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ab/>
        <w:t xml:space="preserve">Приобретение медицинского оборудования в количестве 7 единиц в ОГАУЗ «Томский областной онкологический диспансер».</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i/>
          <w:sz w:val="24"/>
          <w:szCs w:val="24"/>
        </w:rPr>
        <w:t xml:space="preserve">Региональный проект «Развитие детского здравоохранения Томской области»:</w:t>
      </w:r>
      <w:r>
        <w:rPr>
          <w:rFonts w:ascii="PT Astra Serif" w:hAnsi="PT Astra Serif"/>
          <w:i/>
          <w:sz w:val="24"/>
          <w:szCs w:val="24"/>
        </w:rPr>
      </w:r>
      <w:r>
        <w:rPr>
          <w:rFonts w:ascii="PT Astra Serif" w:hAnsi="PT Astra Serif"/>
          <w:i/>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ab/>
        <w:t xml:space="preserve">Повышение квалификации медицинских работников в области перинатологии, неонатологии и педиатрии в симуляционных центрах до 387 человек.</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i/>
          <w:sz w:val="24"/>
          <w:szCs w:val="24"/>
        </w:rPr>
        <w:t xml:space="preserve">Региональный проект «Обеспечение медицинских организаций системы здравоохранения квалифицированными кадрами»:</w:t>
      </w:r>
      <w:r>
        <w:rPr>
          <w:rFonts w:ascii="PT Astra Serif" w:hAnsi="PT Astra Serif"/>
          <w:i/>
          <w:sz w:val="24"/>
          <w:szCs w:val="24"/>
        </w:rPr>
      </w:r>
      <w:r>
        <w:rPr>
          <w:rFonts w:ascii="PT Astra Serif" w:hAnsi="PT Astra Serif"/>
          <w:i/>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ab/>
        <w:t xml:space="preserve">Реализация мероприятий по вовлечению 14 000 специалистов в систему непрерывного медицинского образования, в том числе дистанционно.</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i/>
          <w:sz w:val="24"/>
          <w:szCs w:val="24"/>
        </w:rPr>
        <w:t xml:space="preserve">Региональный проект «Создание единого цифрового контура в здравоохранении на основе единой государственной информационной системы в сфере здравоохранения (ЕГИСЗ)»:</w:t>
      </w:r>
      <w:r>
        <w:rPr>
          <w:rFonts w:ascii="PT Astra Serif" w:hAnsi="PT Astra Serif"/>
          <w:i/>
          <w:sz w:val="24"/>
          <w:szCs w:val="24"/>
        </w:rPr>
      </w:r>
      <w:r>
        <w:rPr>
          <w:rFonts w:ascii="PT Astra Serif" w:hAnsi="PT Astra Serif"/>
          <w:i/>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ab/>
        <w:t xml:space="preserve">Разработка отдельных компонентов Медицинской информационной системы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ab/>
        <w:t xml:space="preserve">Увеличение доли записей на прием к врачу, совершенных гражданами дистанционно</w:t>
      </w:r>
      <w:r>
        <w:rPr>
          <w:rFonts w:ascii="PT Astra Serif" w:hAnsi="PT Astra Serif"/>
          <w:sz w:val="24"/>
          <w:szCs w:val="24"/>
        </w:rPr>
        <w:t xml:space="preserve">,</w:t>
      </w:r>
      <w:r>
        <w:rPr>
          <w:rFonts w:ascii="PT Astra Serif" w:hAnsi="PT Astra Serif"/>
          <w:sz w:val="24"/>
          <w:szCs w:val="24"/>
        </w:rPr>
        <w:t xml:space="preserve"> до 63%.</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3.</w:t>
      </w:r>
      <w:r>
        <w:rPr>
          <w:rFonts w:ascii="PT Astra Serif" w:hAnsi="PT Astra Serif"/>
          <w:sz w:val="24"/>
          <w:szCs w:val="24"/>
        </w:rPr>
        <w:tab/>
        <w:t xml:space="preserve">Увеличение доли граждан, являющихся пользователями Единого портала государственных услуг, которым доступны электронные медицинские документы в Личном кабинете пациента «Мое здоровье»</w:t>
      </w:r>
      <w:r>
        <w:rPr>
          <w:rFonts w:ascii="PT Astra Serif" w:hAnsi="PT Astra Serif"/>
          <w:sz w:val="24"/>
          <w:szCs w:val="24"/>
        </w:rPr>
        <w:t xml:space="preserve">,</w:t>
      </w:r>
      <w:r>
        <w:rPr>
          <w:rFonts w:ascii="PT Astra Serif" w:hAnsi="PT Astra Serif"/>
          <w:sz w:val="24"/>
          <w:szCs w:val="24"/>
        </w:rPr>
        <w:t xml:space="preserve"> до 86%.</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i/>
          <w:sz w:val="24"/>
          <w:szCs w:val="24"/>
        </w:rPr>
        <w:t xml:space="preserve">Региональный проект «Развитие экспорта медицинских услуг»:</w:t>
      </w:r>
      <w:r>
        <w:rPr>
          <w:rFonts w:ascii="PT Astra Serif" w:hAnsi="PT Astra Serif"/>
          <w:i/>
          <w:sz w:val="24"/>
          <w:szCs w:val="24"/>
        </w:rPr>
      </w:r>
      <w:r>
        <w:rPr>
          <w:rFonts w:ascii="PT Astra Serif" w:hAnsi="PT Astra Serif"/>
          <w:i/>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ab/>
        <w:t xml:space="preserve">Продолжение реа</w:t>
      </w:r>
      <w:r>
        <w:rPr>
          <w:rFonts w:ascii="PT Astra Serif" w:hAnsi="PT Astra Serif"/>
          <w:sz w:val="24"/>
          <w:szCs w:val="24"/>
        </w:rPr>
        <w:t xml:space="preserve">лизации программы коммуникационных мероприятий по повышению уровня информированности иностранных граждан о медицинских услугах, оказываемых на территории Томской области, с учетом мероприятий, указанных в федеральной Программе коммуникационных мероприятий.</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i/>
          <w:sz w:val="24"/>
          <w:szCs w:val="24"/>
        </w:rPr>
        <w:t xml:space="preserve">Региональный проект «Модернизация первичного звена здравоохранения Российской Федерации»:</w:t>
      </w:r>
      <w:r>
        <w:rPr>
          <w:rFonts w:ascii="PT Astra Serif" w:hAnsi="PT Astra Serif"/>
          <w:i/>
          <w:sz w:val="24"/>
          <w:szCs w:val="24"/>
        </w:rPr>
      </w:r>
      <w:r>
        <w:rPr>
          <w:rFonts w:ascii="PT Astra Serif" w:hAnsi="PT Astra Serif"/>
          <w:i/>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ab/>
        <w:t xml:space="preserve">Проведение капитального ремонта зданий 2 медицинских организаций и их обособленных структурных подразделений.</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ab/>
        <w:t xml:space="preserve">Приобретение 27 автомобилей.</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3.</w:t>
      </w:r>
      <w:r>
        <w:rPr>
          <w:rFonts w:ascii="PT Astra Serif" w:hAnsi="PT Astra Serif"/>
          <w:sz w:val="24"/>
          <w:szCs w:val="24"/>
        </w:rPr>
        <w:tab/>
        <w:t xml:space="preserve">Завершение строительства поликлиники на 400 посещений в смену (мкр. Южные ворота) ОГБУЗ «Лоскутовская районная поликлиника».</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4.</w:t>
      </w:r>
      <w:r>
        <w:rPr>
          <w:rFonts w:ascii="PT Astra Serif" w:hAnsi="PT Astra Serif"/>
          <w:sz w:val="24"/>
          <w:szCs w:val="24"/>
        </w:rPr>
        <w:tab/>
        <w:t xml:space="preserve">Начало строительства поликлиники на 306 посещений в смену (мкр. Восточный).</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spacing w:after="0" w:line="240" w:lineRule="auto"/>
        <w:rPr>
          <w:rFonts w:ascii="PT Astra Serif" w:hAnsi="PT Astra Serif"/>
          <w:b/>
          <w:sz w:val="24"/>
          <w:szCs w:val="24"/>
        </w:rPr>
      </w:pPr>
      <w:r>
        <w:rPr>
          <w:rFonts w:ascii="PT Astra Serif" w:hAnsi="PT Astra Serif"/>
          <w:b/>
          <w:sz w:val="24"/>
          <w:szCs w:val="24"/>
        </w:rPr>
        <w:t xml:space="preserve">Национальный проект «Образование»</w:t>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На достижение цели национального проекта в Томской области в 2023 году были направлены 8 региональных проектов. Фактический объем фина</w:t>
      </w:r>
      <w:r>
        <w:rPr>
          <w:rFonts w:ascii="PT Astra Serif" w:hAnsi="PT Astra Serif"/>
          <w:sz w:val="24"/>
          <w:szCs w:val="24"/>
        </w:rPr>
        <w:t xml:space="preserve">нсирования составил 1 039,8 млн</w:t>
      </w:r>
      <w:r>
        <w:rPr>
          <w:rFonts w:ascii="PT Astra Serif" w:hAnsi="PT Astra Serif"/>
          <w:sz w:val="24"/>
          <w:szCs w:val="24"/>
        </w:rPr>
        <w:t xml:space="preserve"> рублей.</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993" w:leader="none"/>
        </w:tabs>
        <w:rPr>
          <w:rFonts w:ascii="PT Astra Serif" w:hAnsi="PT Astra Serif"/>
          <w:b/>
          <w:sz w:val="24"/>
          <w:szCs w:val="24"/>
        </w:rPr>
      </w:pPr>
      <w:r>
        <w:rPr>
          <w:rFonts w:ascii="PT Astra Serif" w:hAnsi="PT Astra Serif"/>
          <w:b/>
          <w:sz w:val="24"/>
          <w:szCs w:val="24"/>
        </w:rPr>
        <w:t xml:space="preserve">Итоги 2023 года:</w:t>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рамках </w:t>
      </w:r>
      <w:r>
        <w:rPr>
          <w:rFonts w:ascii="PT Astra Serif" w:hAnsi="PT Astra Serif" w:eastAsia="Times New Roman"/>
          <w:i/>
          <w:sz w:val="24"/>
          <w:szCs w:val="24"/>
          <w:lang w:eastAsia="ru-RU"/>
        </w:rPr>
        <w:t xml:space="preserve">регионального проекта «Современная школа»</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numPr>
          <w:ilvl w:val="0"/>
          <w:numId w:val="56"/>
        </w:numPr>
        <w:ind w:left="0" w:firstLine="709"/>
        <w:jc w:val="both"/>
        <w:spacing w:after="0" w:line="240" w:lineRule="auto"/>
        <w:tabs>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завершено строительство школы на 1100 мест по ул. Д. Бедного в г. Томске, с 01.09.2023 осуществляется образовательная деятельность;</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numPr>
          <w:ilvl w:val="0"/>
          <w:numId w:val="55"/>
        </w:numPr>
        <w:ind w:left="0" w:firstLine="709"/>
        <w:jc w:val="both"/>
        <w:spacing w:after="0" w:line="240" w:lineRule="auto"/>
        <w:tabs>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создано 17 центров образования естественно-научной и технологической направленностей;</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numPr>
          <w:ilvl w:val="0"/>
          <w:numId w:val="55"/>
        </w:numPr>
        <w:ind w:left="0" w:firstLine="709"/>
        <w:jc w:val="both"/>
        <w:spacing w:after="0" w:line="240" w:lineRule="auto"/>
        <w:tabs>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ведется строительство</w:t>
      </w:r>
      <w:r>
        <w:rPr>
          <w:rFonts w:ascii="PT Astra Serif" w:hAnsi="PT Astra Serif"/>
          <w:sz w:val="24"/>
          <w:szCs w:val="24"/>
        </w:rPr>
        <w:t xml:space="preserve"> </w:t>
      </w:r>
      <w:r>
        <w:rPr>
          <w:rFonts w:ascii="PT Astra Serif" w:hAnsi="PT Astra Serif" w:eastAsia="Times New Roman"/>
          <w:sz w:val="24"/>
          <w:szCs w:val="24"/>
          <w:lang w:eastAsia="ru-RU"/>
        </w:rPr>
        <w:t xml:space="preserve">МБОУ «Саровская СОШ» на 110 мест в п. Большая Саровка</w:t>
      </w:r>
      <w:r>
        <w:rPr>
          <w:rFonts w:ascii="PT Astra Serif" w:hAnsi="PT Astra Serif"/>
          <w:sz w:val="24"/>
          <w:szCs w:val="24"/>
        </w:rPr>
        <w:t xml:space="preserve"> </w:t>
      </w:r>
      <w:r>
        <w:rPr>
          <w:rFonts w:ascii="PT Astra Serif" w:hAnsi="PT Astra Serif" w:eastAsia="Times New Roman"/>
          <w:sz w:val="24"/>
          <w:szCs w:val="24"/>
          <w:lang w:eastAsia="ru-RU"/>
        </w:rPr>
        <w:t xml:space="preserve">Колпашевского района, техническая готовность – 52%;</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numPr>
          <w:ilvl w:val="0"/>
          <w:numId w:val="55"/>
        </w:numPr>
        <w:ind w:left="0" w:firstLine="709"/>
        <w:jc w:val="both"/>
        <w:spacing w:after="0" w:line="240" w:lineRule="auto"/>
        <w:tabs>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ведется строительство  школы на 1100 мест по ул. В. Высоцкого, 14</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в г. Томске, техническая готовность – 12%;</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numPr>
          <w:ilvl w:val="0"/>
          <w:numId w:val="55"/>
        </w:numPr>
        <w:ind w:left="0" w:firstLine="709"/>
        <w:jc w:val="both"/>
        <w:spacing w:after="0" w:line="240" w:lineRule="auto"/>
        <w:tabs>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обновлен</w:t>
      </w:r>
      <w:r>
        <w:rPr>
          <w:rFonts w:ascii="PT Astra Serif" w:hAnsi="PT Astra Serif" w:eastAsia="Times New Roman"/>
          <w:sz w:val="24"/>
          <w:szCs w:val="24"/>
          <w:lang w:eastAsia="ru-RU"/>
        </w:rPr>
        <w:t xml:space="preserve">а материально-техническая база в 3 общеобразовательных организациях, осуществляющих образовательную деятельность исключительно по адаптированным общеобразовательным программам, в рамках проекта «Доброшкола»: МБОУ ООШ для учащихся с ограниченными возможност</w:t>
      </w:r>
      <w:r>
        <w:rPr>
          <w:rFonts w:ascii="PT Astra Serif" w:hAnsi="PT Astra Serif" w:eastAsia="Times New Roman"/>
          <w:sz w:val="24"/>
          <w:szCs w:val="24"/>
          <w:lang w:eastAsia="ru-RU"/>
        </w:rPr>
        <w:t xml:space="preserve">ями здоровья № 45 г. Томска, МКОУ «Крыловская ОШИ для обучающихся, воспитанников с ограниченными возможностями здоровья» (Бакчарский район), ОГБОУ «Школа-интернат для обучающихся, нуждающихся в психолого-педагогической и медико-социальной помощи» (г. Томск</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numPr>
          <w:ilvl w:val="0"/>
          <w:numId w:val="55"/>
        </w:numPr>
        <w:ind w:left="0" w:firstLine="709"/>
        <w:jc w:val="both"/>
        <w:spacing w:after="0" w:line="240" w:lineRule="auto"/>
        <w:tabs>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рамках реализации  федеральной программы «Земский учитель» привлечено 14 педагогов для работы в сельской местности либо малые города на территории Томской области.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0" w:leader="none"/>
        </w:tabs>
        <w:rPr>
          <w:rFonts w:ascii="PT Astra Serif" w:hAnsi="PT Astra Serif" w:eastAsia="Times New Roman"/>
          <w:i/>
          <w:sz w:val="24"/>
          <w:szCs w:val="24"/>
          <w:lang w:eastAsia="ru-RU"/>
        </w:rPr>
      </w:pPr>
      <w:r>
        <w:rPr>
          <w:rFonts w:ascii="PT Astra Serif" w:hAnsi="PT Astra Serif" w:eastAsia="Times New Roman"/>
          <w:sz w:val="24"/>
          <w:szCs w:val="24"/>
          <w:lang w:eastAsia="ru-RU"/>
        </w:rPr>
        <w:t xml:space="preserve">В рамках </w:t>
      </w:r>
      <w:r>
        <w:rPr>
          <w:rFonts w:ascii="PT Astra Serif" w:hAnsi="PT Astra Serif" w:eastAsia="Times New Roman"/>
          <w:i/>
          <w:sz w:val="24"/>
          <w:szCs w:val="24"/>
          <w:lang w:eastAsia="ru-RU"/>
        </w:rPr>
        <w:t xml:space="preserve">регионального проекта «Успех каждого ребенка»:</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pStyle w:val="1152"/>
        <w:numPr>
          <w:ilvl w:val="0"/>
          <w:numId w:val="55"/>
        </w:numPr>
        <w:ind w:left="0" w:firstLine="709"/>
        <w:jc w:val="both"/>
        <w:spacing w:after="0" w:line="240" w:lineRule="auto"/>
        <w:tabs>
          <w:tab w:val="left" w:pos="0" w:leader="none"/>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открылся и ведет образовательную деятельность ОГАОУ «Томский региональный центр развития талантов «Пульсар»;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numPr>
          <w:ilvl w:val="0"/>
          <w:numId w:val="55"/>
        </w:numPr>
        <w:ind w:left="0" w:firstLine="709"/>
        <w:jc w:val="both"/>
        <w:spacing w:after="0" w:line="240" w:lineRule="auto"/>
        <w:tabs>
          <w:tab w:val="left" w:pos="0" w:leader="none"/>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реализованы мероприятия по внедрению целевой модели развития дополнительного образования детей. Охват детей деятельностью региональных центров выявления, поддержки и развития способностей и талантов у детей и молодежи, технопарков «Кванториу</w:t>
      </w:r>
      <w:r>
        <w:rPr>
          <w:rFonts w:ascii="PT Astra Serif" w:hAnsi="PT Astra Serif" w:eastAsia="Times New Roman"/>
          <w:sz w:val="24"/>
          <w:szCs w:val="24"/>
          <w:lang w:eastAsia="ru-RU"/>
        </w:rPr>
        <w:t xml:space="preserve">м» и центров «IТ-куб»</w:t>
      </w:r>
      <w:r>
        <w:rPr>
          <w:rFonts w:ascii="PT Astra Serif" w:hAnsi="PT Astra Serif" w:eastAsia="Times New Roman"/>
          <w:sz w:val="24"/>
          <w:szCs w:val="24"/>
          <w:lang w:eastAsia="ru-RU"/>
        </w:rPr>
        <w:t xml:space="preserve"> составляет 13,23% (план – 11,09%), охваченных дополнительным образованием. Общий охват обучающихся Томской области по программам дополнительного образования составил 79,7% (план – 79,3%);</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numPr>
          <w:ilvl w:val="0"/>
          <w:numId w:val="55"/>
        </w:numPr>
        <w:ind w:left="0" w:firstLine="709"/>
        <w:jc w:val="both"/>
        <w:spacing w:after="0" w:line="240" w:lineRule="auto"/>
        <w:tabs>
          <w:tab w:val="left" w:pos="0" w:leader="none"/>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реализованы мероприятия по информационно-методическому сопровождению кружкового движения </w:t>
      </w:r>
      <w:r>
        <w:rPr>
          <w:rFonts w:ascii="PT Astra Serif" w:hAnsi="PT Astra Serif" w:eastAsia="Times New Roman"/>
          <w:sz w:val="24"/>
          <w:szCs w:val="24"/>
          <w:lang w:eastAsia="ru-RU"/>
        </w:rPr>
        <w:t xml:space="preserve">и организации проведения Олимпиады Национальной технологической инициативы (Олимпиады НТИ). Общий охват обучающихся мероприятиями по развитию научно-технического творчества и естественнонаучного направления составил 47,3% от общего количества обучающихся 5</w:t>
      </w:r>
      <w:r>
        <w:rPr>
          <w:rFonts w:ascii="PT Astra Serif" w:hAnsi="PT Astra Serif" w:cstheme="minorBidi"/>
          <w:sz w:val="24"/>
          <w:szCs w:val="24"/>
        </w:rPr>
        <w:t xml:space="preserve">–</w:t>
      </w:r>
      <w:r>
        <w:rPr>
          <w:rFonts w:ascii="PT Astra Serif" w:hAnsi="PT Astra Serif" w:eastAsia="Times New Roman"/>
          <w:sz w:val="24"/>
          <w:szCs w:val="24"/>
          <w:lang w:eastAsia="ru-RU"/>
        </w:rPr>
        <w:t xml:space="preserve">11</w:t>
      </w:r>
      <w:r>
        <w:rPr>
          <w:rFonts w:ascii="PT Astra Serif" w:hAnsi="PT Astra Serif" w:eastAsia="Times New Roman"/>
          <w:sz w:val="24"/>
          <w:szCs w:val="24"/>
          <w:lang w:eastAsia="ru-RU"/>
        </w:rPr>
        <w:t xml:space="preserve">-х</w:t>
      </w:r>
      <w:r>
        <w:rPr>
          <w:rFonts w:ascii="PT Astra Serif" w:hAnsi="PT Astra Serif" w:eastAsia="Times New Roman"/>
          <w:sz w:val="24"/>
          <w:szCs w:val="24"/>
          <w:lang w:eastAsia="ru-RU"/>
        </w:rPr>
        <w:t xml:space="preserve"> классов (план - 30,0%);</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numPr>
          <w:ilvl w:val="0"/>
          <w:numId w:val="55"/>
        </w:numPr>
        <w:ind w:left="0" w:firstLine="709"/>
        <w:jc w:val="both"/>
        <w:spacing w:after="0" w:line="240" w:lineRule="auto"/>
        <w:tabs>
          <w:tab w:val="left" w:pos="0" w:leader="none"/>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проведен капитальный ремонт спортзала МБОУ «Тогурская СОШ» Колпашевского района. Образовательная деятельность ведется (план – 1 единица).</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993" w:leader="none"/>
        </w:tabs>
        <w:rPr>
          <w:rFonts w:ascii="PT Astra Serif" w:hAnsi="PT Astra Serif" w:eastAsia="Times New Roman"/>
          <w:i/>
          <w:sz w:val="24"/>
          <w:szCs w:val="24"/>
          <w:lang w:eastAsia="ru-RU"/>
        </w:rPr>
      </w:pPr>
      <w:r>
        <w:rPr>
          <w:rFonts w:ascii="PT Astra Serif" w:hAnsi="PT Astra Serif" w:eastAsia="Times New Roman"/>
          <w:i/>
          <w:sz w:val="24"/>
          <w:szCs w:val="24"/>
          <w:lang w:eastAsia="ru-RU"/>
        </w:rPr>
        <w:t xml:space="preserve">В рамках регионального проекта «Цифровая образовательная среда»:</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pStyle w:val="1152"/>
        <w:numPr>
          <w:ilvl w:val="0"/>
          <w:numId w:val="55"/>
        </w:numPr>
        <w:ind w:left="0" w:firstLine="709"/>
        <w:jc w:val="both"/>
        <w:spacing w:after="0" w:line="240" w:lineRule="auto"/>
        <w:tabs>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обновлена материально-технической база 36 образовательных организаций для внедрения цифровой образовательной среды;</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numPr>
          <w:ilvl w:val="0"/>
          <w:numId w:val="55"/>
        </w:numPr>
        <w:ind w:left="0" w:firstLine="709"/>
        <w:jc w:val="both"/>
        <w:spacing w:after="0" w:line="240" w:lineRule="auto"/>
        <w:tabs>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1 570 педагогов прошли обучение по повышению квалификации по теме «Развитие современных педагогических компетенций».</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ind w:left="0" w:firstLine="709"/>
        <w:jc w:val="both"/>
        <w:spacing w:after="0" w:line="240" w:lineRule="auto"/>
        <w:tabs>
          <w:tab w:val="left" w:pos="993" w:leader="none"/>
        </w:tabs>
        <w:rPr>
          <w:rFonts w:ascii="PT Astra Serif" w:hAnsi="PT Astra Serif" w:eastAsia="Times New Roman"/>
          <w:i/>
          <w:sz w:val="24"/>
          <w:szCs w:val="24"/>
          <w:lang w:eastAsia="ru-RU"/>
        </w:rPr>
      </w:pPr>
      <w:r>
        <w:rPr>
          <w:rFonts w:ascii="PT Astra Serif" w:hAnsi="PT Astra Serif" w:eastAsia="Times New Roman"/>
          <w:i/>
          <w:sz w:val="24"/>
          <w:szCs w:val="24"/>
          <w:lang w:eastAsia="ru-RU"/>
        </w:rPr>
        <w:t xml:space="preserve">В рамках регионального проекта «Молодые профессионалы (Повышение конкурентоспособности профессионального образования)»:</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ind w:firstLine="709"/>
        <w:jc w:val="both"/>
        <w:spacing w:after="0" w:line="240" w:lineRule="auto"/>
        <w:tabs>
          <w:tab w:val="left" w:pos="993" w:leader="none"/>
        </w:tabs>
        <w:rPr>
          <w:rFonts w:ascii="PT Astra Serif" w:hAnsi="PT Astra Serif" w:eastAsia="Times New Roman"/>
          <w:sz w:val="24"/>
          <w:szCs w:val="24"/>
          <w:lang w:eastAsia="ru-RU"/>
        </w:rPr>
      </w:pPr>
      <w:r>
        <w:rPr>
          <w:rFonts w:eastAsia="Times New Roman"/>
          <w:sz w:val="24"/>
          <w:szCs w:val="24"/>
          <w:lang w:eastAsia="ru-RU"/>
        </w:rPr>
        <w:t xml:space="preserve">‒</w:t>
      </w:r>
      <w:r>
        <w:rPr>
          <w:rFonts w:ascii="PT Astra Serif" w:hAnsi="PT Astra Serif" w:eastAsia="Times New Roman"/>
          <w:sz w:val="24"/>
          <w:szCs w:val="24"/>
          <w:lang w:eastAsia="ru-RU"/>
        </w:rPr>
        <w:tab/>
        <w:t xml:space="preserve">44 человека прошли обучени</w:t>
      </w:r>
      <w:r>
        <w:rPr>
          <w:rFonts w:ascii="PT Astra Serif" w:hAnsi="PT Astra Serif" w:eastAsia="Times New Roman"/>
          <w:sz w:val="24"/>
          <w:szCs w:val="24"/>
          <w:lang w:eastAsia="ru-RU"/>
        </w:rPr>
        <w:t xml:space="preserve">е по программе повышения квалификации «Обучение педагогических работников практическим навыкам работы на оборудовании в современных мастерских в соответствии с профилем реализуемой основной образовательной программы среднего профессионального образования»;</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993" w:leader="none"/>
        </w:tabs>
        <w:rPr>
          <w:rFonts w:ascii="PT Astra Serif" w:hAnsi="PT Astra Serif" w:eastAsia="Times New Roman"/>
          <w:sz w:val="24"/>
          <w:szCs w:val="24"/>
          <w:lang w:eastAsia="ru-RU"/>
        </w:rPr>
      </w:pPr>
      <w:r>
        <w:rPr>
          <w:rFonts w:eastAsia="Times New Roman"/>
          <w:sz w:val="24"/>
          <w:szCs w:val="24"/>
          <w:lang w:eastAsia="ru-RU"/>
        </w:rPr>
        <w:t xml:space="preserve">‒</w:t>
      </w:r>
      <w:r>
        <w:rPr>
          <w:rFonts w:ascii="PT Astra Serif" w:hAnsi="PT Astra Serif" w:eastAsia="Times New Roman"/>
          <w:sz w:val="24"/>
          <w:szCs w:val="24"/>
          <w:lang w:eastAsia="ru-RU"/>
        </w:rPr>
        <w:tab/>
        <w:t xml:space="preserve">общий охват обучающихся профессиональных образовательных организаций Томской области очной формы обучения всеми формами наставничества составляет </w:t>
      </w:r>
      <w:r>
        <w:rPr>
          <w:rFonts w:ascii="PT Astra Serif" w:hAnsi="PT Astra Serif" w:eastAsia="Times New Roman"/>
          <w:sz w:val="24"/>
          <w:szCs w:val="24"/>
          <w:lang w:eastAsia="ru-RU"/>
        </w:rPr>
        <w:t xml:space="preserve">17 </w:t>
      </w:r>
      <w:r>
        <w:rPr>
          <w:rFonts w:ascii="PT Astra Serif" w:hAnsi="PT Astra Serif" w:eastAsia="Times New Roman"/>
          <w:sz w:val="24"/>
          <w:szCs w:val="24"/>
          <w:lang w:eastAsia="ru-RU"/>
        </w:rPr>
        <w:t xml:space="preserve">719 человек или 94% (план – 60%).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993" w:leader="none"/>
        </w:tabs>
        <w:rPr>
          <w:rFonts w:ascii="PT Astra Serif" w:hAnsi="PT Astra Serif" w:eastAsia="Times New Roman"/>
          <w:i/>
          <w:sz w:val="24"/>
          <w:szCs w:val="24"/>
          <w:lang w:eastAsia="ru-RU"/>
        </w:rPr>
      </w:pPr>
      <w:r>
        <w:rPr>
          <w:rFonts w:ascii="PT Astra Serif" w:hAnsi="PT Astra Serif" w:eastAsia="Times New Roman"/>
          <w:i/>
          <w:sz w:val="24"/>
          <w:szCs w:val="24"/>
          <w:lang w:eastAsia="ru-RU"/>
        </w:rPr>
        <w:t xml:space="preserve">В рамках регионального проекта «Социальные лифты для каждого»:</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ind w:firstLine="709"/>
        <w:jc w:val="both"/>
        <w:spacing w:after="0" w:line="240" w:lineRule="auto"/>
        <w:tabs>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проведение профессиональных конкурсов в целях предоставления возможностей</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для профессионального и карьерного роста с охватом </w:t>
      </w:r>
      <w:r>
        <w:rPr>
          <w:rFonts w:ascii="PT Astra Serif" w:hAnsi="PT Astra Serif" w:eastAsia="Times New Roman"/>
          <w:sz w:val="24"/>
          <w:szCs w:val="24"/>
          <w:lang w:eastAsia="ru-RU"/>
        </w:rPr>
        <w:t xml:space="preserve">15 530 тыс. граждан</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993" w:leader="none"/>
        </w:tabs>
        <w:rPr>
          <w:rFonts w:ascii="PT Astra Serif" w:hAnsi="PT Astra Serif" w:eastAsia="Times New Roman"/>
          <w:i/>
          <w:sz w:val="24"/>
          <w:szCs w:val="24"/>
          <w:lang w:eastAsia="ru-RU"/>
        </w:rPr>
      </w:pPr>
      <w:r>
        <w:rPr>
          <w:rFonts w:ascii="PT Astra Serif" w:hAnsi="PT Astra Serif" w:eastAsia="Times New Roman"/>
          <w:i/>
          <w:sz w:val="24"/>
          <w:szCs w:val="24"/>
          <w:lang w:eastAsia="ru-RU"/>
        </w:rPr>
        <w:t xml:space="preserve">В рамках регионального проекта «Социальная активность»:</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pStyle w:val="1152"/>
        <w:numPr>
          <w:ilvl w:val="0"/>
          <w:numId w:val="55"/>
        </w:numPr>
        <w:ind w:left="142" w:firstLine="709"/>
        <w:jc w:val="both"/>
        <w:spacing w:after="0" w:line="240" w:lineRule="auto"/>
        <w:tabs>
          <w:tab w:val="left" w:pos="0" w:leader="none"/>
          <w:tab w:val="left" w:pos="284" w:leader="none"/>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на базе Ресурсного центра развития добровольчества Томской области организована и продолжена работа </w:t>
      </w:r>
      <w:r>
        <w:rPr>
          <w:rFonts w:ascii="PT Astra Serif" w:hAnsi="PT Astra Serif" w:eastAsia="Times New Roman"/>
          <w:sz w:val="24"/>
          <w:szCs w:val="24"/>
          <w:lang w:eastAsia="ru-RU"/>
        </w:rPr>
        <w:t xml:space="preserve">г</w:t>
      </w:r>
      <w:r>
        <w:rPr>
          <w:rFonts w:ascii="PT Astra Serif" w:hAnsi="PT Astra Serif" w:eastAsia="Times New Roman"/>
          <w:sz w:val="24"/>
          <w:szCs w:val="24"/>
          <w:lang w:eastAsia="ru-RU"/>
        </w:rPr>
        <w:t xml:space="preserve">орячей линии по оказанию помощи пожилым и маломобильным гражданам, а также участникам СВО и их семьям, принят</w:t>
      </w:r>
      <w:r>
        <w:rPr>
          <w:rFonts w:ascii="PT Astra Serif" w:hAnsi="PT Astra Serif" w:eastAsia="Times New Roman"/>
          <w:sz w:val="24"/>
          <w:szCs w:val="24"/>
          <w:lang w:eastAsia="ru-RU"/>
        </w:rPr>
        <w:t xml:space="preserve">а</w:t>
      </w:r>
      <w:r>
        <w:rPr>
          <w:rFonts w:ascii="PT Astra Serif" w:hAnsi="PT Astra Serif" w:eastAsia="Times New Roman"/>
          <w:sz w:val="24"/>
          <w:szCs w:val="24"/>
          <w:lang w:eastAsia="ru-RU"/>
        </w:rPr>
        <w:t xml:space="preserve"> 831 заявка;</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numPr>
          <w:ilvl w:val="0"/>
          <w:numId w:val="55"/>
        </w:numPr>
        <w:ind w:left="142" w:firstLine="709"/>
        <w:jc w:val="both"/>
        <w:spacing w:after="0" w:line="240" w:lineRule="auto"/>
        <w:tabs>
          <w:tab w:val="left" w:pos="0" w:leader="none"/>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количество добровольцев (в</w:t>
      </w:r>
      <w:r>
        <w:rPr>
          <w:rFonts w:ascii="PT Astra Serif" w:hAnsi="PT Astra Serif" w:eastAsia="Times New Roman"/>
          <w:sz w:val="24"/>
          <w:szCs w:val="24"/>
          <w:lang w:eastAsia="ru-RU"/>
        </w:rPr>
        <w:t xml:space="preserve">олонтеров) составило 60 154 человек</w:t>
      </w:r>
      <w:r>
        <w:rPr>
          <w:rFonts w:ascii="PT Astra Serif" w:hAnsi="PT Astra Serif" w:eastAsia="Times New Roman"/>
          <w:sz w:val="24"/>
          <w:szCs w:val="24"/>
          <w:lang w:eastAsia="ru-RU"/>
        </w:rPr>
        <w:t xml:space="preserve">а</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ind w:left="0" w:firstLine="709"/>
        <w:jc w:val="both"/>
        <w:spacing w:after="0" w:line="240" w:lineRule="auto"/>
        <w:tabs>
          <w:tab w:val="left" w:pos="0" w:leader="none"/>
          <w:tab w:val="left" w:pos="993" w:leader="none"/>
        </w:tabs>
        <w:rPr>
          <w:rFonts w:ascii="PT Astra Serif" w:hAnsi="PT Astra Serif" w:eastAsia="Times New Roman"/>
          <w:i/>
          <w:sz w:val="24"/>
          <w:szCs w:val="24"/>
          <w:lang w:eastAsia="ru-RU"/>
        </w:rPr>
      </w:pPr>
      <w:r>
        <w:rPr>
          <w:rFonts w:ascii="PT Astra Serif" w:hAnsi="PT Astra Serif" w:eastAsia="Times New Roman"/>
          <w:i/>
          <w:sz w:val="24"/>
          <w:szCs w:val="24"/>
          <w:lang w:eastAsia="ru-RU"/>
        </w:rPr>
        <w:t xml:space="preserve">В рамках регионального проекта «Патриотическое воспитание»:</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pStyle w:val="1152"/>
        <w:numPr>
          <w:ilvl w:val="0"/>
          <w:numId w:val="57"/>
        </w:numPr>
        <w:ind w:left="0" w:firstLine="709"/>
        <w:jc w:val="both"/>
        <w:spacing w:after="0" w:line="240" w:lineRule="auto"/>
        <w:tabs>
          <w:tab w:val="left" w:pos="0" w:leader="none"/>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30</w:t>
      </w:r>
      <w:r>
        <w:rPr>
          <w:rFonts w:ascii="PT Astra Serif" w:hAnsi="PT Astra Serif" w:eastAsia="Times New Roman"/>
          <w:sz w:val="24"/>
          <w:szCs w:val="24"/>
          <w:lang w:eastAsia="ru-RU"/>
        </w:rPr>
        <w:t xml:space="preserve">2</w:t>
      </w:r>
      <w:r>
        <w:rPr>
          <w:rFonts w:ascii="PT Astra Serif" w:hAnsi="PT Astra Serif" w:eastAsia="Times New Roman"/>
          <w:sz w:val="24"/>
          <w:szCs w:val="24"/>
          <w:lang w:eastAsia="ru-RU"/>
        </w:rPr>
        <w:t xml:space="preserve"> общеобразовательных организациях и 29 профессиональных образовательных организациях Томской области внедрены рабочие программы воспитания;</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numPr>
          <w:ilvl w:val="0"/>
          <w:numId w:val="57"/>
        </w:numPr>
        <w:ind w:left="0" w:firstLine="709"/>
        <w:jc w:val="both"/>
        <w:spacing w:after="0" w:line="240" w:lineRule="auto"/>
        <w:tabs>
          <w:tab w:val="left" w:pos="0" w:leader="none"/>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более 148 тыс. человек в возрасте до 35 лет приняли участие в мероприятиях и проектах патриотической направленности и более 8 тыс. человек приняли участие в мероприятиях и проектах,</w:t>
      </w:r>
      <w:r>
        <w:rPr>
          <w:rFonts w:ascii="PT Astra Serif" w:hAnsi="PT Astra Serif" w:eastAsia="Times New Roman"/>
          <w:sz w:val="24"/>
          <w:szCs w:val="24"/>
          <w:lang w:eastAsia="ru-RU"/>
        </w:rPr>
        <w:t xml:space="preserve"> направленных на гражданско</w:t>
      </w:r>
      <w:r>
        <w:rPr>
          <w:rFonts w:ascii="PT Astra Serif" w:hAnsi="PT Astra Serif" w:cstheme="minorBidi"/>
          <w:sz w:val="24"/>
          <w:szCs w:val="24"/>
        </w:rPr>
        <w:t xml:space="preserve">–</w:t>
      </w:r>
      <w:r>
        <w:rPr>
          <w:rFonts w:ascii="PT Astra Serif" w:hAnsi="PT Astra Serif" w:eastAsia="Times New Roman"/>
          <w:sz w:val="24"/>
          <w:szCs w:val="24"/>
          <w:lang w:eastAsia="ru-RU"/>
        </w:rPr>
        <w:t xml:space="preserve">патриотическое воспитание молодежи Томской области и развити</w:t>
      </w:r>
      <w:r>
        <w:rPr>
          <w:rFonts w:ascii="PT Astra Serif" w:hAnsi="PT Astra Serif" w:eastAsia="Times New Roman"/>
          <w:sz w:val="24"/>
          <w:szCs w:val="24"/>
          <w:lang w:eastAsia="ru-RU"/>
        </w:rPr>
        <w:t xml:space="preserve">е</w:t>
      </w:r>
      <w:r>
        <w:rPr>
          <w:rFonts w:ascii="PT Astra Serif" w:hAnsi="PT Astra Serif" w:eastAsia="Times New Roman"/>
          <w:sz w:val="24"/>
          <w:szCs w:val="24"/>
          <w:lang w:eastAsia="ru-RU"/>
        </w:rPr>
        <w:t xml:space="preserve"> системы межпоколенческого взаимодействия, обеспечени</w:t>
      </w:r>
      <w:r>
        <w:rPr>
          <w:rFonts w:ascii="PT Astra Serif" w:hAnsi="PT Astra Serif" w:eastAsia="Times New Roman"/>
          <w:sz w:val="24"/>
          <w:szCs w:val="24"/>
          <w:lang w:eastAsia="ru-RU"/>
        </w:rPr>
        <w:t xml:space="preserve">е</w:t>
      </w:r>
      <w:r>
        <w:rPr>
          <w:rFonts w:ascii="PT Astra Serif" w:hAnsi="PT Astra Serif" w:eastAsia="Times New Roman"/>
          <w:sz w:val="24"/>
          <w:szCs w:val="24"/>
          <w:lang w:eastAsia="ru-RU"/>
        </w:rPr>
        <w:t xml:space="preserve"> преемственности поколений.</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рамках </w:t>
      </w:r>
      <w:r>
        <w:rPr>
          <w:rFonts w:ascii="PT Astra Serif" w:hAnsi="PT Astra Serif" w:eastAsia="Times New Roman"/>
          <w:i/>
          <w:sz w:val="24"/>
          <w:szCs w:val="24"/>
          <w:lang w:eastAsia="ru-RU"/>
        </w:rPr>
        <w:t xml:space="preserve">регионального проекта «Развитие системы поддержки молодежи («Молодежь России»)»: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numPr>
          <w:ilvl w:val="3"/>
          <w:numId w:val="58"/>
        </w:numPr>
        <w:ind w:left="0" w:firstLine="709"/>
        <w:jc w:val="both"/>
        <w:spacing w:after="0" w:line="240" w:lineRule="auto"/>
        <w:tabs>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18 человек приняли участие в форуме молодых деятелей культуры и искусства «Таврида».</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284" w:leader="none"/>
          <w:tab w:val="left" w:pos="993" w:leader="none"/>
          <w:tab w:val="left" w:pos="1134" w:leader="none"/>
        </w:tabs>
        <w:rPr>
          <w:rFonts w:ascii="PT Astra Serif" w:hAnsi="PT Astra Serif"/>
          <w:b/>
          <w:sz w:val="24"/>
          <w:szCs w:val="24"/>
        </w:rPr>
      </w:pPr>
      <w:r>
        <w:rPr>
          <w:rFonts w:ascii="PT Astra Serif" w:hAnsi="PT Astra Serif"/>
          <w:b/>
          <w:sz w:val="24"/>
          <w:szCs w:val="24"/>
        </w:rPr>
        <w:t xml:space="preserve">Перспективные задачи на 2024 год:</w:t>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284" w:leader="none"/>
          <w:tab w:val="left" w:pos="993" w:leader="none"/>
          <w:tab w:val="left" w:pos="1134" w:leader="none"/>
        </w:tabs>
        <w:rPr>
          <w:rFonts w:ascii="PT Astra Serif" w:hAnsi="PT Astra Serif"/>
          <w:i/>
          <w:sz w:val="24"/>
          <w:szCs w:val="24"/>
        </w:rPr>
      </w:pPr>
      <w:r>
        <w:rPr>
          <w:rFonts w:ascii="PT Astra Serif" w:hAnsi="PT Astra Serif"/>
          <w:i/>
          <w:sz w:val="24"/>
          <w:szCs w:val="24"/>
        </w:rPr>
        <w:t xml:space="preserve">Региональный проект «Современная школа»:</w:t>
      </w:r>
      <w:r>
        <w:rPr>
          <w:rFonts w:ascii="PT Astra Serif" w:hAnsi="PT Astra Serif"/>
          <w:i/>
          <w:sz w:val="24"/>
          <w:szCs w:val="24"/>
        </w:rPr>
      </w:r>
      <w:r>
        <w:rPr>
          <w:rFonts w:ascii="PT Astra Serif" w:hAnsi="PT Astra Serif"/>
          <w:i/>
          <w:sz w:val="24"/>
          <w:szCs w:val="24"/>
        </w:rPr>
      </w:r>
    </w:p>
    <w:p>
      <w:pPr>
        <w:numPr>
          <w:ilvl w:val="3"/>
          <w:numId w:val="15"/>
        </w:numPr>
        <w:contextualSpacing/>
        <w:ind w:left="0" w:firstLine="709"/>
        <w:jc w:val="both"/>
        <w:spacing w:after="0" w:line="240" w:lineRule="auto"/>
        <w:tabs>
          <w:tab w:val="left" w:pos="284" w:leader="none"/>
          <w:tab w:val="left" w:pos="567" w:leader="none"/>
          <w:tab w:val="left" w:pos="993" w:leader="none"/>
          <w:tab w:val="left" w:pos="1134" w:leader="none"/>
        </w:tabs>
        <w:rPr>
          <w:rFonts w:ascii="PT Astra Serif" w:hAnsi="PT Astra Serif" w:eastAsia="Calibri"/>
          <w:sz w:val="24"/>
          <w:szCs w:val="24"/>
        </w:rPr>
      </w:pPr>
      <w:r>
        <w:rPr>
          <w:rFonts w:ascii="PT Astra Serif" w:hAnsi="PT Astra Serif" w:eastAsia="Calibri"/>
          <w:sz w:val="24"/>
          <w:szCs w:val="24"/>
        </w:rPr>
        <w:t xml:space="preserve">Открытие школы на 1100 мест по ул. В. Высоцкого, 14</w:t>
      </w:r>
      <w:r>
        <w:rPr>
          <w:rFonts w:ascii="PT Astra Serif" w:hAnsi="PT Astra Serif" w:eastAsia="Calibri"/>
          <w:sz w:val="24"/>
          <w:szCs w:val="24"/>
        </w:rPr>
        <w:t xml:space="preserve">,</w:t>
      </w:r>
      <w:r>
        <w:rPr>
          <w:rFonts w:ascii="PT Astra Serif" w:hAnsi="PT Astra Serif" w:eastAsia="Calibri"/>
          <w:sz w:val="24"/>
          <w:szCs w:val="24"/>
        </w:rPr>
        <w:t xml:space="preserve"> в г. Томске.</w:t>
      </w:r>
      <w:r>
        <w:rPr>
          <w:rFonts w:ascii="PT Astra Serif" w:hAnsi="PT Astra Serif" w:eastAsia="Calibri"/>
          <w:sz w:val="24"/>
          <w:szCs w:val="24"/>
        </w:rPr>
      </w:r>
      <w:r>
        <w:rPr>
          <w:rFonts w:ascii="PT Astra Serif" w:hAnsi="PT Astra Serif" w:eastAsia="Calibri"/>
          <w:sz w:val="24"/>
          <w:szCs w:val="24"/>
        </w:rPr>
      </w:r>
    </w:p>
    <w:p>
      <w:pPr>
        <w:numPr>
          <w:ilvl w:val="3"/>
          <w:numId w:val="15"/>
        </w:numPr>
        <w:contextualSpacing/>
        <w:ind w:left="0" w:firstLine="709"/>
        <w:jc w:val="both"/>
        <w:spacing w:after="0" w:line="240" w:lineRule="auto"/>
        <w:tabs>
          <w:tab w:val="left" w:pos="284" w:leader="none"/>
          <w:tab w:val="left" w:pos="567" w:leader="none"/>
          <w:tab w:val="left" w:pos="993" w:leader="none"/>
          <w:tab w:val="left" w:pos="1134" w:leader="none"/>
        </w:tabs>
        <w:rPr>
          <w:rFonts w:ascii="PT Astra Serif" w:hAnsi="PT Astra Serif" w:eastAsia="Calibri"/>
          <w:sz w:val="24"/>
          <w:szCs w:val="24"/>
        </w:rPr>
      </w:pPr>
      <w:r>
        <w:rPr>
          <w:rFonts w:ascii="PT Astra Serif" w:hAnsi="PT Astra Serif" w:eastAsia="Calibri"/>
          <w:sz w:val="24"/>
          <w:szCs w:val="24"/>
        </w:rPr>
        <w:t xml:space="preserve">На базе 2 общеобразовательных организаций планируется создать детские технопарки «Кванториум».</w:t>
      </w:r>
      <w:r>
        <w:rPr>
          <w:rFonts w:ascii="PT Astra Serif" w:hAnsi="PT Astra Serif" w:eastAsia="Calibri"/>
          <w:sz w:val="24"/>
          <w:szCs w:val="24"/>
        </w:rPr>
      </w:r>
      <w:r>
        <w:rPr>
          <w:rFonts w:ascii="PT Astra Serif" w:hAnsi="PT Astra Serif" w:eastAsia="Calibri"/>
          <w:sz w:val="24"/>
          <w:szCs w:val="24"/>
        </w:rPr>
      </w:r>
    </w:p>
    <w:p>
      <w:pPr>
        <w:numPr>
          <w:ilvl w:val="3"/>
          <w:numId w:val="15"/>
        </w:numPr>
        <w:contextualSpacing/>
        <w:ind w:left="0" w:firstLine="709"/>
        <w:jc w:val="both"/>
        <w:spacing w:after="0" w:line="240" w:lineRule="auto"/>
        <w:tabs>
          <w:tab w:val="left" w:pos="284" w:leader="none"/>
          <w:tab w:val="left" w:pos="567" w:leader="none"/>
          <w:tab w:val="left" w:pos="993" w:leader="none"/>
          <w:tab w:val="left" w:pos="1134" w:leader="none"/>
        </w:tabs>
        <w:rPr>
          <w:rFonts w:ascii="PT Astra Serif" w:hAnsi="PT Astra Serif" w:eastAsia="Calibri"/>
          <w:sz w:val="24"/>
          <w:szCs w:val="24"/>
        </w:rPr>
      </w:pPr>
      <w:r>
        <w:rPr>
          <w:rFonts w:ascii="PT Astra Serif" w:hAnsi="PT Astra Serif" w:eastAsia="Calibri"/>
          <w:sz w:val="24"/>
          <w:szCs w:val="24"/>
        </w:rPr>
        <w:t xml:space="preserve">Оказание  Центром психолого-педагогической, методической и консультативной помощи родителям (законным представителям) детей (план - 30 000 консультаций).</w:t>
      </w:r>
      <w:r>
        <w:rPr>
          <w:rFonts w:ascii="PT Astra Serif" w:hAnsi="PT Astra Serif" w:eastAsia="Calibri"/>
          <w:sz w:val="24"/>
          <w:szCs w:val="24"/>
        </w:rPr>
      </w:r>
      <w:r>
        <w:rPr>
          <w:rFonts w:ascii="PT Astra Serif" w:hAnsi="PT Astra Serif" w:eastAsia="Calibri"/>
          <w:sz w:val="24"/>
          <w:szCs w:val="24"/>
        </w:rPr>
      </w:r>
    </w:p>
    <w:p>
      <w:pPr>
        <w:numPr>
          <w:ilvl w:val="3"/>
          <w:numId w:val="15"/>
        </w:numPr>
        <w:contextualSpacing/>
        <w:ind w:left="0" w:firstLine="709"/>
        <w:jc w:val="both"/>
        <w:spacing w:after="0" w:line="240" w:lineRule="auto"/>
        <w:tabs>
          <w:tab w:val="left" w:pos="284" w:leader="none"/>
          <w:tab w:val="left" w:pos="567" w:leader="none"/>
          <w:tab w:val="left" w:pos="993" w:leader="none"/>
          <w:tab w:val="left" w:pos="1134" w:leader="none"/>
        </w:tabs>
        <w:rPr>
          <w:rFonts w:ascii="PT Astra Serif" w:hAnsi="PT Astra Serif" w:eastAsia="Calibri"/>
          <w:sz w:val="24"/>
          <w:szCs w:val="24"/>
        </w:rPr>
      </w:pPr>
      <w:r>
        <w:rPr>
          <w:rFonts w:ascii="PT Astra Serif" w:hAnsi="PT Astra Serif" w:eastAsia="Calibri"/>
          <w:sz w:val="24"/>
          <w:szCs w:val="24"/>
        </w:rPr>
        <w:t xml:space="preserve">Введение перечня вакантных до</w:t>
      </w:r>
      <w:r>
        <w:rPr>
          <w:rFonts w:ascii="PT Astra Serif" w:hAnsi="PT Astra Serif" w:eastAsia="Calibri"/>
          <w:sz w:val="24"/>
          <w:szCs w:val="24"/>
        </w:rPr>
        <w:t xml:space="preserve">лжностей педагогических работников в общеобразовательных организациях, при замещении которых осуществляются единовременные компенсационные выплаты учителям, прибывшим (переехавшим) на работу в сельские населенные пункты на территории Томской области (план </w:t>
      </w:r>
      <w:r>
        <w:rPr>
          <w:rFonts w:ascii="PT Astra Serif" w:hAnsi="PT Astra Serif" w:cstheme="minorBidi"/>
          <w:sz w:val="24"/>
          <w:szCs w:val="24"/>
        </w:rPr>
        <w:t xml:space="preserve">–</w:t>
      </w:r>
      <w:r>
        <w:rPr>
          <w:rFonts w:ascii="PT Astra Serif" w:hAnsi="PT Astra Serif" w:eastAsia="Calibri"/>
          <w:sz w:val="24"/>
          <w:szCs w:val="24"/>
        </w:rPr>
        <w:t xml:space="preserve"> 12 квот).</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284" w:leader="none"/>
          <w:tab w:val="left" w:pos="993" w:leader="none"/>
          <w:tab w:val="left" w:pos="1134" w:leader="none"/>
        </w:tabs>
        <w:rPr>
          <w:rFonts w:ascii="PT Astra Serif" w:hAnsi="PT Astra Serif"/>
          <w:i/>
          <w:sz w:val="24"/>
          <w:szCs w:val="24"/>
        </w:rPr>
      </w:pPr>
      <w:r>
        <w:rPr>
          <w:rFonts w:ascii="PT Astra Serif" w:hAnsi="PT Astra Serif"/>
          <w:i/>
          <w:sz w:val="24"/>
          <w:szCs w:val="24"/>
        </w:rPr>
        <w:t xml:space="preserve">Региональный проект «Успех каждого ребенка»:</w:t>
      </w:r>
      <w:r>
        <w:rPr>
          <w:rFonts w:ascii="PT Astra Serif" w:hAnsi="PT Astra Serif"/>
          <w:i/>
          <w:sz w:val="24"/>
          <w:szCs w:val="24"/>
        </w:rPr>
      </w:r>
      <w:r>
        <w:rPr>
          <w:rFonts w:ascii="PT Astra Serif" w:hAnsi="PT Astra Serif"/>
          <w:i/>
          <w:sz w:val="24"/>
          <w:szCs w:val="24"/>
        </w:rPr>
      </w:r>
    </w:p>
    <w:p>
      <w:pPr>
        <w:numPr>
          <w:ilvl w:val="0"/>
          <w:numId w:val="11"/>
        </w:numPr>
        <w:ind w:left="0" w:firstLine="709"/>
        <w:jc w:val="both"/>
        <w:spacing w:after="0" w:line="240" w:lineRule="auto"/>
        <w:tabs>
          <w:tab w:val="left" w:pos="284" w:leader="none"/>
          <w:tab w:val="left" w:pos="851" w:leader="none"/>
          <w:tab w:val="left" w:pos="993" w:leader="none"/>
          <w:tab w:val="left" w:pos="1134" w:leader="none"/>
          <w:tab w:val="left" w:pos="1418" w:leader="none"/>
        </w:tabs>
        <w:rPr>
          <w:rFonts w:ascii="PT Astra Serif" w:hAnsi="PT Astra Serif"/>
          <w:sz w:val="24"/>
          <w:szCs w:val="24"/>
        </w:rPr>
      </w:pPr>
      <w:r>
        <w:rPr>
          <w:rFonts w:ascii="PT Astra Serif" w:hAnsi="PT Astra Serif"/>
          <w:sz w:val="24"/>
          <w:szCs w:val="24"/>
        </w:rPr>
        <w:t xml:space="preserve">Оснащение (обновление материально-технической базы) оборудованием, средствами обучения и воспитания для реализации дополнительных общеразвивающих программ, для со</w:t>
      </w:r>
      <w:r>
        <w:rPr>
          <w:rFonts w:ascii="PT Astra Serif" w:hAnsi="PT Astra Serif"/>
          <w:sz w:val="24"/>
          <w:szCs w:val="24"/>
        </w:rPr>
        <w:t xml:space="preserve">здания информационных систем 41</w:t>
      </w:r>
      <w:r>
        <w:rPr>
          <w:rFonts w:ascii="PT Astra Serif" w:hAnsi="PT Astra Serif"/>
          <w:sz w:val="24"/>
          <w:szCs w:val="24"/>
        </w:rPr>
        <w:t xml:space="preserve"> образовательной организации. </w:t>
      </w:r>
      <w:r>
        <w:rPr>
          <w:rFonts w:ascii="PT Astra Serif" w:hAnsi="PT Astra Serif"/>
          <w:sz w:val="24"/>
          <w:szCs w:val="24"/>
        </w:rPr>
      </w:r>
      <w:r>
        <w:rPr>
          <w:rFonts w:ascii="PT Astra Serif" w:hAnsi="PT Astra Serif"/>
          <w:sz w:val="24"/>
          <w:szCs w:val="24"/>
        </w:rPr>
      </w:r>
    </w:p>
    <w:p>
      <w:pPr>
        <w:numPr>
          <w:ilvl w:val="0"/>
          <w:numId w:val="11"/>
        </w:numPr>
        <w:ind w:left="0" w:firstLine="709"/>
        <w:jc w:val="both"/>
        <w:spacing w:after="0" w:line="240" w:lineRule="auto"/>
        <w:tabs>
          <w:tab w:val="left" w:pos="0" w:leader="none"/>
          <w:tab w:val="left" w:pos="284" w:leader="none"/>
          <w:tab w:val="left" w:pos="851" w:leader="none"/>
          <w:tab w:val="left" w:pos="993" w:leader="none"/>
        </w:tabs>
        <w:rPr>
          <w:rFonts w:ascii="PT Astra Serif" w:hAnsi="PT Astra Serif"/>
          <w:sz w:val="24"/>
          <w:szCs w:val="24"/>
        </w:rPr>
      </w:pPr>
      <w:r>
        <w:rPr>
          <w:rFonts w:ascii="PT Astra Serif" w:hAnsi="PT Astra Serif"/>
          <w:sz w:val="24"/>
          <w:szCs w:val="24"/>
        </w:rPr>
        <w:t xml:space="preserve">Проведение мероприятий по профессиональной ориентации в рамках реализации проекта «Билет в будущее».</w:t>
      </w:r>
      <w:r>
        <w:rPr>
          <w:rFonts w:ascii="PT Astra Serif" w:hAnsi="PT Astra Serif"/>
          <w:sz w:val="24"/>
          <w:szCs w:val="24"/>
        </w:rPr>
      </w:r>
      <w:r>
        <w:rPr>
          <w:rFonts w:ascii="PT Astra Serif" w:hAnsi="PT Astra Serif"/>
          <w:sz w:val="24"/>
          <w:szCs w:val="24"/>
        </w:rPr>
      </w:r>
    </w:p>
    <w:p>
      <w:pPr>
        <w:numPr>
          <w:ilvl w:val="0"/>
          <w:numId w:val="11"/>
        </w:numPr>
        <w:ind w:left="0" w:firstLine="709"/>
        <w:jc w:val="both"/>
        <w:spacing w:after="0" w:line="240" w:lineRule="auto"/>
        <w:tabs>
          <w:tab w:val="left" w:pos="0" w:leader="none"/>
          <w:tab w:val="left" w:pos="284" w:leader="none"/>
          <w:tab w:val="left" w:pos="851" w:leader="none"/>
          <w:tab w:val="left" w:pos="993" w:leader="none"/>
        </w:tabs>
        <w:rPr>
          <w:rFonts w:ascii="PT Astra Serif" w:hAnsi="PT Astra Serif"/>
          <w:sz w:val="24"/>
          <w:szCs w:val="24"/>
        </w:rPr>
      </w:pPr>
      <w:r>
        <w:rPr>
          <w:rFonts w:ascii="PT Astra Serif" w:hAnsi="PT Astra Serif"/>
          <w:sz w:val="24"/>
          <w:szCs w:val="24"/>
        </w:rPr>
        <w:t xml:space="preserve">Проведение открытых онлайн-уроков, направленных на раннюю профориентацию и реализуемых с учетом опыта цикла открытых уроков «Проектория».</w:t>
      </w:r>
      <w:r>
        <w:rPr>
          <w:rFonts w:ascii="PT Astra Serif" w:hAnsi="PT Astra Serif"/>
          <w:sz w:val="24"/>
          <w:szCs w:val="24"/>
        </w:rPr>
      </w:r>
      <w:r>
        <w:rPr>
          <w:rFonts w:ascii="PT Astra Serif" w:hAnsi="PT Astra Serif"/>
          <w:sz w:val="24"/>
          <w:szCs w:val="24"/>
        </w:rPr>
      </w:r>
    </w:p>
    <w:p>
      <w:pPr>
        <w:numPr>
          <w:ilvl w:val="0"/>
          <w:numId w:val="11"/>
        </w:numPr>
        <w:ind w:left="0" w:firstLine="709"/>
        <w:jc w:val="both"/>
        <w:spacing w:after="0" w:line="240" w:lineRule="auto"/>
        <w:tabs>
          <w:tab w:val="left" w:pos="0" w:leader="none"/>
          <w:tab w:val="left" w:pos="284" w:leader="none"/>
          <w:tab w:val="left" w:pos="851" w:leader="none"/>
          <w:tab w:val="left" w:pos="993" w:leader="none"/>
        </w:tabs>
        <w:rPr>
          <w:rFonts w:ascii="PT Astra Serif" w:hAnsi="PT Astra Serif"/>
          <w:sz w:val="24"/>
          <w:szCs w:val="24"/>
        </w:rPr>
      </w:pPr>
      <w:r>
        <w:rPr>
          <w:rFonts w:ascii="PT Astra Serif" w:hAnsi="PT Astra Serif"/>
          <w:sz w:val="24"/>
          <w:szCs w:val="24"/>
        </w:rPr>
        <w:t xml:space="preserve">Проведение капитального ремонта спортивного зала МКОУ «Сосновская ООШ» Каргасокского района.</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284" w:leader="none"/>
          <w:tab w:val="left" w:pos="993" w:leader="none"/>
          <w:tab w:val="left" w:pos="1134" w:leader="none"/>
        </w:tabs>
        <w:rPr>
          <w:rFonts w:ascii="PT Astra Serif" w:hAnsi="PT Astra Serif"/>
          <w:sz w:val="24"/>
          <w:szCs w:val="24"/>
        </w:rPr>
      </w:pPr>
      <w:r>
        <w:rPr>
          <w:rFonts w:ascii="PT Astra Serif" w:hAnsi="PT Astra Serif"/>
          <w:i/>
          <w:sz w:val="24"/>
          <w:szCs w:val="24"/>
        </w:rPr>
        <w:t xml:space="preserve">Региональный проект «Цифровая образовательная среда»:</w:t>
      </w:r>
      <w:r>
        <w:rPr>
          <w:rFonts w:ascii="PT Astra Serif" w:hAnsi="PT Astra Serif"/>
          <w:sz w:val="24"/>
          <w:szCs w:val="24"/>
        </w:rPr>
      </w:r>
      <w:r>
        <w:rPr>
          <w:rFonts w:ascii="PT Astra Serif" w:hAnsi="PT Astra Serif"/>
          <w:sz w:val="24"/>
          <w:szCs w:val="24"/>
        </w:rPr>
      </w:r>
    </w:p>
    <w:p>
      <w:pPr>
        <w:numPr>
          <w:ilvl w:val="0"/>
          <w:numId w:val="12"/>
        </w:numPr>
        <w:contextualSpacing/>
        <w:ind w:left="0" w:firstLine="709"/>
        <w:jc w:val="both"/>
        <w:spacing w:after="0" w:line="240" w:lineRule="auto"/>
        <w:tabs>
          <w:tab w:val="left" w:pos="284" w:leader="none"/>
          <w:tab w:val="left" w:pos="851" w:leader="none"/>
          <w:tab w:val="left" w:pos="993" w:leader="none"/>
          <w:tab w:val="left" w:pos="1134" w:leader="none"/>
        </w:tabs>
        <w:rPr>
          <w:rFonts w:ascii="PT Astra Serif" w:hAnsi="PT Astra Serif"/>
          <w:sz w:val="24"/>
          <w:szCs w:val="24"/>
        </w:rPr>
      </w:pPr>
      <w:r>
        <w:rPr>
          <w:rFonts w:ascii="PT Astra Serif" w:hAnsi="PT Astra Serif"/>
          <w:sz w:val="24"/>
          <w:szCs w:val="24"/>
        </w:rPr>
        <w:t xml:space="preserve">Обновление материально-технической базы в 3 профессиональных образовательных организациях для внедрения цифровой образовательной среды.</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284" w:leader="none"/>
          <w:tab w:val="left" w:pos="993" w:leader="none"/>
          <w:tab w:val="left" w:pos="1134" w:leader="none"/>
        </w:tabs>
        <w:rPr>
          <w:rFonts w:ascii="PT Astra Serif" w:hAnsi="PT Astra Serif"/>
          <w:i/>
          <w:sz w:val="24"/>
          <w:szCs w:val="24"/>
        </w:rPr>
      </w:pPr>
      <w:r>
        <w:rPr>
          <w:rFonts w:ascii="PT Astra Serif" w:hAnsi="PT Astra Serif"/>
          <w:i/>
          <w:sz w:val="24"/>
          <w:szCs w:val="24"/>
        </w:rPr>
        <w:t xml:space="preserve">Региональный проект «Социальные лифты для каждого»:</w:t>
      </w:r>
      <w:r>
        <w:rPr>
          <w:rFonts w:ascii="PT Astra Serif" w:hAnsi="PT Astra Serif"/>
          <w:i/>
          <w:sz w:val="24"/>
          <w:szCs w:val="24"/>
        </w:rPr>
      </w:r>
      <w:r>
        <w:rPr>
          <w:rFonts w:ascii="PT Astra Serif" w:hAnsi="PT Astra Serif"/>
          <w:i/>
          <w:sz w:val="24"/>
          <w:szCs w:val="24"/>
        </w:rPr>
      </w:r>
    </w:p>
    <w:p>
      <w:pPr>
        <w:numPr>
          <w:ilvl w:val="0"/>
          <w:numId w:val="13"/>
        </w:numPr>
        <w:contextualSpacing/>
        <w:ind w:left="0" w:firstLine="709"/>
        <w:jc w:val="both"/>
        <w:spacing w:after="0" w:line="240" w:lineRule="auto"/>
        <w:tabs>
          <w:tab w:val="left" w:pos="284" w:leader="none"/>
          <w:tab w:val="left" w:pos="851" w:leader="none"/>
          <w:tab w:val="left" w:pos="993" w:leader="none"/>
          <w:tab w:val="left" w:pos="1134" w:leader="none"/>
        </w:tabs>
        <w:rPr>
          <w:rFonts w:ascii="PT Astra Serif" w:hAnsi="PT Astra Serif" w:eastAsia="Calibri"/>
          <w:sz w:val="24"/>
          <w:szCs w:val="24"/>
        </w:rPr>
      </w:pPr>
      <w:r>
        <w:rPr>
          <w:rFonts w:ascii="PT Astra Serif" w:hAnsi="PT Astra Serif" w:eastAsia="Calibri"/>
          <w:sz w:val="24"/>
          <w:szCs w:val="24"/>
        </w:rPr>
        <w:t xml:space="preserve">Проведение профессиональных конкурсов в целях предоставления возможностей для профессионального и карьерного роста с охватом 15 тыс. граждан.</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284" w:leader="none"/>
          <w:tab w:val="left" w:pos="993" w:leader="none"/>
          <w:tab w:val="left" w:pos="1134" w:leader="none"/>
        </w:tabs>
        <w:rPr>
          <w:rFonts w:ascii="PT Astra Serif" w:hAnsi="PT Astra Serif"/>
          <w:i/>
          <w:sz w:val="24"/>
          <w:szCs w:val="24"/>
        </w:rPr>
      </w:pPr>
      <w:r>
        <w:rPr>
          <w:rFonts w:ascii="PT Astra Serif" w:hAnsi="PT Astra Serif"/>
          <w:i/>
          <w:sz w:val="24"/>
          <w:szCs w:val="24"/>
        </w:rPr>
        <w:t xml:space="preserve">Региональный проект «Социальная активность»:</w:t>
      </w:r>
      <w:r>
        <w:rPr>
          <w:rFonts w:ascii="PT Astra Serif" w:hAnsi="PT Astra Serif"/>
          <w:i/>
          <w:sz w:val="24"/>
          <w:szCs w:val="24"/>
        </w:rPr>
      </w:r>
      <w:r>
        <w:rPr>
          <w:rFonts w:ascii="PT Astra Serif" w:hAnsi="PT Astra Serif"/>
          <w:i/>
          <w:sz w:val="24"/>
          <w:szCs w:val="24"/>
        </w:rPr>
      </w:r>
    </w:p>
    <w:p>
      <w:pPr>
        <w:numPr>
          <w:ilvl w:val="0"/>
          <w:numId w:val="14"/>
        </w:numPr>
        <w:contextualSpacing/>
        <w:ind w:left="0" w:firstLine="709"/>
        <w:jc w:val="both"/>
        <w:spacing w:after="0" w:line="240" w:lineRule="auto"/>
        <w:tabs>
          <w:tab w:val="left" w:pos="284" w:leader="none"/>
          <w:tab w:val="left" w:pos="851" w:leader="none"/>
          <w:tab w:val="left" w:pos="993" w:leader="none"/>
          <w:tab w:val="left" w:pos="1134" w:leader="none"/>
        </w:tabs>
        <w:rPr>
          <w:rFonts w:ascii="PT Astra Serif" w:hAnsi="PT Astra Serif" w:eastAsia="Calibri"/>
          <w:i/>
          <w:sz w:val="24"/>
          <w:szCs w:val="24"/>
        </w:rPr>
      </w:pPr>
      <w:r>
        <w:rPr>
          <w:rFonts w:ascii="PT Astra Serif" w:hAnsi="PT Astra Serif" w:eastAsia="Calibri"/>
          <w:sz w:val="24"/>
          <w:szCs w:val="24"/>
        </w:rPr>
        <w:t xml:space="preserve">Увеличение общей численности граждан, вовлеченных центрами поддержки добровольчества на базе образовательных организаций, некоммерческих организаций, государственных и муниципальных учреждений в добровольческую (волонтерскую) деятельность с 2020 года</w:t>
      </w:r>
      <w:r>
        <w:rPr>
          <w:rFonts w:ascii="PT Astra Serif" w:hAnsi="PT Astra Serif" w:eastAsia="Calibri"/>
          <w:sz w:val="24"/>
          <w:szCs w:val="24"/>
        </w:rPr>
        <w:t xml:space="preserve">,</w:t>
      </w:r>
      <w:r>
        <w:rPr>
          <w:rFonts w:ascii="PT Astra Serif" w:hAnsi="PT Astra Serif" w:eastAsia="Calibri"/>
          <w:sz w:val="24"/>
          <w:szCs w:val="24"/>
        </w:rPr>
        <w:t xml:space="preserve"> до 282 человек.</w:t>
      </w:r>
      <w:r>
        <w:rPr>
          <w:rFonts w:ascii="PT Astra Serif" w:hAnsi="PT Astra Serif" w:eastAsia="Calibri"/>
          <w:i/>
          <w:sz w:val="24"/>
          <w:szCs w:val="24"/>
        </w:rPr>
      </w:r>
      <w:r>
        <w:rPr>
          <w:rFonts w:ascii="PT Astra Serif" w:hAnsi="PT Astra Serif" w:eastAsia="Calibri"/>
          <w:i/>
          <w:sz w:val="24"/>
          <w:szCs w:val="24"/>
        </w:rPr>
      </w:r>
    </w:p>
    <w:p>
      <w:pPr>
        <w:ind w:firstLine="709"/>
        <w:jc w:val="both"/>
        <w:spacing w:after="0" w:line="240" w:lineRule="auto"/>
        <w:tabs>
          <w:tab w:val="left" w:pos="284" w:leader="none"/>
          <w:tab w:val="left" w:pos="993" w:leader="none"/>
          <w:tab w:val="left" w:pos="1134" w:leader="none"/>
        </w:tabs>
        <w:rPr>
          <w:rFonts w:ascii="PT Astra Serif" w:hAnsi="PT Astra Serif"/>
          <w:i/>
          <w:sz w:val="24"/>
          <w:szCs w:val="24"/>
        </w:rPr>
      </w:pPr>
      <w:r>
        <w:rPr>
          <w:rFonts w:ascii="PT Astra Serif" w:hAnsi="PT Astra Serif"/>
          <w:i/>
          <w:sz w:val="24"/>
          <w:szCs w:val="24"/>
        </w:rPr>
        <w:t xml:space="preserve">Региональный проект «Патриотическое воспитание»:</w:t>
      </w:r>
      <w:r>
        <w:rPr>
          <w:rFonts w:ascii="PT Astra Serif" w:hAnsi="PT Astra Serif"/>
          <w:i/>
          <w:sz w:val="24"/>
          <w:szCs w:val="24"/>
        </w:rPr>
      </w:r>
      <w:r>
        <w:rPr>
          <w:rFonts w:ascii="PT Astra Serif" w:hAnsi="PT Astra Serif"/>
          <w:i/>
          <w:sz w:val="24"/>
          <w:szCs w:val="24"/>
        </w:rPr>
      </w:r>
    </w:p>
    <w:p>
      <w:pPr>
        <w:numPr>
          <w:ilvl w:val="0"/>
          <w:numId w:val="16"/>
        </w:numPr>
        <w:contextualSpacing/>
        <w:ind w:left="0" w:firstLine="709"/>
        <w:jc w:val="both"/>
        <w:spacing w:after="0" w:line="240" w:lineRule="auto"/>
        <w:tabs>
          <w:tab w:val="left" w:pos="284" w:leader="none"/>
          <w:tab w:val="left" w:pos="993" w:leader="none"/>
          <w:tab w:val="left" w:pos="1134" w:leader="none"/>
        </w:tabs>
        <w:rPr>
          <w:rFonts w:ascii="PT Astra Serif" w:hAnsi="PT Astra Serif" w:eastAsia="Calibri"/>
          <w:sz w:val="24"/>
          <w:szCs w:val="24"/>
        </w:rPr>
      </w:pPr>
      <w:r>
        <w:rPr>
          <w:rFonts w:ascii="PT Astra Serif" w:hAnsi="PT Astra Serif" w:eastAsia="Calibri"/>
          <w:sz w:val="24"/>
          <w:szCs w:val="24"/>
        </w:rPr>
        <w:t xml:space="preserve">Обеспечение увеличения численности детей и молодежи в возрасте до 35 лет, вовлеченных в социально активную деятельность</w:t>
      </w:r>
      <w:r>
        <w:rPr>
          <w:rFonts w:ascii="PT Astra Serif" w:hAnsi="PT Astra Serif" w:eastAsia="Calibri"/>
          <w:sz w:val="24"/>
          <w:szCs w:val="24"/>
        </w:rPr>
        <w:t xml:space="preserve">,</w:t>
      </w:r>
      <w:r>
        <w:rPr>
          <w:rFonts w:ascii="PT Astra Serif" w:hAnsi="PT Astra Serif" w:eastAsia="Calibri"/>
          <w:sz w:val="24"/>
          <w:szCs w:val="24"/>
        </w:rPr>
        <w:t xml:space="preserve"> через увеличение охвата патриотическими проектами до 162,9 тыс. человек.</w:t>
      </w:r>
      <w:r>
        <w:rPr>
          <w:rFonts w:ascii="PT Astra Serif" w:hAnsi="PT Astra Serif" w:eastAsia="Calibri"/>
          <w:sz w:val="24"/>
          <w:szCs w:val="24"/>
        </w:rPr>
      </w:r>
      <w:r>
        <w:rPr>
          <w:rFonts w:ascii="PT Astra Serif" w:hAnsi="PT Astra Serif" w:eastAsia="Calibri"/>
          <w:sz w:val="24"/>
          <w:szCs w:val="24"/>
        </w:rPr>
      </w:r>
    </w:p>
    <w:p>
      <w:pPr>
        <w:numPr>
          <w:ilvl w:val="0"/>
          <w:numId w:val="16"/>
        </w:numPr>
        <w:contextualSpacing/>
        <w:ind w:left="0" w:firstLine="709"/>
        <w:jc w:val="both"/>
        <w:spacing w:after="0" w:line="240" w:lineRule="auto"/>
        <w:tabs>
          <w:tab w:val="left" w:pos="284" w:leader="none"/>
          <w:tab w:val="left" w:pos="993" w:leader="none"/>
          <w:tab w:val="left" w:pos="1134" w:leader="none"/>
        </w:tabs>
        <w:rPr>
          <w:rFonts w:ascii="PT Astra Serif" w:hAnsi="PT Astra Serif" w:eastAsia="Calibri"/>
          <w:sz w:val="24"/>
          <w:szCs w:val="24"/>
        </w:rPr>
      </w:pPr>
      <w:r>
        <w:rPr>
          <w:rFonts w:ascii="PT Astra Serif" w:hAnsi="PT Astra Serif" w:eastAsia="Calibri"/>
          <w:sz w:val="24"/>
          <w:szCs w:val="24"/>
        </w:rPr>
        <w:t xml:space="preserve">Создание условий для развития системы межпоколенческого взаимодействия</w:t>
      </w:r>
      <w:r>
        <w:rPr>
          <w:rFonts w:ascii="PT Astra Serif" w:hAnsi="PT Astra Serif" w:eastAsia="Calibri"/>
          <w:sz w:val="24"/>
          <w:szCs w:val="24"/>
        </w:rPr>
        <w:t xml:space="preserve"> </w:t>
      </w:r>
      <w:r>
        <w:rPr>
          <w:rFonts w:ascii="PT Astra Serif" w:hAnsi="PT Astra Serif" w:eastAsia="Calibri"/>
          <w:sz w:val="24"/>
          <w:szCs w:val="24"/>
        </w:rPr>
        <w:t xml:space="preserve">и обеспечения преемственности поколений, поддержки общественных инициатив</w:t>
      </w:r>
      <w:r>
        <w:rPr>
          <w:rFonts w:ascii="PT Astra Serif" w:hAnsi="PT Astra Serif" w:eastAsia="Calibri"/>
          <w:sz w:val="24"/>
          <w:szCs w:val="24"/>
        </w:rPr>
        <w:t xml:space="preserve"> </w:t>
      </w:r>
      <w:r>
        <w:rPr>
          <w:rFonts w:ascii="PT Astra Serif" w:hAnsi="PT Astra Serif" w:eastAsia="Calibri"/>
          <w:sz w:val="24"/>
          <w:szCs w:val="24"/>
        </w:rPr>
        <w:t xml:space="preserve">и проектов, направленных на гражданское и патриотическое воспитание детей и молодежи (6 376 человек).</w:t>
      </w:r>
      <w:r>
        <w:rPr>
          <w:rFonts w:ascii="PT Astra Serif" w:hAnsi="PT Astra Serif" w:eastAsia="Calibri"/>
          <w:sz w:val="24"/>
          <w:szCs w:val="24"/>
        </w:rPr>
      </w:r>
      <w:r>
        <w:rPr>
          <w:rFonts w:ascii="PT Astra Serif" w:hAnsi="PT Astra Serif" w:eastAsia="Calibri"/>
          <w:sz w:val="24"/>
          <w:szCs w:val="24"/>
        </w:rPr>
      </w:r>
    </w:p>
    <w:p>
      <w:pPr>
        <w:contextualSpacing/>
        <w:ind w:firstLine="709"/>
        <w:jc w:val="both"/>
        <w:spacing w:after="0" w:line="240" w:lineRule="auto"/>
        <w:tabs>
          <w:tab w:val="left" w:pos="851" w:leader="none"/>
          <w:tab w:val="left" w:pos="993" w:leader="none"/>
          <w:tab w:val="left" w:pos="1134" w:leader="none"/>
        </w:tabs>
        <w:rPr>
          <w:rFonts w:ascii="PT Astra Serif" w:hAnsi="PT Astra Serif" w:eastAsia="Calibri"/>
          <w:i/>
          <w:sz w:val="24"/>
          <w:szCs w:val="24"/>
        </w:rPr>
      </w:pPr>
      <w:r>
        <w:rPr>
          <w:rFonts w:ascii="PT Astra Serif" w:hAnsi="PT Astra Serif" w:eastAsia="Calibri"/>
          <w:i/>
          <w:sz w:val="24"/>
          <w:szCs w:val="24"/>
        </w:rPr>
        <w:t xml:space="preserve">Региональный проект «Развитие системы поддержки молодежи («Молодежь России»)»:</w:t>
      </w:r>
      <w:r>
        <w:rPr>
          <w:rFonts w:ascii="PT Astra Serif" w:hAnsi="PT Astra Serif" w:eastAsia="Calibri"/>
          <w:i/>
          <w:sz w:val="24"/>
          <w:szCs w:val="24"/>
        </w:rPr>
      </w:r>
      <w:r>
        <w:rPr>
          <w:rFonts w:ascii="PT Astra Serif" w:hAnsi="PT Astra Serif" w:eastAsia="Calibri"/>
          <w:i/>
          <w:sz w:val="24"/>
          <w:szCs w:val="24"/>
        </w:rPr>
      </w:r>
    </w:p>
    <w:p>
      <w:pPr>
        <w:pStyle w:val="1152"/>
        <w:numPr>
          <w:ilvl w:val="3"/>
          <w:numId w:val="16"/>
        </w:numPr>
        <w:ind w:left="-142" w:firstLine="709"/>
        <w:jc w:val="both"/>
        <w:spacing w:after="0" w:line="240" w:lineRule="auto"/>
        <w:tabs>
          <w:tab w:val="left" w:pos="284" w:leader="none"/>
          <w:tab w:val="left" w:pos="993" w:leader="none"/>
          <w:tab w:val="left" w:pos="1134" w:leader="none"/>
        </w:tabs>
        <w:rPr>
          <w:rFonts w:ascii="PT Astra Serif" w:hAnsi="PT Astra Serif"/>
          <w:sz w:val="24"/>
          <w:szCs w:val="24"/>
        </w:rPr>
      </w:pPr>
      <w:r>
        <w:rPr>
          <w:rFonts w:ascii="PT Astra Serif" w:hAnsi="PT Astra Serif"/>
          <w:sz w:val="24"/>
          <w:szCs w:val="24"/>
        </w:rPr>
        <w:t xml:space="preserve">Участие 13 человек в форуме молодых деятелей культуры и искусства «Таврида».</w:t>
      </w:r>
      <w:r>
        <w:rPr>
          <w:rFonts w:ascii="PT Astra Serif" w:hAnsi="PT Astra Serif"/>
          <w:sz w:val="24"/>
          <w:szCs w:val="24"/>
        </w:rPr>
      </w:r>
      <w:r>
        <w:rPr>
          <w:rFonts w:ascii="PT Astra Serif" w:hAnsi="PT Astra Serif"/>
          <w:sz w:val="24"/>
          <w:szCs w:val="24"/>
        </w:rPr>
      </w:r>
    </w:p>
    <w:p>
      <w:pPr>
        <w:pStyle w:val="1152"/>
        <w:numPr>
          <w:ilvl w:val="3"/>
          <w:numId w:val="16"/>
        </w:numPr>
        <w:ind w:left="-142" w:firstLine="709"/>
        <w:jc w:val="both"/>
        <w:spacing w:after="0" w:line="240" w:lineRule="auto"/>
        <w:tabs>
          <w:tab w:val="left" w:pos="284" w:leader="none"/>
          <w:tab w:val="left" w:pos="993" w:leader="none"/>
          <w:tab w:val="left" w:pos="1134" w:leader="none"/>
        </w:tabs>
        <w:rPr>
          <w:rFonts w:ascii="PT Astra Serif" w:hAnsi="PT Astra Serif"/>
          <w:sz w:val="24"/>
          <w:szCs w:val="24"/>
        </w:rPr>
      </w:pPr>
      <w:r>
        <w:rPr>
          <w:rFonts w:ascii="PT Astra Serif" w:hAnsi="PT Astra Serif"/>
          <w:sz w:val="24"/>
          <w:szCs w:val="24"/>
        </w:rPr>
        <w:t xml:space="preserve">Реализация программы комплексного развития молодежной политики «Регион для молодых», которая направлена на капитальный ремонт и реконструкцию зданий молодежных центров, подготовку кадров и методическое сопровождение.  </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spacing w:after="0" w:line="240" w:lineRule="auto"/>
        <w:rPr>
          <w:rFonts w:ascii="PT Astra Serif" w:hAnsi="PT Astra Serif" w:eastAsia="Calibri" w:cs="Calibri"/>
          <w:b/>
          <w:sz w:val="24"/>
          <w:szCs w:val="24"/>
        </w:rPr>
      </w:pPr>
      <w:r>
        <w:rPr>
          <w:rFonts w:ascii="PT Astra Serif" w:hAnsi="PT Astra Serif" w:eastAsia="Calibri" w:cs="Calibri"/>
          <w:b/>
          <w:sz w:val="24"/>
          <w:szCs w:val="24"/>
        </w:rPr>
        <w:t xml:space="preserve">Национальный проект «Жилье и городская среда»</w:t>
      </w:r>
      <w:r>
        <w:rPr>
          <w:rFonts w:ascii="PT Astra Serif" w:hAnsi="PT Astra Serif" w:eastAsia="Calibri" w:cs="Calibri"/>
          <w:b/>
          <w:sz w:val="24"/>
          <w:szCs w:val="24"/>
        </w:rPr>
      </w:r>
      <w:r>
        <w:rPr>
          <w:rFonts w:ascii="PT Astra Serif" w:hAnsi="PT Astra Serif" w:eastAsia="Calibri" w:cs="Calibri"/>
          <w:b/>
          <w:sz w:val="24"/>
          <w:szCs w:val="24"/>
        </w:rPr>
      </w:r>
    </w:p>
    <w:p>
      <w:pPr>
        <w:ind w:firstLine="709"/>
        <w:jc w:val="both"/>
        <w:spacing w:after="0" w:line="240" w:lineRule="auto"/>
        <w:rPr>
          <w:rFonts w:ascii="PT Astra Serif" w:hAnsi="PT Astra Serif" w:eastAsia="Calibri" w:cs="Calibri"/>
          <w:sz w:val="24"/>
          <w:szCs w:val="24"/>
        </w:rPr>
      </w:pPr>
      <w:r>
        <w:rPr>
          <w:rFonts w:ascii="PT Astra Serif" w:hAnsi="PT Astra Serif" w:eastAsia="Calibri" w:cs="Calibri"/>
          <w:sz w:val="24"/>
          <w:szCs w:val="24"/>
        </w:rPr>
        <w:t xml:space="preserve">На достижение целей национального проекта в Томской области в 2023 году были направлены 4 региональных проекта. Фактический объем фина</w:t>
      </w:r>
      <w:r>
        <w:rPr>
          <w:rFonts w:ascii="PT Astra Serif" w:hAnsi="PT Astra Serif" w:eastAsia="Calibri" w:cs="Calibri"/>
          <w:sz w:val="24"/>
          <w:szCs w:val="24"/>
        </w:rPr>
        <w:t xml:space="preserve">нсирования составил 5 012,7 млн</w:t>
      </w:r>
      <w:r>
        <w:rPr>
          <w:rFonts w:ascii="PT Astra Serif" w:hAnsi="PT Astra Serif" w:eastAsia="Calibri" w:cs="Calibri"/>
          <w:sz w:val="24"/>
          <w:szCs w:val="24"/>
        </w:rPr>
        <w:t xml:space="preserve"> рублей.</w:t>
      </w:r>
      <w:r>
        <w:rPr>
          <w:rFonts w:ascii="PT Astra Serif" w:hAnsi="PT Astra Serif" w:eastAsia="Calibri" w:cs="Calibri"/>
          <w:sz w:val="24"/>
          <w:szCs w:val="24"/>
        </w:rPr>
      </w:r>
      <w:r>
        <w:rPr>
          <w:rFonts w:ascii="PT Astra Serif" w:hAnsi="PT Astra Serif" w:eastAsia="Calibri" w:cs="Calibri"/>
          <w:sz w:val="24"/>
          <w:szCs w:val="24"/>
        </w:rPr>
      </w:r>
    </w:p>
    <w:p>
      <w:pPr>
        <w:ind w:firstLine="709"/>
        <w:jc w:val="both"/>
        <w:spacing w:after="0" w:line="240" w:lineRule="auto"/>
        <w:rPr>
          <w:rFonts w:ascii="PT Astra Serif" w:hAnsi="PT Astra Serif" w:eastAsia="Calibri" w:cs="Calibri"/>
          <w:b/>
          <w:sz w:val="24"/>
          <w:szCs w:val="24"/>
        </w:rPr>
      </w:pPr>
      <w:r>
        <w:rPr>
          <w:rFonts w:ascii="PT Astra Serif" w:hAnsi="PT Astra Serif" w:eastAsia="Calibri" w:cs="Calibri"/>
          <w:b/>
          <w:sz w:val="24"/>
          <w:szCs w:val="24"/>
        </w:rPr>
      </w:r>
      <w:r>
        <w:rPr>
          <w:rFonts w:ascii="PT Astra Serif" w:hAnsi="PT Astra Serif" w:eastAsia="Calibri" w:cs="Calibri"/>
          <w:b/>
          <w:sz w:val="24"/>
          <w:szCs w:val="24"/>
        </w:rPr>
      </w:r>
      <w:r>
        <w:rPr>
          <w:rFonts w:ascii="PT Astra Serif" w:hAnsi="PT Astra Serif" w:eastAsia="Calibri" w:cs="Calibri"/>
          <w:b/>
          <w:sz w:val="24"/>
          <w:szCs w:val="24"/>
        </w:rPr>
      </w:r>
    </w:p>
    <w:p>
      <w:pPr>
        <w:ind w:firstLine="709"/>
        <w:jc w:val="both"/>
        <w:spacing w:after="0" w:line="240" w:lineRule="auto"/>
        <w:rPr>
          <w:rFonts w:ascii="PT Astra Serif" w:hAnsi="PT Astra Serif" w:eastAsia="Calibri" w:cs="Calibri"/>
          <w:b/>
          <w:sz w:val="24"/>
          <w:szCs w:val="24"/>
        </w:rPr>
      </w:pPr>
      <w:r>
        <w:rPr>
          <w:rFonts w:ascii="PT Astra Serif" w:hAnsi="PT Astra Serif" w:eastAsia="Calibri" w:cs="Calibri"/>
          <w:b/>
          <w:sz w:val="24"/>
          <w:szCs w:val="24"/>
        </w:rPr>
        <w:t xml:space="preserve">Итоги 2023 года:</w:t>
      </w:r>
      <w:r>
        <w:rPr>
          <w:rFonts w:ascii="PT Astra Serif" w:hAnsi="PT Astra Serif" w:eastAsia="Calibri" w:cs="Calibri"/>
          <w:b/>
          <w:sz w:val="24"/>
          <w:szCs w:val="24"/>
        </w:rPr>
      </w:r>
      <w:r>
        <w:rPr>
          <w:rFonts w:ascii="PT Astra Serif" w:hAnsi="PT Astra Serif" w:eastAsia="Calibri" w:cs="Calibri"/>
          <w:b/>
          <w:sz w:val="24"/>
          <w:szCs w:val="24"/>
        </w:rPr>
      </w:r>
    </w:p>
    <w:p>
      <w:pPr>
        <w:ind w:firstLine="709"/>
        <w:jc w:val="both"/>
        <w:spacing w:after="0" w:line="240" w:lineRule="auto"/>
        <w:rPr>
          <w:rFonts w:ascii="PT Astra Serif" w:hAnsi="PT Astra Serif" w:eastAsia="Times New Roman" w:cs="Calibri"/>
          <w:sz w:val="24"/>
          <w:szCs w:val="24"/>
          <w:lang w:eastAsia="ru-RU"/>
        </w:rPr>
      </w:pPr>
      <w:r>
        <w:rPr>
          <w:rFonts w:ascii="PT Astra Serif" w:hAnsi="PT Astra Serif" w:eastAsia="Times New Roman" w:cs="Calibri"/>
          <w:sz w:val="24"/>
          <w:szCs w:val="24"/>
          <w:lang w:eastAsia="ru-RU"/>
        </w:rPr>
        <w:t xml:space="preserve">В рамках </w:t>
      </w:r>
      <w:r>
        <w:rPr>
          <w:rFonts w:ascii="PT Astra Serif" w:hAnsi="PT Astra Serif" w:eastAsia="Times New Roman" w:cs="Calibri"/>
          <w:i/>
          <w:sz w:val="24"/>
          <w:szCs w:val="24"/>
          <w:lang w:eastAsia="ru-RU"/>
        </w:rPr>
        <w:t xml:space="preserve">регионального проекта «Жилье»</w:t>
      </w:r>
      <w:r>
        <w:rPr>
          <w:rFonts w:ascii="PT Astra Serif" w:hAnsi="PT Astra Serif" w:eastAsia="Times New Roman" w:cs="Calibri"/>
          <w:sz w:val="24"/>
          <w:szCs w:val="24"/>
          <w:lang w:eastAsia="ru-RU"/>
        </w:rPr>
        <w:t xml:space="preserve">:</w:t>
      </w:r>
      <w:r>
        <w:rPr>
          <w:rFonts w:ascii="PT Astra Serif" w:hAnsi="PT Astra Serif" w:eastAsia="Times New Roman" w:cs="Calibri"/>
          <w:sz w:val="24"/>
          <w:szCs w:val="24"/>
          <w:lang w:eastAsia="ru-RU"/>
        </w:rPr>
      </w:r>
      <w:r>
        <w:rPr>
          <w:rFonts w:ascii="PT Astra Serif" w:hAnsi="PT Astra Serif" w:eastAsia="Times New Roman" w:cs="Calibri"/>
          <w:sz w:val="24"/>
          <w:szCs w:val="24"/>
          <w:lang w:eastAsia="ru-RU"/>
        </w:rPr>
      </w:r>
    </w:p>
    <w:p>
      <w:pPr>
        <w:numPr>
          <w:ilvl w:val="0"/>
          <w:numId w:val="17"/>
        </w:numPr>
        <w:contextualSpacing/>
        <w:ind w:left="0" w:firstLine="709"/>
        <w:jc w:val="both"/>
        <w:spacing w:after="0" w:line="240" w:lineRule="auto"/>
        <w:tabs>
          <w:tab w:val="left" w:pos="993" w:leader="none"/>
        </w:tabs>
        <w:rPr>
          <w:rFonts w:ascii="PT Astra Serif" w:hAnsi="PT Astra Serif" w:eastAsia="Calibri" w:cs="Calibri"/>
          <w:sz w:val="24"/>
          <w:szCs w:val="24"/>
        </w:rPr>
      </w:pPr>
      <w:r>
        <w:rPr>
          <w:rFonts w:ascii="PT Astra Serif" w:hAnsi="PT Astra Serif" w:eastAsia="Calibri" w:cs="Calibri"/>
          <w:sz w:val="24"/>
          <w:szCs w:val="24"/>
        </w:rPr>
        <w:t xml:space="preserve">введено 535,3 тыс. кв. м жилья: из них 260,75 тыс. кв. м в многоквартирных домах и 274,56 тыс. кв. м индивидуального жилищного строительства;</w:t>
      </w:r>
      <w:r>
        <w:rPr>
          <w:rFonts w:ascii="PT Astra Serif" w:hAnsi="PT Astra Serif" w:eastAsia="Calibri" w:cs="Calibri"/>
          <w:sz w:val="24"/>
          <w:szCs w:val="24"/>
        </w:rPr>
      </w:r>
      <w:r>
        <w:rPr>
          <w:rFonts w:ascii="PT Astra Serif" w:hAnsi="PT Astra Serif" w:eastAsia="Calibri" w:cs="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рамках </w:t>
      </w:r>
      <w:r>
        <w:rPr>
          <w:rFonts w:ascii="PT Astra Serif" w:hAnsi="PT Astra Serif" w:eastAsia="Calibri"/>
          <w:i/>
          <w:sz w:val="24"/>
          <w:szCs w:val="24"/>
        </w:rPr>
        <w:t xml:space="preserve">регионального проекта «Формирование комфортной городской среды»</w:t>
      </w:r>
      <w:r>
        <w:rPr>
          <w:rFonts w:ascii="PT Astra Serif" w:hAnsi="PT Astra Serif" w:eastAsia="Calibri"/>
          <w:sz w:val="24"/>
          <w:szCs w:val="24"/>
        </w:rPr>
        <w:t xml:space="preserve">:</w:t>
      </w:r>
      <w:r>
        <w:rPr>
          <w:rFonts w:ascii="PT Astra Serif" w:hAnsi="PT Astra Serif" w:eastAsia="Calibri"/>
          <w:sz w:val="24"/>
          <w:szCs w:val="24"/>
        </w:rPr>
      </w:r>
      <w:r>
        <w:rPr>
          <w:rFonts w:ascii="PT Astra Serif" w:hAnsi="PT Astra Serif" w:eastAsia="Calibri"/>
          <w:sz w:val="24"/>
          <w:szCs w:val="24"/>
        </w:rPr>
      </w:r>
    </w:p>
    <w:p>
      <w:pPr>
        <w:numPr>
          <w:ilvl w:val="0"/>
          <w:numId w:val="18"/>
        </w:numPr>
        <w:contextualSpacing/>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sz w:val="24"/>
          <w:szCs w:val="24"/>
        </w:rPr>
        <w:t xml:space="preserve">в 20 муниципальных образованиях проведены благоустроительные работы</w:t>
      </w:r>
      <w:r>
        <w:rPr>
          <w:rFonts w:ascii="PT Astra Serif" w:hAnsi="PT Astra Serif"/>
          <w:sz w:val="24"/>
          <w:szCs w:val="24"/>
        </w:rPr>
        <w:t xml:space="preserve"> </w:t>
      </w:r>
      <w:r>
        <w:rPr>
          <w:rFonts w:ascii="PT Astra Serif" w:hAnsi="PT Astra Serif"/>
          <w:sz w:val="24"/>
          <w:szCs w:val="24"/>
        </w:rPr>
        <w:t xml:space="preserve">на 50</w:t>
      </w:r>
      <w:r>
        <w:rPr>
          <w:rFonts w:ascii="PT Astra Serif" w:hAnsi="PT Astra Serif"/>
          <w:sz w:val="24"/>
          <w:szCs w:val="24"/>
        </w:rPr>
        <w:t xml:space="preserve"> </w:t>
      </w:r>
      <w:r>
        <w:rPr>
          <w:rFonts w:ascii="PT Astra Serif" w:hAnsi="PT Astra Serif"/>
          <w:sz w:val="24"/>
          <w:szCs w:val="24"/>
        </w:rPr>
        <w:t xml:space="preserve">общественных территориях;</w:t>
      </w:r>
      <w:r>
        <w:rPr>
          <w:rFonts w:ascii="PT Astra Serif" w:hAnsi="PT Astra Serif"/>
          <w:sz w:val="24"/>
          <w:szCs w:val="24"/>
        </w:rPr>
      </w:r>
      <w:r>
        <w:rPr>
          <w:rFonts w:ascii="PT Astra Serif" w:hAnsi="PT Astra Serif"/>
          <w:sz w:val="24"/>
          <w:szCs w:val="24"/>
        </w:rPr>
      </w:r>
    </w:p>
    <w:p>
      <w:pPr>
        <w:numPr>
          <w:ilvl w:val="0"/>
          <w:numId w:val="17"/>
        </w:numPr>
        <w:contextualSpacing/>
        <w:ind w:left="0" w:firstLine="709"/>
        <w:jc w:val="both"/>
        <w:spacing w:after="0" w:line="240" w:lineRule="auto"/>
        <w:tabs>
          <w:tab w:val="left" w:pos="993" w:leader="none"/>
        </w:tabs>
        <w:rPr>
          <w:rFonts w:ascii="PT Astra Serif" w:hAnsi="PT Astra Serif" w:eastAsia="Calibri" w:cs="Calibri"/>
          <w:sz w:val="24"/>
          <w:szCs w:val="24"/>
        </w:rPr>
      </w:pPr>
      <w:r>
        <w:rPr>
          <w:rFonts w:ascii="PT Astra Serif" w:hAnsi="PT Astra Serif" w:eastAsia="Calibri" w:cs="Calibri"/>
          <w:sz w:val="24"/>
          <w:szCs w:val="24"/>
        </w:rPr>
        <w:t xml:space="preserve">благоустроено 3 общественных пространства </w:t>
      </w:r>
      <w:r>
        <w:rPr>
          <w:rFonts w:ascii="PT Astra Serif" w:hAnsi="PT Astra Serif" w:cstheme="minorBidi"/>
          <w:sz w:val="24"/>
          <w:szCs w:val="24"/>
        </w:rPr>
        <w:t xml:space="preserve">–</w:t>
      </w:r>
      <w:r>
        <w:rPr>
          <w:rFonts w:ascii="PT Astra Serif" w:hAnsi="PT Astra Serif" w:eastAsia="Calibri" w:cs="Calibri"/>
          <w:sz w:val="24"/>
          <w:szCs w:val="24"/>
        </w:rPr>
        <w:t xml:space="preserve"> победителя Всероссийского конкурса лучших проектов создания комфортной городской среды:</w:t>
      </w:r>
      <w:r>
        <w:rPr>
          <w:rFonts w:ascii="PT Astra Serif" w:hAnsi="PT Astra Serif" w:eastAsia="Calibri" w:cs="Calibri"/>
          <w:sz w:val="24"/>
          <w:szCs w:val="24"/>
        </w:rPr>
      </w:r>
      <w:r>
        <w:rPr>
          <w:rFonts w:ascii="PT Astra Serif" w:hAnsi="PT Astra Serif" w:eastAsia="Calibri" w:cs="Calibri"/>
          <w:sz w:val="24"/>
          <w:szCs w:val="24"/>
        </w:rPr>
      </w:r>
    </w:p>
    <w:p>
      <w:pPr>
        <w:ind w:firstLine="709"/>
        <w:jc w:val="both"/>
        <w:spacing w:after="0" w:line="240" w:lineRule="auto"/>
        <w:tabs>
          <w:tab w:val="left" w:pos="851" w:leader="none"/>
          <w:tab w:val="left" w:pos="993" w:leader="none"/>
        </w:tabs>
        <w:rPr>
          <w:rFonts w:ascii="PT Astra Serif" w:hAnsi="PT Astra Serif" w:cs="Calibri"/>
          <w:sz w:val="24"/>
          <w:szCs w:val="24"/>
        </w:rPr>
      </w:pPr>
      <w:r>
        <w:rPr>
          <w:rFonts w:ascii="PT Astra Serif" w:hAnsi="PT Astra Serif" w:cs="Calibri"/>
          <w:sz w:val="24"/>
          <w:szCs w:val="24"/>
        </w:rPr>
        <w:t xml:space="preserve">1) «Объединяя город. Благоустройство центральной части города Асино»;</w:t>
      </w:r>
      <w:r>
        <w:rPr>
          <w:rFonts w:ascii="PT Astra Serif" w:hAnsi="PT Astra Serif" w:cs="Calibri"/>
          <w:sz w:val="24"/>
          <w:szCs w:val="24"/>
        </w:rPr>
      </w:r>
      <w:r>
        <w:rPr>
          <w:rFonts w:ascii="PT Astra Serif" w:hAnsi="PT Astra Serif" w:cs="Calibri"/>
          <w:sz w:val="24"/>
          <w:szCs w:val="24"/>
        </w:rPr>
      </w:r>
    </w:p>
    <w:p>
      <w:pPr>
        <w:ind w:firstLine="709"/>
        <w:jc w:val="both"/>
        <w:spacing w:after="0" w:line="240" w:lineRule="auto"/>
        <w:tabs>
          <w:tab w:val="left" w:pos="851" w:leader="none"/>
          <w:tab w:val="left" w:pos="993" w:leader="none"/>
        </w:tabs>
        <w:rPr>
          <w:rFonts w:ascii="PT Astra Serif" w:hAnsi="PT Astra Serif" w:cs="Calibri"/>
          <w:sz w:val="24"/>
          <w:szCs w:val="24"/>
        </w:rPr>
      </w:pPr>
      <w:r>
        <w:rPr>
          <w:rFonts w:ascii="PT Astra Serif" w:hAnsi="PT Astra Serif" w:cs="Calibri"/>
          <w:sz w:val="24"/>
          <w:szCs w:val="24"/>
        </w:rPr>
        <w:t xml:space="preserve">2) «Благоустройство Центрального бульвара в городе Колпашево»;</w:t>
      </w:r>
      <w:r>
        <w:rPr>
          <w:rFonts w:ascii="PT Astra Serif" w:hAnsi="PT Astra Serif" w:cs="Calibri"/>
          <w:sz w:val="24"/>
          <w:szCs w:val="24"/>
        </w:rPr>
      </w:r>
      <w:r>
        <w:rPr>
          <w:rFonts w:ascii="PT Astra Serif" w:hAnsi="PT Astra Serif" w:cs="Calibri"/>
          <w:sz w:val="24"/>
          <w:szCs w:val="24"/>
        </w:rPr>
      </w:r>
    </w:p>
    <w:p>
      <w:pPr>
        <w:ind w:firstLine="709"/>
        <w:jc w:val="both"/>
        <w:spacing w:after="0" w:line="240" w:lineRule="auto"/>
        <w:tabs>
          <w:tab w:val="left" w:pos="851" w:leader="none"/>
          <w:tab w:val="left" w:pos="993" w:leader="none"/>
        </w:tabs>
        <w:rPr>
          <w:rFonts w:ascii="PT Astra Serif" w:hAnsi="PT Astra Serif" w:cs="Calibri"/>
          <w:sz w:val="24"/>
          <w:szCs w:val="24"/>
        </w:rPr>
      </w:pPr>
      <w:r>
        <w:rPr>
          <w:rFonts w:ascii="PT Astra Serif" w:hAnsi="PT Astra Serif" w:cs="Calibri"/>
          <w:sz w:val="24"/>
          <w:szCs w:val="24"/>
        </w:rPr>
        <w:t xml:space="preserve">3) «Сердце Нефтеграда. Благоустройство центральной части города Стрежевого». Объекты открыты для посещения;</w:t>
      </w:r>
      <w:r>
        <w:rPr>
          <w:rFonts w:ascii="PT Astra Serif" w:hAnsi="PT Astra Serif" w:cs="Calibri"/>
          <w:sz w:val="24"/>
          <w:szCs w:val="24"/>
        </w:rPr>
      </w:r>
      <w:r>
        <w:rPr>
          <w:rFonts w:ascii="PT Astra Serif" w:hAnsi="PT Astra Serif" w:cs="Calibri"/>
          <w:sz w:val="24"/>
          <w:szCs w:val="24"/>
        </w:rPr>
      </w:r>
    </w:p>
    <w:p>
      <w:pPr>
        <w:numPr>
          <w:ilvl w:val="0"/>
          <w:numId w:val="17"/>
        </w:numPr>
        <w:contextualSpacing/>
        <w:ind w:left="0" w:firstLine="709"/>
        <w:jc w:val="both"/>
        <w:spacing w:after="0" w:line="240" w:lineRule="auto"/>
        <w:tabs>
          <w:tab w:val="left" w:pos="993" w:leader="none"/>
        </w:tabs>
        <w:rPr>
          <w:rFonts w:ascii="PT Astra Serif" w:hAnsi="PT Astra Serif" w:cs="Calibri"/>
          <w:sz w:val="24"/>
          <w:szCs w:val="24"/>
        </w:rPr>
      </w:pPr>
      <w:r>
        <w:rPr>
          <w:rFonts w:ascii="PT Astra Serif" w:hAnsi="PT Astra Serif" w:cs="Calibri"/>
          <w:sz w:val="24"/>
          <w:szCs w:val="24"/>
        </w:rPr>
        <w:t xml:space="preserve">240 157 человек приняли</w:t>
      </w:r>
      <w:r>
        <w:rPr>
          <w:rFonts w:ascii="PT Astra Serif" w:hAnsi="PT Astra Serif" w:cs="Calibri"/>
          <w:sz w:val="24"/>
          <w:szCs w:val="24"/>
        </w:rPr>
        <w:t xml:space="preserve"> участие в рейтинговых голосованиях по отбору территорий благоустройства. </w:t>
      </w:r>
      <w:r>
        <w:rPr>
          <w:rFonts w:ascii="PT Astra Serif" w:hAnsi="PT Astra Serif" w:cs="Calibri"/>
          <w:sz w:val="24"/>
          <w:szCs w:val="24"/>
        </w:rPr>
      </w:r>
      <w:r>
        <w:rPr>
          <w:rFonts w:ascii="PT Astra Serif" w:hAnsi="PT Astra Serif" w:cs="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рамках </w:t>
      </w:r>
      <w:r>
        <w:rPr>
          <w:rFonts w:ascii="PT Astra Serif" w:hAnsi="PT Astra Serif" w:eastAsia="Calibri"/>
          <w:i/>
          <w:sz w:val="24"/>
          <w:szCs w:val="24"/>
        </w:rPr>
        <w:t xml:space="preserve">регионального проекта «Обеспечение устойчивого сокращения непригодного для проживания жилищного фонда»</w:t>
      </w:r>
      <w:r>
        <w:rPr>
          <w:rFonts w:ascii="PT Astra Serif" w:hAnsi="PT Astra Serif" w:eastAsia="Calibri"/>
          <w:sz w:val="24"/>
          <w:szCs w:val="24"/>
        </w:rPr>
        <w:t xml:space="preserve">:</w:t>
      </w:r>
      <w:r>
        <w:rPr>
          <w:rFonts w:ascii="PT Astra Serif" w:hAnsi="PT Astra Serif" w:eastAsia="Calibri"/>
          <w:sz w:val="24"/>
          <w:szCs w:val="24"/>
        </w:rPr>
      </w:r>
      <w:r>
        <w:rPr>
          <w:rFonts w:ascii="PT Astra Serif" w:hAnsi="PT Astra Serif" w:eastAsia="Calibri"/>
          <w:sz w:val="24"/>
          <w:szCs w:val="24"/>
        </w:rPr>
      </w:r>
    </w:p>
    <w:p>
      <w:pPr>
        <w:pStyle w:val="1152"/>
        <w:numPr>
          <w:ilvl w:val="0"/>
          <w:numId w:val="19"/>
        </w:numPr>
        <w:ind w:left="0" w:firstLine="709"/>
        <w:jc w:val="both"/>
        <w:spacing w:after="0" w:line="240" w:lineRule="auto"/>
        <w:tabs>
          <w:tab w:val="left" w:pos="993" w:leader="none"/>
          <w:tab w:val="left" w:pos="1134" w:leader="none"/>
          <w:tab w:val="left" w:pos="1276" w:leader="none"/>
        </w:tabs>
        <w:rPr>
          <w:rFonts w:ascii="PT Astra Serif" w:hAnsi="PT Astra Serif" w:cs="Calibri"/>
          <w:sz w:val="24"/>
          <w:szCs w:val="24"/>
        </w:rPr>
      </w:pPr>
      <w:r>
        <w:rPr>
          <w:rFonts w:ascii="PT Astra Serif" w:hAnsi="PT Astra Serif" w:cs="Calibri" w:eastAsiaTheme="minorHAnsi"/>
          <w:sz w:val="24"/>
          <w:szCs w:val="24"/>
        </w:rPr>
        <w:t xml:space="preserve">за период с 2019 г</w:t>
      </w:r>
      <w:r>
        <w:rPr>
          <w:rFonts w:ascii="PT Astra Serif" w:hAnsi="PT Astra Serif" w:cs="Calibri" w:eastAsiaTheme="minorHAnsi"/>
          <w:sz w:val="24"/>
          <w:szCs w:val="24"/>
        </w:rPr>
        <w:t xml:space="preserve">ода</w:t>
      </w:r>
      <w:r>
        <w:rPr>
          <w:rFonts w:ascii="PT Astra Serif" w:hAnsi="PT Astra Serif" w:cs="Calibri" w:eastAsiaTheme="minorHAnsi"/>
          <w:sz w:val="24"/>
          <w:szCs w:val="24"/>
        </w:rPr>
        <w:t xml:space="preserve"> по 31.12.2023 рассе</w:t>
      </w:r>
      <w:r>
        <w:rPr>
          <w:rFonts w:ascii="PT Astra Serif" w:hAnsi="PT Astra Serif" w:cs="Calibri" w:eastAsiaTheme="minorHAnsi"/>
          <w:sz w:val="24"/>
          <w:szCs w:val="24"/>
        </w:rPr>
        <w:t xml:space="preserve">лено 4 629 человек из 94,74 тыс. </w:t>
      </w:r>
      <w:r>
        <w:rPr>
          <w:rFonts w:ascii="PT Astra Serif" w:hAnsi="PT Astra Serif" w:cs="Calibri" w:eastAsiaTheme="minorHAnsi"/>
          <w:sz w:val="24"/>
          <w:szCs w:val="24"/>
        </w:rPr>
        <w:t xml:space="preserve">кв.</w:t>
      </w:r>
      <w:r>
        <w:rPr>
          <w:rFonts w:ascii="PT Astra Serif" w:hAnsi="PT Astra Serif" w:cs="Calibri" w:eastAsiaTheme="minorHAnsi"/>
          <w:sz w:val="24"/>
          <w:szCs w:val="24"/>
        </w:rPr>
        <w:t xml:space="preserve"> </w:t>
      </w:r>
      <w:r>
        <w:rPr>
          <w:rFonts w:ascii="PT Astra Serif" w:hAnsi="PT Astra Serif" w:cs="Calibri" w:eastAsiaTheme="minorHAnsi"/>
          <w:sz w:val="24"/>
          <w:szCs w:val="24"/>
        </w:rPr>
        <w:t xml:space="preserve">м при плановом значении показате</w:t>
      </w:r>
      <w:r>
        <w:rPr>
          <w:rFonts w:ascii="PT Astra Serif" w:hAnsi="PT Astra Serif" w:cs="Calibri" w:eastAsiaTheme="minorHAnsi"/>
          <w:sz w:val="24"/>
          <w:szCs w:val="24"/>
        </w:rPr>
        <w:t xml:space="preserve">лей 4 760 человек из 83,52 тыс. </w:t>
      </w:r>
      <w:r>
        <w:rPr>
          <w:rFonts w:ascii="PT Astra Serif" w:hAnsi="PT Astra Serif" w:cs="Calibri" w:eastAsiaTheme="minorHAnsi"/>
          <w:sz w:val="24"/>
          <w:szCs w:val="24"/>
        </w:rPr>
        <w:t xml:space="preserve">кв.</w:t>
      </w:r>
      <w:r>
        <w:rPr>
          <w:rFonts w:ascii="PT Astra Serif" w:hAnsi="PT Astra Serif" w:cs="Calibri" w:eastAsiaTheme="minorHAnsi"/>
          <w:sz w:val="24"/>
          <w:szCs w:val="24"/>
        </w:rPr>
        <w:t xml:space="preserve"> </w:t>
      </w:r>
      <w:r>
        <w:rPr>
          <w:rFonts w:ascii="PT Astra Serif" w:hAnsi="PT Astra Serif" w:cs="Calibri" w:eastAsiaTheme="minorHAnsi"/>
          <w:sz w:val="24"/>
          <w:szCs w:val="24"/>
        </w:rPr>
        <w:t xml:space="preserve">м.;</w:t>
      </w:r>
      <w:r>
        <w:rPr>
          <w:rFonts w:ascii="PT Astra Serif" w:hAnsi="PT Astra Serif" w:cs="Calibri"/>
          <w:sz w:val="24"/>
          <w:szCs w:val="24"/>
        </w:rPr>
      </w:r>
      <w:r>
        <w:rPr>
          <w:rFonts w:ascii="PT Astra Serif" w:hAnsi="PT Astra Serif" w:cs="Calibri"/>
          <w:sz w:val="24"/>
          <w:szCs w:val="24"/>
        </w:rPr>
      </w:r>
    </w:p>
    <w:p>
      <w:pPr>
        <w:numPr>
          <w:ilvl w:val="0"/>
          <w:numId w:val="19"/>
        </w:numPr>
        <w:contextualSpacing/>
        <w:ind w:left="0" w:firstLine="709"/>
        <w:jc w:val="both"/>
        <w:spacing w:after="0" w:line="240" w:lineRule="auto"/>
        <w:tabs>
          <w:tab w:val="left" w:pos="993" w:leader="none"/>
          <w:tab w:val="left" w:pos="1276" w:leader="none"/>
        </w:tabs>
        <w:rPr>
          <w:rFonts w:ascii="PT Astra Serif" w:hAnsi="PT Astra Serif" w:cs="Calibri"/>
          <w:sz w:val="24"/>
          <w:szCs w:val="24"/>
        </w:rPr>
      </w:pPr>
      <w:r>
        <w:rPr>
          <w:rFonts w:ascii="PT Astra Serif" w:hAnsi="PT Astra Serif" w:cs="Calibri"/>
          <w:sz w:val="24"/>
          <w:szCs w:val="24"/>
        </w:rPr>
        <w:t xml:space="preserve">завершено строительство 2 многоквартирных</w:t>
      </w:r>
      <w:r>
        <w:rPr>
          <w:rFonts w:ascii="PT Astra Serif" w:hAnsi="PT Astra Serif" w:cs="Calibri"/>
          <w:sz w:val="24"/>
          <w:szCs w:val="24"/>
        </w:rPr>
        <w:t xml:space="preserve"> домов в мкр. № 8 г. Томска ул. </w:t>
      </w:r>
      <w:r>
        <w:rPr>
          <w:rFonts w:ascii="PT Astra Serif" w:hAnsi="PT Astra Serif" w:cs="Calibri"/>
          <w:sz w:val="24"/>
          <w:szCs w:val="24"/>
        </w:rPr>
        <w:t xml:space="preserve">Петра Федоровского 10, 12, объекты не введены в эксплуатацию ввиду отсутствия положительного заключения органа государственного строительного надзора по причине отсутствия основного проезда к жилым домам</w:t>
      </w:r>
      <w:r>
        <w:rPr>
          <w:rFonts w:ascii="PT Astra Serif" w:hAnsi="PT Astra Serif"/>
          <w:bCs/>
          <w:sz w:val="24"/>
          <w:szCs w:val="24"/>
        </w:rPr>
        <w:t xml:space="preserve">.</w:t>
      </w:r>
      <w:r>
        <w:rPr>
          <w:rFonts w:ascii="PT Astra Serif" w:hAnsi="PT Astra Serif" w:cs="Calibri"/>
          <w:sz w:val="24"/>
          <w:szCs w:val="24"/>
        </w:rPr>
      </w:r>
      <w:r>
        <w:rPr>
          <w:rFonts w:ascii="PT Astra Serif" w:hAnsi="PT Astra Serif" w:cs="Calibri"/>
          <w:sz w:val="24"/>
          <w:szCs w:val="24"/>
        </w:rPr>
      </w:r>
    </w:p>
    <w:p>
      <w:pPr>
        <w:contextualSpacing/>
        <w:ind w:firstLine="709"/>
        <w:jc w:val="both"/>
        <w:spacing w:after="0" w:line="240" w:lineRule="auto"/>
        <w:tabs>
          <w:tab w:val="left" w:pos="851" w:leader="none"/>
          <w:tab w:val="left" w:pos="1276" w:leader="none"/>
        </w:tabs>
        <w:rPr>
          <w:rFonts w:ascii="PT Astra Serif" w:hAnsi="PT Astra Serif"/>
          <w:sz w:val="24"/>
          <w:szCs w:val="24"/>
        </w:rPr>
      </w:pPr>
      <w:r>
        <w:rPr>
          <w:rFonts w:ascii="PT Astra Serif" w:hAnsi="PT Astra Serif" w:eastAsia="Calibri"/>
          <w:sz w:val="24"/>
          <w:szCs w:val="24"/>
        </w:rPr>
        <w:t xml:space="preserve">В рамках </w:t>
      </w:r>
      <w:r>
        <w:rPr>
          <w:rFonts w:ascii="PT Astra Serif" w:hAnsi="PT Astra Serif" w:eastAsia="Calibri"/>
          <w:i/>
          <w:sz w:val="24"/>
          <w:szCs w:val="24"/>
        </w:rPr>
        <w:t xml:space="preserve">регионального проекта «Чистая вода»:</w:t>
      </w:r>
      <w:r>
        <w:rPr>
          <w:rFonts w:ascii="PT Astra Serif" w:hAnsi="PT Astra Serif"/>
          <w:sz w:val="24"/>
          <w:szCs w:val="24"/>
        </w:rPr>
      </w:r>
      <w:r>
        <w:rPr>
          <w:rFonts w:ascii="PT Astra Serif" w:hAnsi="PT Astra Serif"/>
          <w:sz w:val="24"/>
          <w:szCs w:val="24"/>
        </w:rPr>
      </w:r>
    </w:p>
    <w:p>
      <w:pPr>
        <w:numPr>
          <w:ilvl w:val="0"/>
          <w:numId w:val="20"/>
        </w:numPr>
        <w:ind w:left="0" w:firstLine="709"/>
        <w:jc w:val="both"/>
        <w:spacing w:after="0" w:line="240" w:lineRule="auto"/>
        <w:tabs>
          <w:tab w:val="left" w:pos="993" w:leader="none"/>
        </w:tabs>
        <w:rPr>
          <w:rFonts w:ascii="PT Astra Serif" w:hAnsi="PT Astra Serif" w:eastAsia="Calibri" w:cs="Calibri"/>
          <w:sz w:val="24"/>
          <w:szCs w:val="24"/>
        </w:rPr>
      </w:pPr>
      <w:r>
        <w:rPr>
          <w:rFonts w:ascii="PT Astra Serif" w:hAnsi="PT Astra Serif" w:eastAsia="Calibri" w:cs="Calibri"/>
          <w:sz w:val="24"/>
          <w:szCs w:val="24"/>
        </w:rPr>
        <w:t xml:space="preserve">завершено строительство и введены в эксплуатацию 9 объектов водоснабжения в 3 муниципальных образованиях: г. Томск, ЗАТО Северск и с</w:t>
      </w:r>
      <w:r>
        <w:rPr>
          <w:rFonts w:ascii="PT Astra Serif" w:hAnsi="PT Astra Serif" w:eastAsia="Calibri" w:cs="Calibri"/>
          <w:sz w:val="24"/>
          <w:szCs w:val="24"/>
        </w:rPr>
        <w:t xml:space="preserve">.</w:t>
      </w:r>
      <w:r>
        <w:rPr>
          <w:rFonts w:ascii="PT Astra Serif" w:hAnsi="PT Astra Serif" w:eastAsia="Calibri" w:cs="Calibri"/>
          <w:sz w:val="24"/>
          <w:szCs w:val="24"/>
        </w:rPr>
        <w:t xml:space="preserve"> Первомайское Первомайского района;</w:t>
      </w:r>
      <w:r>
        <w:rPr>
          <w:rFonts w:ascii="PT Astra Serif" w:hAnsi="PT Astra Serif" w:eastAsia="Calibri" w:cs="Calibri"/>
          <w:sz w:val="24"/>
          <w:szCs w:val="24"/>
        </w:rPr>
      </w:r>
      <w:r>
        <w:rPr>
          <w:rFonts w:ascii="PT Astra Serif" w:hAnsi="PT Astra Serif" w:eastAsia="Calibri" w:cs="Calibri"/>
          <w:sz w:val="24"/>
          <w:szCs w:val="24"/>
        </w:rPr>
      </w:r>
    </w:p>
    <w:p>
      <w:pPr>
        <w:numPr>
          <w:ilvl w:val="0"/>
          <w:numId w:val="20"/>
        </w:numPr>
        <w:ind w:left="0" w:firstLine="709"/>
        <w:jc w:val="both"/>
        <w:spacing w:after="0" w:line="240" w:lineRule="auto"/>
        <w:tabs>
          <w:tab w:val="left" w:pos="993" w:leader="none"/>
        </w:tabs>
        <w:rPr>
          <w:rFonts w:ascii="PT Astra Serif" w:hAnsi="PT Astra Serif" w:eastAsia="Calibri" w:cs="Calibri"/>
          <w:sz w:val="24"/>
          <w:szCs w:val="24"/>
        </w:rPr>
      </w:pPr>
      <w:r>
        <w:rPr>
          <w:rFonts w:ascii="PT Astra Serif" w:hAnsi="PT Astra Serif" w:eastAsia="Calibri" w:cs="Calibri"/>
          <w:sz w:val="24"/>
          <w:szCs w:val="24"/>
        </w:rPr>
        <w:t xml:space="preserve">введены в эксплуатацию сети водоснабжения и станция водоподготовки производительностью 18 м3/ч по ул. Трудовой, 1б</w:t>
      </w:r>
      <w:r>
        <w:rPr>
          <w:rFonts w:ascii="PT Astra Serif" w:hAnsi="PT Astra Serif" w:eastAsia="Calibri" w:cs="Calibri"/>
          <w:sz w:val="24"/>
          <w:szCs w:val="24"/>
        </w:rPr>
        <w:t xml:space="preserve">,</w:t>
      </w:r>
      <w:r>
        <w:rPr>
          <w:rFonts w:ascii="PT Astra Serif" w:hAnsi="PT Astra Serif" w:eastAsia="Calibri" w:cs="Calibri"/>
          <w:sz w:val="24"/>
          <w:szCs w:val="24"/>
        </w:rPr>
        <w:t xml:space="preserve"> в с. Средний Васюган Каргасокского района.</w:t>
      </w:r>
      <w:r>
        <w:rPr>
          <w:rFonts w:ascii="PT Astra Serif" w:hAnsi="PT Astra Serif" w:eastAsia="Calibri" w:cs="Calibri"/>
          <w:sz w:val="24"/>
          <w:szCs w:val="24"/>
        </w:rPr>
      </w:r>
      <w:r>
        <w:rPr>
          <w:rFonts w:ascii="PT Astra Serif" w:hAnsi="PT Astra Serif" w:eastAsia="Calibri" w:cs="Calibri"/>
          <w:sz w:val="24"/>
          <w:szCs w:val="24"/>
        </w:rPr>
      </w:r>
    </w:p>
    <w:p>
      <w:pPr>
        <w:ind w:firstLine="709"/>
        <w:jc w:val="both"/>
        <w:spacing w:after="0" w:line="240" w:lineRule="auto"/>
        <w:tabs>
          <w:tab w:val="left" w:pos="284" w:leader="none"/>
        </w:tabs>
        <w:rPr>
          <w:rFonts w:ascii="PT Astra Serif" w:hAnsi="PT Astra Serif" w:eastAsia="Calibri"/>
          <w:b/>
          <w:sz w:val="24"/>
          <w:szCs w:val="24"/>
        </w:rPr>
      </w:pPr>
      <w:r>
        <w:rPr>
          <w:rFonts w:ascii="PT Astra Serif" w:hAnsi="PT Astra Serif" w:eastAsia="Calibri"/>
          <w:b/>
          <w:sz w:val="24"/>
          <w:szCs w:val="24"/>
        </w:rPr>
        <w:t xml:space="preserve">Перспективные задачи на 2024 год:</w:t>
      </w:r>
      <w:r>
        <w:rPr>
          <w:rFonts w:ascii="PT Astra Serif" w:hAnsi="PT Astra Serif" w:eastAsia="Calibri"/>
          <w:b/>
          <w:sz w:val="24"/>
          <w:szCs w:val="24"/>
        </w:rPr>
      </w:r>
      <w:r>
        <w:rPr>
          <w:rFonts w:ascii="PT Astra Serif" w:hAnsi="PT Astra Serif" w:eastAsia="Calibri"/>
          <w:b/>
          <w:sz w:val="24"/>
          <w:szCs w:val="24"/>
        </w:rPr>
      </w:r>
    </w:p>
    <w:p>
      <w:pPr>
        <w:ind w:firstLine="709"/>
        <w:jc w:val="both"/>
        <w:spacing w:after="0" w:line="240" w:lineRule="auto"/>
        <w:tabs>
          <w:tab w:val="left" w:pos="284" w:leader="none"/>
        </w:tabs>
        <w:rPr>
          <w:rFonts w:ascii="PT Astra Serif" w:hAnsi="PT Astra Serif" w:eastAsia="Calibri"/>
          <w:sz w:val="24"/>
          <w:szCs w:val="24"/>
        </w:rPr>
      </w:pPr>
      <w:r>
        <w:rPr>
          <w:rFonts w:ascii="PT Astra Serif" w:hAnsi="PT Astra Serif" w:eastAsia="Calibri"/>
          <w:i/>
          <w:sz w:val="24"/>
          <w:szCs w:val="24"/>
        </w:rPr>
        <w:t xml:space="preserve">Региональный проект «Жилье»</w:t>
      </w:r>
      <w:r>
        <w:rPr>
          <w:rFonts w:ascii="PT Astra Serif" w:hAnsi="PT Astra Serif" w:eastAsia="Calibri"/>
          <w:sz w:val="24"/>
          <w:szCs w:val="24"/>
        </w:rPr>
        <w:t xml:space="preserve">:</w:t>
      </w:r>
      <w:r>
        <w:rPr>
          <w:rFonts w:ascii="PT Astra Serif" w:hAnsi="PT Astra Serif" w:eastAsia="Calibri"/>
          <w:sz w:val="24"/>
          <w:szCs w:val="24"/>
        </w:rPr>
      </w:r>
      <w:r>
        <w:rPr>
          <w:rFonts w:ascii="PT Astra Serif" w:hAnsi="PT Astra Serif" w:eastAsia="Calibri"/>
          <w:sz w:val="24"/>
          <w:szCs w:val="24"/>
        </w:rPr>
      </w:r>
    </w:p>
    <w:p>
      <w:pPr>
        <w:pStyle w:val="1152"/>
        <w:numPr>
          <w:ilvl w:val="3"/>
          <w:numId w:val="14"/>
        </w:numPr>
        <w:ind w:left="0" w:firstLine="709"/>
        <w:jc w:val="both"/>
        <w:spacing w:after="0" w:line="240" w:lineRule="auto"/>
        <w:tabs>
          <w:tab w:val="left" w:pos="284" w:leader="none"/>
          <w:tab w:val="left" w:pos="851" w:leader="none"/>
          <w:tab w:val="left" w:pos="993" w:leader="none"/>
        </w:tabs>
        <w:rPr>
          <w:rFonts w:ascii="PT Astra Serif" w:hAnsi="PT Astra Serif" w:cs="Calibri"/>
          <w:sz w:val="24"/>
          <w:szCs w:val="24"/>
        </w:rPr>
      </w:pPr>
      <w:r>
        <w:rPr>
          <w:rFonts w:ascii="PT Astra Serif" w:hAnsi="PT Astra Serif" w:cs="Calibri"/>
          <w:sz w:val="24"/>
          <w:szCs w:val="24"/>
        </w:rPr>
        <w:t xml:space="preserve">Увеличение объема жилищного строительства до 546,0 тыс. кв. м.</w:t>
      </w:r>
      <w:r>
        <w:rPr>
          <w:rFonts w:ascii="PT Astra Serif" w:hAnsi="PT Astra Serif" w:cs="Calibri"/>
          <w:sz w:val="24"/>
          <w:szCs w:val="24"/>
        </w:rPr>
      </w:r>
      <w:r>
        <w:rPr>
          <w:rFonts w:ascii="PT Astra Serif" w:hAnsi="PT Astra Serif" w:cs="Calibri"/>
          <w:sz w:val="24"/>
          <w:szCs w:val="24"/>
        </w:rPr>
      </w:r>
    </w:p>
    <w:p>
      <w:pPr>
        <w:ind w:firstLine="709"/>
        <w:jc w:val="both"/>
        <w:spacing w:after="0" w:line="240" w:lineRule="auto"/>
        <w:tabs>
          <w:tab w:val="left" w:pos="284" w:leader="none"/>
          <w:tab w:val="left" w:pos="993" w:leader="none"/>
        </w:tabs>
        <w:rPr>
          <w:rFonts w:ascii="PT Astra Serif" w:hAnsi="PT Astra Serif" w:eastAsia="Calibri"/>
          <w:sz w:val="24"/>
          <w:szCs w:val="24"/>
        </w:rPr>
      </w:pPr>
      <w:r>
        <w:rPr>
          <w:rFonts w:ascii="PT Astra Serif" w:hAnsi="PT Astra Serif" w:eastAsia="Calibri"/>
          <w:i/>
          <w:sz w:val="24"/>
          <w:szCs w:val="24"/>
        </w:rPr>
        <w:t xml:space="preserve">Региональный проект «Формирование комфортной городской среды»</w:t>
      </w:r>
      <w:r>
        <w:rPr>
          <w:rFonts w:ascii="PT Astra Serif" w:hAnsi="PT Astra Serif" w:eastAsia="Calibri"/>
          <w:sz w:val="24"/>
          <w:szCs w:val="24"/>
        </w:rPr>
        <w:t xml:space="preserve">:</w:t>
      </w:r>
      <w:r>
        <w:rPr>
          <w:rFonts w:ascii="PT Astra Serif" w:hAnsi="PT Astra Serif" w:eastAsia="Calibri"/>
          <w:sz w:val="24"/>
          <w:szCs w:val="24"/>
        </w:rPr>
      </w:r>
      <w:r>
        <w:rPr>
          <w:rFonts w:ascii="PT Astra Serif" w:hAnsi="PT Astra Serif" w:eastAsia="Calibri"/>
          <w:sz w:val="24"/>
          <w:szCs w:val="24"/>
        </w:rPr>
      </w:r>
    </w:p>
    <w:p>
      <w:pPr>
        <w:pStyle w:val="1152"/>
        <w:numPr>
          <w:ilvl w:val="6"/>
          <w:numId w:val="43"/>
        </w:numPr>
        <w:ind w:left="0" w:firstLine="709"/>
        <w:jc w:val="both"/>
        <w:spacing w:after="0" w:line="240" w:lineRule="auto"/>
        <w:tabs>
          <w:tab w:val="left" w:pos="284" w:leader="none"/>
          <w:tab w:val="left" w:pos="993" w:leader="none"/>
          <w:tab w:val="left" w:pos="1134" w:leader="none"/>
        </w:tabs>
        <w:rPr>
          <w:rFonts w:ascii="PT Astra Serif" w:hAnsi="PT Astra Serif"/>
          <w:sz w:val="24"/>
          <w:szCs w:val="24"/>
        </w:rPr>
      </w:pPr>
      <w:r>
        <w:rPr>
          <w:rFonts w:ascii="PT Astra Serif" w:hAnsi="PT Astra Serif"/>
          <w:sz w:val="24"/>
          <w:szCs w:val="24"/>
        </w:rPr>
        <w:t xml:space="preserve">Благоустройство 50 общественных территорий во всех муниципальн</w:t>
      </w:r>
      <w:r>
        <w:rPr>
          <w:rFonts w:ascii="PT Astra Serif" w:hAnsi="PT Astra Serif"/>
          <w:sz w:val="24"/>
          <w:szCs w:val="24"/>
        </w:rPr>
        <w:t xml:space="preserve">ых образованиях Томской области.</w:t>
      </w:r>
      <w:r>
        <w:rPr>
          <w:rFonts w:ascii="PT Astra Serif" w:hAnsi="PT Astra Serif"/>
          <w:sz w:val="24"/>
          <w:szCs w:val="24"/>
        </w:rPr>
      </w:r>
      <w:r>
        <w:rPr>
          <w:rFonts w:ascii="PT Astra Serif" w:hAnsi="PT Astra Serif"/>
          <w:sz w:val="24"/>
          <w:szCs w:val="24"/>
        </w:rPr>
      </w:r>
    </w:p>
    <w:p>
      <w:pPr>
        <w:pStyle w:val="1152"/>
        <w:numPr>
          <w:ilvl w:val="0"/>
          <w:numId w:val="43"/>
        </w:numPr>
        <w:ind w:left="0" w:firstLine="709"/>
        <w:jc w:val="both"/>
        <w:spacing w:after="0" w:line="240" w:lineRule="auto"/>
        <w:tabs>
          <w:tab w:val="left" w:pos="284" w:leader="none"/>
          <w:tab w:val="left" w:pos="851" w:leader="none"/>
          <w:tab w:val="left" w:pos="993" w:leader="none"/>
        </w:tabs>
        <w:rPr>
          <w:rFonts w:ascii="PT Astra Serif" w:hAnsi="PT Astra Serif"/>
          <w:sz w:val="24"/>
          <w:szCs w:val="24"/>
        </w:rPr>
      </w:pPr>
      <w:r>
        <w:rPr>
          <w:rFonts w:ascii="PT Astra Serif" w:hAnsi="PT Astra Serif"/>
          <w:sz w:val="24"/>
          <w:szCs w:val="24"/>
        </w:rPr>
        <w:t xml:space="preserve">Реализация проекта по благоустройству центральной части города Стрежевого «Сердце Нефтеграда. ВСЕ В ПАРК!».</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284" w:leader="none"/>
          <w:tab w:val="left" w:pos="993" w:leader="none"/>
        </w:tabs>
        <w:rPr>
          <w:rFonts w:ascii="PT Astra Serif" w:hAnsi="PT Astra Serif" w:eastAsia="Calibri"/>
          <w:i/>
          <w:sz w:val="24"/>
          <w:szCs w:val="24"/>
        </w:rPr>
      </w:pPr>
      <w:r>
        <w:rPr>
          <w:rFonts w:ascii="PT Astra Serif" w:hAnsi="PT Astra Serif" w:eastAsia="Calibri"/>
          <w:i/>
          <w:sz w:val="24"/>
          <w:szCs w:val="24"/>
        </w:rPr>
        <w:t xml:space="preserve">Региональный проект «Обеспечение устойчивого сокращения непригодного</w:t>
      </w:r>
      <w:r>
        <w:rPr>
          <w:rFonts w:ascii="PT Astra Serif" w:hAnsi="PT Astra Serif" w:eastAsia="Calibri"/>
          <w:i/>
          <w:sz w:val="24"/>
          <w:szCs w:val="24"/>
        </w:rPr>
        <w:br/>
        <w:t xml:space="preserve">для проживания жилищного фонда»:</w:t>
      </w:r>
      <w:r>
        <w:rPr>
          <w:rFonts w:ascii="PT Astra Serif" w:hAnsi="PT Astra Serif" w:eastAsia="Calibri"/>
          <w:i/>
          <w:sz w:val="24"/>
          <w:szCs w:val="24"/>
        </w:rPr>
      </w:r>
      <w:r>
        <w:rPr>
          <w:rFonts w:ascii="PT Astra Serif" w:hAnsi="PT Astra Serif" w:eastAsia="Calibri"/>
          <w:i/>
          <w:sz w:val="24"/>
          <w:szCs w:val="24"/>
        </w:rPr>
      </w:r>
    </w:p>
    <w:p>
      <w:pPr>
        <w:pStyle w:val="1152"/>
        <w:numPr>
          <w:ilvl w:val="6"/>
          <w:numId w:val="44"/>
        </w:numPr>
        <w:ind w:left="0" w:firstLine="709"/>
        <w:jc w:val="both"/>
        <w:spacing w:after="0" w:line="240" w:lineRule="auto"/>
        <w:tabs>
          <w:tab w:val="left" w:pos="284" w:leader="none"/>
          <w:tab w:val="left" w:pos="851" w:leader="none"/>
          <w:tab w:val="left" w:pos="993" w:leader="none"/>
        </w:tabs>
        <w:rPr>
          <w:rFonts w:ascii="PT Astra Serif" w:hAnsi="PT Astra Serif"/>
          <w:sz w:val="24"/>
          <w:szCs w:val="24"/>
        </w:rPr>
      </w:pPr>
      <w:r>
        <w:rPr>
          <w:rFonts w:ascii="PT Astra Serif" w:hAnsi="PT Astra Serif"/>
          <w:sz w:val="24"/>
          <w:szCs w:val="24"/>
        </w:rPr>
        <w:t xml:space="preserve">Обеспечение расселения 520 человек с 7 690 кв. метров аварийного жилья.</w:t>
      </w:r>
      <w:r>
        <w:rPr>
          <w:rFonts w:ascii="PT Astra Serif" w:hAnsi="PT Astra Serif"/>
          <w:sz w:val="24"/>
          <w:szCs w:val="24"/>
        </w:rPr>
      </w:r>
      <w:r>
        <w:rPr>
          <w:rFonts w:ascii="PT Astra Serif" w:hAnsi="PT Astra Serif"/>
          <w:sz w:val="24"/>
          <w:szCs w:val="24"/>
        </w:rPr>
      </w:r>
    </w:p>
    <w:p>
      <w:pPr>
        <w:pStyle w:val="1152"/>
        <w:numPr>
          <w:ilvl w:val="0"/>
          <w:numId w:val="44"/>
        </w:numPr>
        <w:ind w:left="0" w:firstLine="709"/>
        <w:jc w:val="both"/>
        <w:spacing w:after="0" w:line="240" w:lineRule="auto"/>
        <w:tabs>
          <w:tab w:val="left" w:pos="284" w:leader="none"/>
          <w:tab w:val="left" w:pos="851" w:leader="none"/>
          <w:tab w:val="left" w:pos="993" w:leader="none"/>
        </w:tabs>
        <w:rPr>
          <w:rFonts w:ascii="PT Astra Serif" w:hAnsi="PT Astra Serif"/>
          <w:sz w:val="24"/>
          <w:szCs w:val="24"/>
        </w:rPr>
      </w:pPr>
      <w:r>
        <w:rPr>
          <w:rFonts w:ascii="PT Astra Serif" w:hAnsi="PT Astra Serif"/>
          <w:sz w:val="24"/>
          <w:szCs w:val="24"/>
        </w:rPr>
        <w:t xml:space="preserve">Ввод в эксплуатацию МКД в мкр. № 8 г. Томска ул. Петра Федоровского 10, 12 (</w:t>
      </w:r>
      <w:r>
        <w:rPr>
          <w:rFonts w:ascii="PT Astra Serif" w:hAnsi="PT Astra Serif"/>
          <w:sz w:val="24"/>
          <w:szCs w:val="24"/>
        </w:rPr>
        <w:t xml:space="preserve">д</w:t>
      </w:r>
      <w:r>
        <w:rPr>
          <w:rFonts w:ascii="PT Astra Serif" w:hAnsi="PT Astra Serif"/>
          <w:sz w:val="24"/>
          <w:szCs w:val="24"/>
        </w:rPr>
        <w:t xml:space="preserve">ом № 1 и № 2).</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tabs>
          <w:tab w:val="left" w:pos="284" w:leader="none"/>
          <w:tab w:val="left" w:pos="851" w:leader="none"/>
        </w:tabs>
        <w:rPr>
          <w:rFonts w:ascii="PT Astra Serif" w:hAnsi="PT Astra Serif"/>
          <w:bCs/>
          <w:i/>
          <w:sz w:val="24"/>
          <w:szCs w:val="24"/>
        </w:rPr>
      </w:pPr>
      <w:r>
        <w:rPr>
          <w:rFonts w:ascii="PT Astra Serif" w:hAnsi="PT Astra Serif"/>
          <w:bCs/>
          <w:i/>
          <w:sz w:val="24"/>
          <w:szCs w:val="24"/>
        </w:rPr>
        <w:t xml:space="preserve">Региональный проект «Чистая вода»:</w:t>
      </w:r>
      <w:r>
        <w:rPr>
          <w:rFonts w:ascii="PT Astra Serif" w:hAnsi="PT Astra Serif"/>
          <w:bCs/>
          <w:i/>
          <w:sz w:val="24"/>
          <w:szCs w:val="24"/>
        </w:rPr>
      </w:r>
      <w:r>
        <w:rPr>
          <w:rFonts w:ascii="PT Astra Serif" w:hAnsi="PT Astra Serif"/>
          <w:bCs/>
          <w:i/>
          <w:sz w:val="24"/>
          <w:szCs w:val="24"/>
        </w:rPr>
      </w:r>
    </w:p>
    <w:p>
      <w:pPr>
        <w:pStyle w:val="1152"/>
        <w:numPr>
          <w:ilvl w:val="3"/>
          <w:numId w:val="13"/>
        </w:numPr>
        <w:ind w:left="0" w:firstLine="709"/>
        <w:jc w:val="both"/>
        <w:spacing w:after="0" w:line="240" w:lineRule="auto"/>
        <w:tabs>
          <w:tab w:val="left" w:pos="284" w:leader="none"/>
          <w:tab w:val="left" w:pos="851" w:leader="none"/>
          <w:tab w:val="left" w:pos="993" w:leader="none"/>
        </w:tabs>
        <w:rPr>
          <w:rFonts w:ascii="PT Astra Serif" w:hAnsi="PT Astra Serif"/>
          <w:sz w:val="24"/>
          <w:szCs w:val="24"/>
        </w:rPr>
      </w:pPr>
      <w:r>
        <w:rPr>
          <w:rFonts w:ascii="PT Astra Serif" w:hAnsi="PT Astra Serif"/>
          <w:sz w:val="24"/>
          <w:szCs w:val="24"/>
        </w:rPr>
        <w:t xml:space="preserve">Строительство (реконструкция) 1 объекта на территории с. Первомайского Первомайского сельского поселения.</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tabs>
          <w:tab w:val="left" w:pos="284" w:leader="none"/>
          <w:tab w:val="left" w:pos="851"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b/>
          <w:sz w:val="24"/>
          <w:szCs w:val="24"/>
        </w:rPr>
      </w:pPr>
      <w:r>
        <w:rPr>
          <w:rFonts w:ascii="PT Astra Serif" w:hAnsi="PT Astra Serif"/>
          <w:b/>
          <w:sz w:val="24"/>
          <w:szCs w:val="24"/>
        </w:rPr>
        <w:t xml:space="preserve">Национальный проект «Экология»</w:t>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На достижение целей национального проекта в Томской области в 2023 году были направлены 4 региональных проекта. Фактический объем фи</w:t>
      </w:r>
      <w:r>
        <w:rPr>
          <w:rFonts w:ascii="PT Astra Serif" w:hAnsi="PT Astra Serif"/>
          <w:sz w:val="24"/>
          <w:szCs w:val="24"/>
        </w:rPr>
        <w:t xml:space="preserve">нансирования составил 207,1 млн</w:t>
      </w:r>
      <w:r>
        <w:rPr>
          <w:rFonts w:ascii="PT Astra Serif" w:hAnsi="PT Astra Serif"/>
          <w:sz w:val="24"/>
          <w:szCs w:val="24"/>
        </w:rPr>
        <w:t xml:space="preserve"> рублей.</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b/>
          <w:sz w:val="24"/>
          <w:szCs w:val="24"/>
        </w:rPr>
      </w:pPr>
      <w:r>
        <w:rPr>
          <w:rFonts w:ascii="PT Astra Serif" w:hAnsi="PT Astra Serif"/>
          <w:b/>
          <w:sz w:val="24"/>
          <w:szCs w:val="24"/>
        </w:rPr>
        <w:t xml:space="preserve">Итоги 2023 года:</w:t>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sz w:val="24"/>
          <w:szCs w:val="24"/>
        </w:rPr>
        <w:t xml:space="preserve">В рамках</w:t>
      </w:r>
      <w:r>
        <w:rPr>
          <w:rFonts w:ascii="PT Astra Serif" w:hAnsi="PT Astra Serif"/>
          <w:i/>
          <w:sz w:val="24"/>
          <w:szCs w:val="24"/>
        </w:rPr>
        <w:t xml:space="preserve"> регионального проекта «Чистая страна»:</w:t>
      </w:r>
      <w:r>
        <w:rPr>
          <w:rFonts w:ascii="PT Astra Serif" w:hAnsi="PT Astra Serif"/>
          <w:i/>
          <w:sz w:val="24"/>
          <w:szCs w:val="24"/>
        </w:rPr>
      </w:r>
      <w:r>
        <w:rPr>
          <w:rFonts w:ascii="PT Astra Serif" w:hAnsi="PT Astra Serif"/>
          <w:i/>
          <w:sz w:val="24"/>
          <w:szCs w:val="24"/>
        </w:rPr>
      </w:r>
    </w:p>
    <w:p>
      <w:pPr>
        <w:pStyle w:val="1152"/>
        <w:numPr>
          <w:ilvl w:val="0"/>
          <w:numId w:val="45"/>
        </w:numPr>
        <w:ind w:left="0" w:firstLine="709"/>
        <w:jc w:val="both"/>
        <w:spacing w:after="0" w:line="240" w:lineRule="auto"/>
        <w:tabs>
          <w:tab w:val="left" w:pos="993" w:leader="none"/>
        </w:tabs>
        <w:rPr>
          <w:rFonts w:ascii="PT Astra Serif" w:hAnsi="PT Astra Serif"/>
          <w:strike/>
          <w:sz w:val="24"/>
          <w:szCs w:val="24"/>
        </w:rPr>
      </w:pPr>
      <w:r>
        <w:rPr>
          <w:rFonts w:ascii="PT Astra Serif" w:hAnsi="PT Astra Serif"/>
          <w:bCs/>
          <w:sz w:val="24"/>
          <w:szCs w:val="24"/>
        </w:rPr>
        <w:t xml:space="preserve">Возобновление работ на полигоне </w:t>
      </w:r>
      <w:r>
        <w:rPr>
          <w:rFonts w:ascii="PT Astra Serif" w:hAnsi="PT Astra Serif"/>
          <w:sz w:val="24"/>
          <w:szCs w:val="24"/>
        </w:rPr>
        <w:t xml:space="preserve">твердых бытовых отходов</w:t>
      </w:r>
      <w:r>
        <w:rPr>
          <w:rFonts w:ascii="PT Astra Serif" w:hAnsi="PT Astra Serif"/>
          <w:sz w:val="24"/>
          <w:szCs w:val="24"/>
        </w:rPr>
        <w:t xml:space="preserve"> (далее - ТБО)</w:t>
      </w:r>
      <w:r>
        <w:rPr>
          <w:rFonts w:ascii="PT Astra Serif" w:hAnsi="PT Astra Serif"/>
          <w:strike/>
          <w:sz w:val="24"/>
          <w:szCs w:val="24"/>
        </w:rPr>
        <w:t xml:space="preserve"> </w:t>
      </w:r>
      <w:r>
        <w:rPr>
          <w:rFonts w:ascii="PT Astra Serif" w:hAnsi="PT Astra Serif"/>
          <w:bCs/>
          <w:sz w:val="24"/>
          <w:szCs w:val="24"/>
        </w:rPr>
        <w:t xml:space="preserve">с. Новомихайловка. Выполнение планировки свалочного тела, устройства противофильтрационного этапа.</w:t>
      </w:r>
      <w:r>
        <w:rPr>
          <w:rFonts w:ascii="PT Astra Serif" w:hAnsi="PT Astra Serif"/>
          <w:strike/>
          <w:sz w:val="24"/>
          <w:szCs w:val="24"/>
        </w:rPr>
      </w:r>
      <w:r>
        <w:rPr>
          <w:rFonts w:ascii="PT Astra Serif" w:hAnsi="PT Astra Serif"/>
          <w:strike/>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sz w:val="24"/>
          <w:szCs w:val="24"/>
        </w:rPr>
        <w:t xml:space="preserve">В рамках</w:t>
      </w:r>
      <w:r>
        <w:rPr>
          <w:rFonts w:ascii="PT Astra Serif" w:hAnsi="PT Astra Serif"/>
          <w:i/>
          <w:sz w:val="24"/>
          <w:szCs w:val="24"/>
        </w:rPr>
        <w:t xml:space="preserve"> регионального проекта «Комплексная система обращения с твердыми коммунальными отходами»:</w:t>
      </w:r>
      <w:r>
        <w:rPr>
          <w:rFonts w:ascii="PT Astra Serif" w:hAnsi="PT Astra Serif"/>
          <w:i/>
          <w:sz w:val="24"/>
          <w:szCs w:val="24"/>
        </w:rPr>
      </w:r>
      <w:r>
        <w:rPr>
          <w:rFonts w:ascii="PT Astra Serif" w:hAnsi="PT Astra Serif"/>
          <w:i/>
          <w:sz w:val="24"/>
          <w:szCs w:val="24"/>
        </w:rPr>
      </w:r>
    </w:p>
    <w:p>
      <w:pPr>
        <w:pStyle w:val="1152"/>
        <w:numPr>
          <w:ilvl w:val="0"/>
          <w:numId w:val="59"/>
        </w:numPr>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в апреле 2023 г</w:t>
      </w:r>
      <w:r>
        <w:rPr>
          <w:rFonts w:ascii="PT Astra Serif" w:hAnsi="PT Astra Serif"/>
          <w:sz w:val="24"/>
          <w:szCs w:val="24"/>
        </w:rPr>
        <w:t xml:space="preserve">ода</w:t>
      </w:r>
      <w:r>
        <w:rPr>
          <w:rFonts w:ascii="PT Astra Serif" w:hAnsi="PT Astra Serif"/>
          <w:sz w:val="24"/>
          <w:szCs w:val="24"/>
        </w:rPr>
        <w:t xml:space="preserve"> заключено концессионное соглашение между Томской областью </w:t>
      </w:r>
      <w:r>
        <w:rPr>
          <w:rFonts w:ascii="PT Astra Serif" w:hAnsi="PT Astra Serif"/>
          <w:sz w:val="24"/>
          <w:szCs w:val="24"/>
        </w:rPr>
        <w:t xml:space="preserve">и</w:t>
      </w:r>
      <w:r>
        <w:rPr>
          <w:rFonts w:ascii="PT Astra Serif" w:hAnsi="PT Astra Serif"/>
          <w:sz w:val="24"/>
          <w:szCs w:val="24"/>
        </w:rPr>
        <w:t xml:space="preserve"> инвестором ООО «Томск</w:t>
      </w:r>
      <w:r>
        <w:rPr>
          <w:rFonts w:ascii="PT Astra Serif" w:hAnsi="PT Astra Serif"/>
          <w:sz w:val="24"/>
          <w:szCs w:val="24"/>
        </w:rPr>
        <w:t xml:space="preserve">ая</w:t>
      </w:r>
      <w:r>
        <w:rPr>
          <w:rFonts w:ascii="PT Astra Serif" w:hAnsi="PT Astra Serif"/>
          <w:sz w:val="24"/>
          <w:szCs w:val="24"/>
        </w:rPr>
        <w:t xml:space="preserve"> региональн</w:t>
      </w:r>
      <w:r>
        <w:rPr>
          <w:rFonts w:ascii="PT Astra Serif" w:hAnsi="PT Astra Serif"/>
          <w:sz w:val="24"/>
          <w:szCs w:val="24"/>
        </w:rPr>
        <w:t xml:space="preserve">ая</w:t>
      </w:r>
      <w:r>
        <w:rPr>
          <w:rFonts w:ascii="PT Astra Serif" w:hAnsi="PT Astra Serif"/>
          <w:sz w:val="24"/>
          <w:szCs w:val="24"/>
        </w:rPr>
        <w:t xml:space="preserve"> концессионн</w:t>
      </w:r>
      <w:r>
        <w:rPr>
          <w:rFonts w:ascii="PT Astra Serif" w:hAnsi="PT Astra Serif"/>
          <w:sz w:val="24"/>
          <w:szCs w:val="24"/>
        </w:rPr>
        <w:t xml:space="preserve">ая</w:t>
      </w:r>
      <w:r>
        <w:rPr>
          <w:rFonts w:ascii="PT Astra Serif" w:hAnsi="PT Astra Serif"/>
          <w:sz w:val="24"/>
          <w:szCs w:val="24"/>
        </w:rPr>
        <w:t xml:space="preserve"> комп</w:t>
      </w:r>
      <w:r>
        <w:rPr>
          <w:rFonts w:ascii="PT Astra Serif" w:hAnsi="PT Astra Serif"/>
          <w:sz w:val="24"/>
          <w:szCs w:val="24"/>
        </w:rPr>
        <w:t xml:space="preserve">ания</w:t>
      </w:r>
      <w:r>
        <w:rPr>
          <w:rFonts w:ascii="PT Astra Serif" w:hAnsi="PT Astra Serif"/>
          <w:sz w:val="24"/>
          <w:szCs w:val="24"/>
        </w:rPr>
        <w:t xml:space="preserve">» на строительство мусоросортировочного комплекса мощностью до 250 000 тонн в год с участком компостирования мощностью до 100 000 тонн в год. На земельном участке завершены подготовительные работы. Проведена закупка оборудования.</w:t>
      </w:r>
      <w:r>
        <w:rPr>
          <w:rFonts w:ascii="PT Astra Serif" w:hAnsi="PT Astra Serif"/>
          <w:sz w:val="24"/>
          <w:szCs w:val="24"/>
        </w:rPr>
      </w:r>
      <w:r>
        <w:rPr>
          <w:rFonts w:ascii="PT Astra Serif" w:hAnsi="PT Astra Serif"/>
          <w:sz w:val="24"/>
          <w:szCs w:val="24"/>
        </w:rPr>
      </w:r>
    </w:p>
    <w:p>
      <w:pPr>
        <w:pStyle w:val="1152"/>
        <w:numPr>
          <w:ilvl w:val="0"/>
          <w:numId w:val="45"/>
        </w:numPr>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доля направленных на захоронение твердых коммунальных отходов, в том числе прошедших обработку (сортировку), в общей массе образованных твердых коммунальных отходов составила 97,6% (план – 100%</w:t>
      </w:r>
      <w:r>
        <w:rPr>
          <w:rFonts w:ascii="PT Astra Serif" w:hAnsi="PT Astra Serif"/>
          <w:sz w:val="24"/>
          <w:szCs w:val="24"/>
        </w:rPr>
        <w:t xml:space="preserve">, убывающий</w:t>
      </w:r>
      <w:r>
        <w:rPr>
          <w:rFonts w:ascii="PT Astra Serif" w:hAnsi="PT Astra Serif"/>
          <w:sz w:val="24"/>
          <w:szCs w:val="24"/>
        </w:rPr>
        <w:t xml:space="preserve">); </w:t>
      </w:r>
      <w:r>
        <w:rPr>
          <w:rFonts w:ascii="PT Astra Serif" w:hAnsi="PT Astra Serif"/>
          <w:sz w:val="24"/>
          <w:szCs w:val="24"/>
        </w:rPr>
      </w:r>
      <w:r>
        <w:rPr>
          <w:rFonts w:ascii="PT Astra Serif" w:hAnsi="PT Astra Serif"/>
          <w:sz w:val="24"/>
          <w:szCs w:val="24"/>
        </w:rPr>
      </w:r>
    </w:p>
    <w:p>
      <w:pPr>
        <w:pStyle w:val="1152"/>
        <w:numPr>
          <w:ilvl w:val="0"/>
          <w:numId w:val="45"/>
        </w:numPr>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доля направленных на обработку (сортировку) твердых коммунальных отходов в общей массе образованных твердых коммунальных отходов составила 7,3% (план – 7,3%). </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sz w:val="24"/>
          <w:szCs w:val="24"/>
        </w:rPr>
        <w:t xml:space="preserve">В рамках</w:t>
      </w:r>
      <w:r>
        <w:rPr>
          <w:rFonts w:ascii="PT Astra Serif" w:hAnsi="PT Astra Serif"/>
          <w:i/>
          <w:sz w:val="24"/>
          <w:szCs w:val="24"/>
        </w:rPr>
        <w:t xml:space="preserve"> регионального проекта «Сохранение уникальных водных объектов»:</w:t>
      </w:r>
      <w:r>
        <w:rPr>
          <w:rFonts w:ascii="PT Astra Serif" w:hAnsi="PT Astra Serif"/>
          <w:i/>
          <w:sz w:val="24"/>
          <w:szCs w:val="24"/>
        </w:rPr>
      </w:r>
      <w:r>
        <w:rPr>
          <w:rFonts w:ascii="PT Astra Serif" w:hAnsi="PT Astra Serif"/>
          <w:i/>
          <w:sz w:val="24"/>
          <w:szCs w:val="24"/>
        </w:rPr>
      </w:r>
    </w:p>
    <w:p>
      <w:pPr>
        <w:pStyle w:val="1152"/>
        <w:numPr>
          <w:ilvl w:val="0"/>
          <w:numId w:val="60"/>
        </w:numPr>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выполнены работы 3-го этапа по расчистке озера Док в ЗАТО Северск;</w:t>
      </w:r>
      <w:r>
        <w:rPr>
          <w:rFonts w:ascii="PT Astra Serif" w:hAnsi="PT Astra Serif"/>
          <w:sz w:val="24"/>
          <w:szCs w:val="24"/>
        </w:rPr>
      </w:r>
      <w:r>
        <w:rPr>
          <w:rFonts w:ascii="PT Astra Serif" w:hAnsi="PT Astra Serif"/>
          <w:sz w:val="24"/>
          <w:szCs w:val="24"/>
        </w:rPr>
      </w:r>
    </w:p>
    <w:p>
      <w:pPr>
        <w:pStyle w:val="1152"/>
        <w:numPr>
          <w:ilvl w:val="0"/>
          <w:numId w:val="60"/>
        </w:numPr>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выполнены работы 1</w:t>
      </w:r>
      <w:r>
        <w:rPr>
          <w:rFonts w:ascii="PT Astra Serif" w:hAnsi="PT Astra Serif"/>
          <w:sz w:val="24"/>
          <w:szCs w:val="24"/>
        </w:rPr>
        <w:t xml:space="preserve"> </w:t>
      </w:r>
      <w:r>
        <w:rPr>
          <w:rFonts w:ascii="PT Astra Serif" w:hAnsi="PT Astra Serif" w:cstheme="minorBidi"/>
          <w:sz w:val="24"/>
          <w:szCs w:val="24"/>
        </w:rPr>
        <w:t xml:space="preserve">–</w:t>
      </w:r>
      <w:r>
        <w:rPr>
          <w:rFonts w:ascii="PT Astra Serif" w:hAnsi="PT Astra Serif"/>
          <w:sz w:val="24"/>
          <w:szCs w:val="24"/>
        </w:rPr>
        <w:t xml:space="preserve"> </w:t>
      </w:r>
      <w:r>
        <w:rPr>
          <w:rFonts w:ascii="PT Astra Serif" w:hAnsi="PT Astra Serif"/>
          <w:sz w:val="24"/>
          <w:szCs w:val="24"/>
        </w:rPr>
        <w:t xml:space="preserve">3</w:t>
      </w:r>
      <w:r>
        <w:rPr>
          <w:rFonts w:ascii="PT Astra Serif" w:hAnsi="PT Astra Serif"/>
          <w:sz w:val="24"/>
          <w:szCs w:val="24"/>
        </w:rPr>
        <w:t xml:space="preserve">-го</w:t>
      </w:r>
      <w:r>
        <w:rPr>
          <w:rFonts w:ascii="PT Astra Serif" w:hAnsi="PT Astra Serif"/>
          <w:sz w:val="24"/>
          <w:szCs w:val="24"/>
        </w:rPr>
        <w:t xml:space="preserve"> этапов по расчистке озера Беленькое в г. Томске.  </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sz w:val="24"/>
          <w:szCs w:val="24"/>
        </w:rPr>
        <w:t xml:space="preserve">В рамках</w:t>
      </w:r>
      <w:r>
        <w:rPr>
          <w:rFonts w:ascii="PT Astra Serif" w:hAnsi="PT Astra Serif"/>
          <w:i/>
          <w:sz w:val="24"/>
          <w:szCs w:val="24"/>
        </w:rPr>
        <w:t xml:space="preserve"> регионального проекта «Сохранение лесов»:</w:t>
      </w:r>
      <w:r>
        <w:rPr>
          <w:rFonts w:ascii="PT Astra Serif" w:hAnsi="PT Astra Serif"/>
          <w:i/>
          <w:sz w:val="24"/>
          <w:szCs w:val="24"/>
        </w:rPr>
      </w:r>
      <w:r>
        <w:rPr>
          <w:rFonts w:ascii="PT Astra Serif" w:hAnsi="PT Astra Serif"/>
          <w:i/>
          <w:sz w:val="24"/>
          <w:szCs w:val="24"/>
        </w:rPr>
      </w:r>
    </w:p>
    <w:p>
      <w:pPr>
        <w:pStyle w:val="1152"/>
        <w:numPr>
          <w:ilvl w:val="0"/>
          <w:numId w:val="46"/>
        </w:numPr>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выполнены мероприятия по увеличению площади лесовосстановления на площади 614,2 га (план – 613,4 га);</w:t>
      </w:r>
      <w:r>
        <w:rPr>
          <w:rFonts w:ascii="PT Astra Serif" w:hAnsi="PT Astra Serif"/>
          <w:sz w:val="24"/>
          <w:szCs w:val="24"/>
        </w:rPr>
      </w:r>
      <w:r>
        <w:rPr>
          <w:rFonts w:ascii="PT Astra Serif" w:hAnsi="PT Astra Serif"/>
          <w:sz w:val="24"/>
          <w:szCs w:val="24"/>
        </w:rPr>
      </w:r>
    </w:p>
    <w:p>
      <w:pPr>
        <w:pStyle w:val="1152"/>
        <w:numPr>
          <w:ilvl w:val="0"/>
          <w:numId w:val="46"/>
        </w:numPr>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оснащены специализированные у</w:t>
      </w:r>
      <w:r>
        <w:rPr>
          <w:rFonts w:ascii="PT Astra Serif" w:hAnsi="PT Astra Serif"/>
          <w:sz w:val="24"/>
          <w:szCs w:val="24"/>
        </w:rPr>
        <w:t xml:space="preserve">чреждения органов государственной власти субъектов Российской Федерации лесопожарной техникой и оборудованием для проведения комплекса процессных мероприятий по охране лесов от пожаров в количестве 1 единица техники и 46 единиц лесопожарного оборудования. </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i/>
          <w:sz w:val="24"/>
          <w:szCs w:val="24"/>
        </w:rPr>
      </w:r>
      <w:r>
        <w:rPr>
          <w:rFonts w:ascii="PT Astra Serif" w:hAnsi="PT Astra Serif"/>
          <w:i/>
          <w:sz w:val="24"/>
          <w:szCs w:val="24"/>
        </w:rPr>
      </w:r>
      <w:r>
        <w:rPr>
          <w:rFonts w:ascii="PT Astra Serif" w:hAnsi="PT Astra Serif"/>
          <w:i/>
          <w:sz w:val="24"/>
          <w:szCs w:val="24"/>
        </w:rPr>
      </w:r>
    </w:p>
    <w:p>
      <w:pPr>
        <w:ind w:firstLine="709"/>
        <w:jc w:val="both"/>
        <w:spacing w:after="0" w:line="240" w:lineRule="auto"/>
        <w:tabs>
          <w:tab w:val="left" w:pos="993" w:leader="none"/>
        </w:tabs>
        <w:rPr>
          <w:rFonts w:ascii="PT Astra Serif" w:hAnsi="PT Astra Serif"/>
          <w:b/>
          <w:sz w:val="24"/>
          <w:szCs w:val="24"/>
        </w:rPr>
      </w:pPr>
      <w:r>
        <w:rPr>
          <w:rFonts w:ascii="PT Astra Serif" w:hAnsi="PT Astra Serif"/>
          <w:b/>
          <w:sz w:val="24"/>
          <w:szCs w:val="24"/>
        </w:rPr>
        <w:t xml:space="preserve">Перспективные задачи на 2024 год:</w:t>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i/>
          <w:sz w:val="24"/>
          <w:szCs w:val="24"/>
        </w:rPr>
        <w:t xml:space="preserve">Региональный проект «Чистая страна»:</w:t>
      </w:r>
      <w:r>
        <w:rPr>
          <w:rFonts w:ascii="PT Astra Serif" w:hAnsi="PT Astra Serif"/>
          <w:i/>
          <w:sz w:val="24"/>
          <w:szCs w:val="24"/>
        </w:rPr>
      </w:r>
      <w:r>
        <w:rPr>
          <w:rFonts w:ascii="PT Astra Serif" w:hAnsi="PT Astra Serif"/>
          <w:i/>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1. Завершение работ по планировке свалочного тела и прилегающей территории, устройству противофильтрационного экрана.</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2.</w:t>
      </w:r>
      <w:r>
        <w:rPr>
          <w:rFonts w:ascii="PT Astra Serif" w:hAnsi="PT Astra Serif"/>
          <w:bCs/>
          <w:sz w:val="24"/>
          <w:szCs w:val="24"/>
        </w:rPr>
        <w:t xml:space="preserve"> Завершение технического этапа работ на полигоне ТБО с. Новомихайловка, начало биологического этапа.</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i/>
          <w:sz w:val="24"/>
          <w:szCs w:val="24"/>
        </w:rPr>
        <w:t xml:space="preserve">Региональный проект «Комплексная система обращения с твердыми коммунальными отходами»:</w:t>
      </w:r>
      <w:r>
        <w:rPr>
          <w:rFonts w:ascii="PT Astra Serif" w:hAnsi="PT Astra Serif"/>
          <w:i/>
          <w:sz w:val="24"/>
          <w:szCs w:val="24"/>
        </w:rPr>
      </w:r>
      <w:r>
        <w:rPr>
          <w:rFonts w:ascii="PT Astra Serif" w:hAnsi="PT Astra Serif"/>
          <w:i/>
          <w:sz w:val="24"/>
          <w:szCs w:val="24"/>
        </w:rPr>
      </w:r>
    </w:p>
    <w:p>
      <w:pPr>
        <w:pStyle w:val="1152"/>
        <w:numPr>
          <w:ilvl w:val="6"/>
          <w:numId w:val="44"/>
        </w:numPr>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Завершение работ по строительству автоматизированного мусоросортировочного комплекса</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i/>
          <w:sz w:val="24"/>
          <w:szCs w:val="24"/>
        </w:rPr>
        <w:t xml:space="preserve">Региональный проект «Сохранение уникальных водных объектов»:</w:t>
      </w:r>
      <w:r>
        <w:rPr>
          <w:rFonts w:ascii="PT Astra Serif" w:hAnsi="PT Astra Serif"/>
          <w:i/>
          <w:sz w:val="24"/>
          <w:szCs w:val="24"/>
        </w:rPr>
      </w:r>
      <w:r>
        <w:rPr>
          <w:rFonts w:ascii="PT Astra Serif" w:hAnsi="PT Astra Serif"/>
          <w:i/>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1. Завершение работ по расчистке озера Беленькое в г. Томске с целью улучшения экологического состояния  гидрографической сети.</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i/>
          <w:sz w:val="24"/>
          <w:szCs w:val="24"/>
        </w:rPr>
        <w:t xml:space="preserve">Региональный проект «Сохранение лесов»:</w:t>
      </w:r>
      <w:r>
        <w:rPr>
          <w:rFonts w:ascii="PT Astra Serif" w:hAnsi="PT Astra Serif"/>
          <w:i/>
          <w:sz w:val="24"/>
          <w:szCs w:val="24"/>
        </w:rPr>
      </w:r>
      <w:r>
        <w:rPr>
          <w:rFonts w:ascii="PT Astra Serif" w:hAnsi="PT Astra Serif"/>
          <w:i/>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1. Увеличение площади лесовосстановления и лесоразведения до 10 га.</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2. Планируется проведение закупочных процедур на приобретение лесопожарной техники для проведения комплекса мероприятий по охране лесов от пожаров.</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spacing w:after="0" w:line="240" w:lineRule="auto"/>
        <w:rPr>
          <w:rFonts w:ascii="PT Astra Serif" w:hAnsi="PT Astra Serif"/>
          <w:b/>
          <w:sz w:val="24"/>
          <w:szCs w:val="24"/>
        </w:rPr>
      </w:pPr>
      <w:r>
        <w:rPr>
          <w:rFonts w:ascii="PT Astra Serif" w:hAnsi="PT Astra Serif"/>
          <w:b/>
          <w:sz w:val="24"/>
          <w:szCs w:val="24"/>
        </w:rPr>
        <w:t xml:space="preserve">Национальный проект «Безопасные качественные дороги»</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sz w:val="24"/>
          <w:szCs w:val="24"/>
        </w:rPr>
        <w:t xml:space="preserve">На достижение цели национального проекта в Томской области в 2023 году были направлены 3 региональных проекта</w:t>
      </w:r>
      <w:r>
        <w:rPr>
          <w:rFonts w:ascii="PT Astra Serif" w:hAnsi="PT Astra Serif" w:eastAsia="Times New Roman"/>
          <w:sz w:val="24"/>
          <w:szCs w:val="24"/>
          <w:lang w:eastAsia="ru-RU"/>
        </w:rPr>
        <w:t xml:space="preserve">. </w:t>
      </w:r>
      <w:r>
        <w:rPr>
          <w:rFonts w:ascii="PT Astra Serif" w:hAnsi="PT Astra Serif"/>
          <w:sz w:val="24"/>
          <w:szCs w:val="24"/>
        </w:rPr>
        <w:t xml:space="preserve">Фактический объем финан</w:t>
      </w:r>
      <w:r>
        <w:rPr>
          <w:rFonts w:ascii="PT Astra Serif" w:hAnsi="PT Astra Serif"/>
          <w:sz w:val="24"/>
          <w:szCs w:val="24"/>
        </w:rPr>
        <w:t xml:space="preserve">сирования составил 7 013,7  млн</w:t>
      </w:r>
      <w:r>
        <w:rPr>
          <w:rFonts w:ascii="PT Astra Serif" w:hAnsi="PT Astra Serif"/>
          <w:sz w:val="24"/>
          <w:szCs w:val="24"/>
        </w:rPr>
        <w:t xml:space="preserve"> рублей.</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b/>
          <w:sz w:val="24"/>
          <w:szCs w:val="24"/>
        </w:rPr>
      </w:pPr>
      <w:r>
        <w:rPr>
          <w:rFonts w:ascii="PT Astra Serif" w:hAnsi="PT Astra Serif"/>
          <w:b/>
          <w:sz w:val="24"/>
          <w:szCs w:val="24"/>
        </w:rPr>
        <w:t xml:space="preserve">Итоги 2023 года:</w:t>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993" w:leader="none"/>
        </w:tabs>
        <w:rPr>
          <w:rFonts w:ascii="PT Astra Serif" w:hAnsi="PT Astra Serif" w:eastAsia="Times New Roman"/>
          <w:i/>
          <w:sz w:val="24"/>
          <w:szCs w:val="24"/>
          <w:lang w:eastAsia="ru-RU"/>
        </w:rPr>
      </w:pPr>
      <w:r>
        <w:rPr>
          <w:rFonts w:ascii="PT Astra Serif" w:hAnsi="PT Astra Serif" w:eastAsia="Times New Roman"/>
          <w:sz w:val="24"/>
          <w:szCs w:val="24"/>
          <w:lang w:eastAsia="ru-RU"/>
        </w:rPr>
        <w:t xml:space="preserve">В рамках</w:t>
      </w:r>
      <w:r>
        <w:rPr>
          <w:rFonts w:ascii="PT Astra Serif" w:hAnsi="PT Astra Serif" w:eastAsia="Times New Roman"/>
          <w:i/>
          <w:sz w:val="24"/>
          <w:szCs w:val="24"/>
          <w:lang w:eastAsia="ru-RU"/>
        </w:rPr>
        <w:t xml:space="preserve"> регионального проекта «Региональная и местная дорожная сеть»:</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pStyle w:val="1152"/>
        <w:numPr>
          <w:ilvl w:val="0"/>
          <w:numId w:val="47"/>
        </w:numPr>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приведено в нормативное состояние 162,93</w:t>
      </w:r>
      <w:r>
        <w:rPr>
          <w:rFonts w:ascii="PT Astra Serif" w:hAnsi="PT Astra Serif"/>
          <w:sz w:val="24"/>
          <w:szCs w:val="24"/>
        </w:rPr>
        <w:t xml:space="preserve"> км. автомобильных дорог, в том числе</w:t>
      </w:r>
      <w:r>
        <w:rPr>
          <w:rFonts w:ascii="PT Astra Serif" w:hAnsi="PT Astra Serif"/>
          <w:sz w:val="24"/>
          <w:szCs w:val="24"/>
        </w:rPr>
        <w:t xml:space="preserve"> региональные – 143,7 км, Северск – 5,12 км, Томск -14,11 км;</w:t>
      </w:r>
      <w:r>
        <w:rPr>
          <w:rFonts w:ascii="PT Astra Serif" w:hAnsi="PT Astra Serif"/>
          <w:sz w:val="24"/>
          <w:szCs w:val="24"/>
        </w:rPr>
      </w:r>
      <w:r>
        <w:rPr>
          <w:rFonts w:ascii="PT Astra Serif" w:hAnsi="PT Astra Serif"/>
          <w:sz w:val="24"/>
          <w:szCs w:val="24"/>
        </w:rPr>
      </w:r>
    </w:p>
    <w:p>
      <w:pPr>
        <w:pStyle w:val="1152"/>
        <w:numPr>
          <w:ilvl w:val="0"/>
          <w:numId w:val="47"/>
        </w:numPr>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проведен капитальный ремонт </w:t>
      </w:r>
      <w:r>
        <w:rPr>
          <w:rFonts w:ascii="PT Astra Serif" w:hAnsi="PT Astra Serif"/>
          <w:sz w:val="24"/>
          <w:szCs w:val="24"/>
        </w:rPr>
        <w:t xml:space="preserve">К</w:t>
      </w:r>
      <w:r>
        <w:rPr>
          <w:rFonts w:ascii="PT Astra Serif" w:hAnsi="PT Astra Serif"/>
          <w:sz w:val="24"/>
          <w:szCs w:val="24"/>
        </w:rPr>
        <w:t xml:space="preserve">оммунального моста через р. Томь в г. Томске;</w:t>
      </w:r>
      <w:r>
        <w:rPr>
          <w:rFonts w:ascii="PT Astra Serif" w:hAnsi="PT Astra Serif"/>
          <w:sz w:val="24"/>
          <w:szCs w:val="24"/>
        </w:rPr>
      </w:r>
      <w:r>
        <w:rPr>
          <w:rFonts w:ascii="PT Astra Serif" w:hAnsi="PT Astra Serif"/>
          <w:sz w:val="24"/>
          <w:szCs w:val="24"/>
        </w:rPr>
      </w:r>
    </w:p>
    <w:p>
      <w:pPr>
        <w:pStyle w:val="1152"/>
        <w:numPr>
          <w:ilvl w:val="0"/>
          <w:numId w:val="47"/>
        </w:numPr>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выполнен ремонт мостового перехода через р. Порос;</w:t>
      </w:r>
      <w:r>
        <w:rPr>
          <w:rFonts w:ascii="PT Astra Serif" w:hAnsi="PT Astra Serif"/>
          <w:sz w:val="24"/>
          <w:szCs w:val="24"/>
        </w:rPr>
      </w:r>
      <w:r>
        <w:rPr>
          <w:rFonts w:ascii="PT Astra Serif" w:hAnsi="PT Astra Serif"/>
          <w:sz w:val="24"/>
          <w:szCs w:val="24"/>
        </w:rPr>
      </w:r>
    </w:p>
    <w:p>
      <w:pPr>
        <w:pStyle w:val="1152"/>
        <w:numPr>
          <w:ilvl w:val="0"/>
          <w:numId w:val="47"/>
        </w:numPr>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введен в эксплуатацию новый мост через р. Яя в Зырянском районе.</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eastAsia="Times New Roman"/>
          <w:i/>
          <w:sz w:val="24"/>
          <w:szCs w:val="24"/>
          <w:lang w:eastAsia="ru-RU"/>
        </w:rPr>
      </w:pPr>
      <w:r>
        <w:rPr>
          <w:rFonts w:ascii="PT Astra Serif" w:hAnsi="PT Astra Serif" w:eastAsia="Times New Roman"/>
          <w:sz w:val="24"/>
          <w:szCs w:val="24"/>
          <w:lang w:eastAsia="ru-RU"/>
        </w:rPr>
        <w:t xml:space="preserve">В рамках</w:t>
      </w:r>
      <w:r>
        <w:rPr>
          <w:rFonts w:ascii="PT Astra Serif" w:hAnsi="PT Astra Serif" w:eastAsia="Times New Roman"/>
          <w:i/>
          <w:sz w:val="24"/>
          <w:szCs w:val="24"/>
          <w:lang w:eastAsia="ru-RU"/>
        </w:rPr>
        <w:t xml:space="preserve"> регионального проекта «Общесистемные меры развития дорожного хозяйства»:</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pStyle w:val="1152"/>
        <w:numPr>
          <w:ilvl w:val="0"/>
          <w:numId w:val="48"/>
        </w:numPr>
        <w:ind w:left="0" w:firstLine="709"/>
        <w:jc w:val="both"/>
        <w:spacing w:after="0" w:line="240" w:lineRule="auto"/>
        <w:tabs>
          <w:tab w:val="left" w:pos="993" w:leader="none"/>
        </w:tabs>
        <w:rPr>
          <w:rFonts w:ascii="PT Astra Serif" w:hAnsi="PT Astra Serif" w:eastAsia="Times New Roman"/>
          <w:b/>
          <w:sz w:val="24"/>
          <w:szCs w:val="24"/>
          <w:lang w:eastAsia="ru-RU"/>
        </w:rPr>
      </w:pPr>
      <w:r>
        <w:rPr>
          <w:rFonts w:ascii="PT Astra Serif" w:hAnsi="PT Astra Serif"/>
          <w:sz w:val="24"/>
          <w:szCs w:val="24"/>
        </w:rPr>
        <w:t xml:space="preserve">завершено строительство 2 автоматических пунктов весового и габаритного конт</w:t>
      </w:r>
      <w:r>
        <w:rPr>
          <w:rFonts w:ascii="PT Astra Serif" w:hAnsi="PT Astra Serif"/>
          <w:sz w:val="24"/>
          <w:szCs w:val="24"/>
        </w:rPr>
        <w:t xml:space="preserve">роля транспортных средств на автомобильных </w:t>
      </w:r>
      <w:r>
        <w:rPr>
          <w:rFonts w:ascii="PT Astra Serif" w:hAnsi="PT Astra Serif"/>
          <w:sz w:val="24"/>
          <w:szCs w:val="24"/>
        </w:rPr>
        <w:t xml:space="preserve">дорогах Томск</w:t>
      </w:r>
      <w:r>
        <w:rPr>
          <w:rFonts w:ascii="PT Astra Serif" w:hAnsi="PT Astra Serif"/>
          <w:sz w:val="24"/>
          <w:szCs w:val="24"/>
        </w:rPr>
        <w:t xml:space="preserve"> – </w:t>
      </w:r>
      <w:r>
        <w:rPr>
          <w:rFonts w:ascii="PT Astra Serif" w:hAnsi="PT Astra Serif"/>
          <w:sz w:val="24"/>
          <w:szCs w:val="24"/>
        </w:rPr>
        <w:t xml:space="preserve">Мариинск в Томском районе и Томск</w:t>
      </w:r>
      <w:r>
        <w:rPr>
          <w:rFonts w:ascii="PT Astra Serif" w:hAnsi="PT Astra Serif"/>
          <w:sz w:val="24"/>
          <w:szCs w:val="24"/>
        </w:rPr>
        <w:t xml:space="preserve"> – </w:t>
      </w:r>
      <w:r>
        <w:rPr>
          <w:rFonts w:ascii="PT Astra Serif" w:hAnsi="PT Astra Serif"/>
          <w:sz w:val="24"/>
          <w:szCs w:val="24"/>
        </w:rPr>
        <w:t xml:space="preserve">Каргала</w:t>
      </w:r>
      <w:r>
        <w:rPr>
          <w:rFonts w:ascii="PT Astra Serif" w:hAnsi="PT Astra Serif"/>
          <w:sz w:val="24"/>
          <w:szCs w:val="24"/>
        </w:rPr>
        <w:t xml:space="preserve"> – </w:t>
      </w:r>
      <w:r>
        <w:rPr>
          <w:rFonts w:ascii="PT Astra Serif" w:hAnsi="PT Astra Serif"/>
          <w:sz w:val="24"/>
          <w:szCs w:val="24"/>
        </w:rPr>
        <w:t xml:space="preserve">Колпашево км. 273 в Колпашевском районе;</w:t>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pStyle w:val="1152"/>
        <w:numPr>
          <w:ilvl w:val="0"/>
          <w:numId w:val="48"/>
        </w:numPr>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приобретено и введено в эксплуатацию 12 стационарных и 4 передвижных комплекса фотовидеофиксации нарушений правил дорожного движения;</w:t>
      </w:r>
      <w:r>
        <w:rPr>
          <w:rFonts w:ascii="PT Astra Serif" w:hAnsi="PT Astra Serif"/>
          <w:sz w:val="24"/>
          <w:szCs w:val="24"/>
        </w:rPr>
      </w:r>
      <w:r>
        <w:rPr>
          <w:rFonts w:ascii="PT Astra Serif" w:hAnsi="PT Astra Serif"/>
          <w:sz w:val="24"/>
          <w:szCs w:val="24"/>
        </w:rPr>
      </w:r>
    </w:p>
    <w:p>
      <w:pPr>
        <w:pStyle w:val="1152"/>
        <w:numPr>
          <w:ilvl w:val="0"/>
          <w:numId w:val="48"/>
        </w:numPr>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на внедрение интеллектуальных транспортных систем, предусматривающих автоматизацию процессов управления дорожным движением в Томской агломерации</w:t>
      </w:r>
      <w:r>
        <w:rPr>
          <w:rFonts w:ascii="PT Astra Serif" w:hAnsi="PT Astra Serif"/>
          <w:sz w:val="24"/>
          <w:szCs w:val="24"/>
        </w:rPr>
        <w:t xml:space="preserve">,</w:t>
      </w:r>
      <w:r>
        <w:rPr>
          <w:rFonts w:ascii="PT Astra Serif" w:hAnsi="PT Astra Serif"/>
          <w:sz w:val="24"/>
          <w:szCs w:val="24"/>
        </w:rPr>
        <w:t xml:space="preserve"> приобретено серверное оборудование в количестве 12 штук.</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Times New Roman"/>
          <w:i/>
          <w:sz w:val="24"/>
          <w:szCs w:val="24"/>
          <w:lang w:eastAsia="ru-RU"/>
        </w:rPr>
      </w:pPr>
      <w:r>
        <w:rPr>
          <w:rFonts w:ascii="PT Astra Serif" w:hAnsi="PT Astra Serif" w:eastAsia="Times New Roman"/>
          <w:sz w:val="24"/>
          <w:szCs w:val="24"/>
          <w:lang w:eastAsia="ru-RU"/>
        </w:rPr>
        <w:t xml:space="preserve">В рамках</w:t>
      </w:r>
      <w:r>
        <w:rPr>
          <w:rFonts w:ascii="PT Astra Serif" w:hAnsi="PT Astra Serif" w:eastAsia="Times New Roman"/>
          <w:i/>
          <w:sz w:val="24"/>
          <w:szCs w:val="24"/>
          <w:lang w:eastAsia="ru-RU"/>
        </w:rPr>
        <w:t xml:space="preserve"> регионального проекта «Безопасность дорожного движения»:</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pStyle w:val="1152"/>
        <w:numPr>
          <w:ilvl w:val="0"/>
          <w:numId w:val="49"/>
        </w:numPr>
        <w:ind w:left="0" w:firstLine="709"/>
        <w:jc w:val="both"/>
        <w:spacing w:after="0" w:line="240" w:lineRule="auto"/>
        <w:tabs>
          <w:tab w:val="left" w:pos="284" w:leader="none"/>
          <w:tab w:val="left" w:pos="993" w:leader="none"/>
        </w:tabs>
        <w:rPr>
          <w:rFonts w:ascii="PT Astra Serif" w:hAnsi="PT Astra Serif"/>
          <w:bCs/>
          <w:sz w:val="24"/>
          <w:szCs w:val="24"/>
        </w:rPr>
      </w:pPr>
      <w:r>
        <w:rPr>
          <w:rFonts w:ascii="PT Astra Serif" w:hAnsi="PT Astra Serif"/>
          <w:bCs/>
          <w:sz w:val="24"/>
          <w:szCs w:val="24"/>
        </w:rPr>
        <w:t xml:space="preserve">обучены участвующие в ликвидации последствий на месте ДТП сотрудники МЧС в количестве 110 человек и сотрудники ГИБДД - 30 человек;</w:t>
      </w:r>
      <w:r>
        <w:rPr>
          <w:rFonts w:ascii="PT Astra Serif" w:hAnsi="PT Astra Serif"/>
          <w:bCs/>
          <w:sz w:val="24"/>
          <w:szCs w:val="24"/>
        </w:rPr>
      </w:r>
      <w:r>
        <w:rPr>
          <w:rFonts w:ascii="PT Astra Serif" w:hAnsi="PT Astra Serif"/>
          <w:bCs/>
          <w:sz w:val="24"/>
          <w:szCs w:val="24"/>
        </w:rPr>
      </w:r>
    </w:p>
    <w:p>
      <w:pPr>
        <w:pStyle w:val="1152"/>
        <w:numPr>
          <w:ilvl w:val="0"/>
          <w:numId w:val="49"/>
        </w:numPr>
        <w:ind w:left="0" w:firstLine="709"/>
        <w:jc w:val="both"/>
        <w:spacing w:after="0" w:line="240" w:lineRule="auto"/>
        <w:tabs>
          <w:tab w:val="left" w:pos="284" w:leader="none"/>
          <w:tab w:val="left" w:pos="993" w:leader="none"/>
        </w:tabs>
        <w:rPr>
          <w:rFonts w:ascii="PT Astra Serif" w:hAnsi="PT Astra Serif"/>
          <w:bCs/>
          <w:sz w:val="24"/>
          <w:szCs w:val="24"/>
        </w:rPr>
      </w:pPr>
      <w:r>
        <w:rPr>
          <w:rFonts w:ascii="PT Astra Serif" w:hAnsi="PT Astra Serif"/>
          <w:bCs/>
          <w:sz w:val="24"/>
          <w:szCs w:val="24"/>
        </w:rPr>
        <w:t xml:space="preserve">в профилактических мероприятиях «Знатоки Правил дорожного движения», «ЮИД! Территория творчества» обучено 7 980 человек; </w:t>
      </w:r>
      <w:r>
        <w:rPr>
          <w:rFonts w:ascii="PT Astra Serif" w:hAnsi="PT Astra Serif"/>
          <w:bCs/>
          <w:sz w:val="24"/>
          <w:szCs w:val="24"/>
        </w:rPr>
      </w:r>
      <w:r>
        <w:rPr>
          <w:rFonts w:ascii="PT Astra Serif" w:hAnsi="PT Astra Serif"/>
          <w:bCs/>
          <w:sz w:val="24"/>
          <w:szCs w:val="24"/>
        </w:rPr>
      </w:r>
    </w:p>
    <w:p>
      <w:pPr>
        <w:pStyle w:val="1152"/>
        <w:numPr>
          <w:ilvl w:val="0"/>
          <w:numId w:val="49"/>
        </w:numPr>
        <w:ind w:left="0" w:firstLine="709"/>
        <w:jc w:val="both"/>
        <w:spacing w:after="0" w:line="240" w:lineRule="auto"/>
        <w:tabs>
          <w:tab w:val="left" w:pos="284" w:leader="none"/>
          <w:tab w:val="left" w:pos="993" w:leader="none"/>
        </w:tabs>
        <w:rPr>
          <w:rFonts w:ascii="PT Astra Serif" w:hAnsi="PT Astra Serif"/>
          <w:bCs/>
          <w:sz w:val="24"/>
          <w:szCs w:val="24"/>
        </w:rPr>
      </w:pPr>
      <w:r>
        <w:rPr>
          <w:rFonts w:ascii="PT Astra Serif" w:hAnsi="PT Astra Serif"/>
          <w:bCs/>
          <w:sz w:val="24"/>
          <w:szCs w:val="24"/>
        </w:rPr>
        <w:t xml:space="preserve">приняло участие 19 команд из 19 муниципальных образований Томской области на региональном этапе Всероссийского конкурса юных инспекторов движения «Зеленый светофор-2023»; </w:t>
      </w:r>
      <w:r>
        <w:rPr>
          <w:rFonts w:ascii="PT Astra Serif" w:hAnsi="PT Astra Serif"/>
          <w:bCs/>
          <w:sz w:val="24"/>
          <w:szCs w:val="24"/>
        </w:rPr>
      </w:r>
      <w:r>
        <w:rPr>
          <w:rFonts w:ascii="PT Astra Serif" w:hAnsi="PT Astra Serif"/>
          <w:bCs/>
          <w:sz w:val="24"/>
          <w:szCs w:val="24"/>
        </w:rPr>
      </w:r>
    </w:p>
    <w:p>
      <w:pPr>
        <w:pStyle w:val="1152"/>
        <w:numPr>
          <w:ilvl w:val="0"/>
          <w:numId w:val="50"/>
        </w:numPr>
        <w:ind w:left="0" w:firstLine="709"/>
        <w:jc w:val="both"/>
        <w:spacing w:after="0" w:line="240" w:lineRule="auto"/>
        <w:tabs>
          <w:tab w:val="left" w:pos="284" w:leader="none"/>
          <w:tab w:val="left" w:pos="993" w:leader="none"/>
        </w:tabs>
        <w:rPr>
          <w:rFonts w:ascii="PT Astra Serif" w:hAnsi="PT Astra Serif"/>
          <w:bCs/>
          <w:sz w:val="24"/>
          <w:szCs w:val="24"/>
        </w:rPr>
      </w:pPr>
      <w:r>
        <w:rPr>
          <w:rFonts w:ascii="PT Astra Serif" w:hAnsi="PT Astra Serif"/>
          <w:bCs/>
          <w:sz w:val="24"/>
          <w:szCs w:val="24"/>
        </w:rPr>
        <w:t xml:space="preserve">проведено 4 842 мероприяти</w:t>
      </w:r>
      <w:r>
        <w:rPr>
          <w:rFonts w:ascii="PT Astra Serif" w:hAnsi="PT Astra Serif"/>
          <w:bCs/>
          <w:sz w:val="24"/>
          <w:szCs w:val="24"/>
        </w:rPr>
        <w:t xml:space="preserve">я</w:t>
      </w:r>
      <w:r>
        <w:rPr>
          <w:rFonts w:ascii="PT Astra Serif" w:hAnsi="PT Astra Serif"/>
          <w:bCs/>
          <w:sz w:val="24"/>
          <w:szCs w:val="24"/>
        </w:rPr>
        <w:t xml:space="preserve"> по профилактике детского дорожно-транспортного травматизма;</w:t>
      </w:r>
      <w:r>
        <w:rPr>
          <w:rFonts w:ascii="PT Astra Serif" w:hAnsi="PT Astra Serif"/>
          <w:bCs/>
          <w:sz w:val="24"/>
          <w:szCs w:val="24"/>
        </w:rPr>
      </w:r>
      <w:r>
        <w:rPr>
          <w:rFonts w:ascii="PT Astra Serif" w:hAnsi="PT Astra Serif"/>
          <w:bCs/>
          <w:sz w:val="24"/>
          <w:szCs w:val="24"/>
        </w:rPr>
      </w:r>
    </w:p>
    <w:p>
      <w:pPr>
        <w:pStyle w:val="1152"/>
        <w:numPr>
          <w:ilvl w:val="0"/>
          <w:numId w:val="50"/>
        </w:numPr>
        <w:ind w:left="0" w:firstLine="709"/>
        <w:jc w:val="both"/>
        <w:spacing w:after="0" w:line="240" w:lineRule="auto"/>
        <w:tabs>
          <w:tab w:val="left" w:pos="284" w:leader="none"/>
          <w:tab w:val="left" w:pos="993" w:leader="none"/>
        </w:tabs>
        <w:rPr>
          <w:rFonts w:ascii="PT Astra Serif" w:hAnsi="PT Astra Serif"/>
          <w:bCs/>
          <w:sz w:val="24"/>
          <w:szCs w:val="24"/>
        </w:rPr>
      </w:pPr>
      <w:r>
        <w:rPr>
          <w:rFonts w:ascii="PT Astra Serif" w:hAnsi="PT Astra Serif"/>
          <w:bCs/>
          <w:sz w:val="24"/>
          <w:szCs w:val="24"/>
        </w:rPr>
        <w:t xml:space="preserve">изготовлено 5 125 шт. печатной продукции по пропаганде безопасности дорожного движения; </w:t>
      </w:r>
      <w:r>
        <w:rPr>
          <w:rFonts w:ascii="PT Astra Serif" w:hAnsi="PT Astra Serif"/>
          <w:bCs/>
          <w:sz w:val="24"/>
          <w:szCs w:val="24"/>
        </w:rPr>
      </w:r>
      <w:r>
        <w:rPr>
          <w:rFonts w:ascii="PT Astra Serif" w:hAnsi="PT Astra Serif"/>
          <w:bCs/>
          <w:sz w:val="24"/>
          <w:szCs w:val="24"/>
        </w:rPr>
      </w:r>
    </w:p>
    <w:p>
      <w:pPr>
        <w:pStyle w:val="1152"/>
        <w:numPr>
          <w:ilvl w:val="0"/>
          <w:numId w:val="50"/>
        </w:numPr>
        <w:ind w:left="0" w:firstLine="709"/>
        <w:jc w:val="both"/>
        <w:spacing w:after="0" w:line="240" w:lineRule="auto"/>
        <w:tabs>
          <w:tab w:val="left" w:pos="284" w:leader="none"/>
          <w:tab w:val="left" w:pos="993" w:leader="none"/>
        </w:tabs>
        <w:rPr>
          <w:rFonts w:ascii="PT Astra Serif" w:hAnsi="PT Astra Serif"/>
          <w:bCs/>
          <w:sz w:val="24"/>
          <w:szCs w:val="24"/>
        </w:rPr>
      </w:pPr>
      <w:r>
        <w:rPr>
          <w:rFonts w:ascii="PT Astra Serif" w:hAnsi="PT Astra Serif"/>
          <w:bCs/>
          <w:sz w:val="24"/>
          <w:szCs w:val="24"/>
        </w:rPr>
        <w:t xml:space="preserve">приобретено 5 494 шт. светоотражающих приспособлений для школьников и учащихся младших классов образовательных организаций Томской области;</w:t>
      </w:r>
      <w:r>
        <w:rPr>
          <w:rFonts w:ascii="PT Astra Serif" w:hAnsi="PT Astra Serif"/>
          <w:bCs/>
          <w:sz w:val="24"/>
          <w:szCs w:val="24"/>
        </w:rPr>
      </w:r>
      <w:r>
        <w:rPr>
          <w:rFonts w:ascii="PT Astra Serif" w:hAnsi="PT Astra Serif"/>
          <w:bCs/>
          <w:sz w:val="24"/>
          <w:szCs w:val="24"/>
        </w:rPr>
      </w:r>
    </w:p>
    <w:p>
      <w:pPr>
        <w:pStyle w:val="1152"/>
        <w:numPr>
          <w:ilvl w:val="0"/>
          <w:numId w:val="50"/>
        </w:numPr>
        <w:ind w:left="0" w:firstLine="709"/>
        <w:jc w:val="both"/>
        <w:spacing w:after="0" w:line="240" w:lineRule="auto"/>
        <w:tabs>
          <w:tab w:val="left" w:pos="284" w:leader="none"/>
          <w:tab w:val="left" w:pos="993" w:leader="none"/>
        </w:tabs>
        <w:rPr>
          <w:rFonts w:ascii="PT Astra Serif" w:hAnsi="PT Astra Serif"/>
          <w:bCs/>
          <w:sz w:val="24"/>
          <w:szCs w:val="24"/>
        </w:rPr>
      </w:pPr>
      <w:r>
        <w:rPr>
          <w:rFonts w:ascii="PT Astra Serif" w:hAnsi="PT Astra Serif"/>
          <w:bCs/>
          <w:sz w:val="24"/>
          <w:szCs w:val="24"/>
        </w:rPr>
        <w:t xml:space="preserve">на оснащение образовательных организаций в Зырянском и Бакчарском районах Томской области приобретено 2 комплекса учебно-игрового оборудования;</w:t>
      </w:r>
      <w:r>
        <w:rPr>
          <w:rFonts w:ascii="PT Astra Serif" w:hAnsi="PT Astra Serif"/>
          <w:bCs/>
          <w:sz w:val="24"/>
          <w:szCs w:val="24"/>
        </w:rPr>
      </w:r>
      <w:r>
        <w:rPr>
          <w:rFonts w:ascii="PT Astra Serif" w:hAnsi="PT Astra Serif"/>
          <w:bCs/>
          <w:sz w:val="24"/>
          <w:szCs w:val="24"/>
        </w:rPr>
      </w:r>
    </w:p>
    <w:p>
      <w:pPr>
        <w:pStyle w:val="1152"/>
        <w:numPr>
          <w:ilvl w:val="0"/>
          <w:numId w:val="50"/>
        </w:numPr>
        <w:ind w:left="0" w:firstLine="709"/>
        <w:jc w:val="both"/>
        <w:spacing w:after="0" w:line="240" w:lineRule="auto"/>
        <w:tabs>
          <w:tab w:val="left" w:pos="284" w:leader="none"/>
          <w:tab w:val="left" w:pos="993" w:leader="none"/>
        </w:tabs>
        <w:rPr>
          <w:rFonts w:ascii="PT Astra Serif" w:hAnsi="PT Astra Serif"/>
          <w:bCs/>
          <w:sz w:val="24"/>
          <w:szCs w:val="24"/>
        </w:rPr>
      </w:pPr>
      <w:r>
        <w:rPr>
          <w:rFonts w:ascii="PT Astra Serif" w:hAnsi="PT Astra Serif"/>
          <w:bCs/>
          <w:sz w:val="24"/>
          <w:szCs w:val="24"/>
        </w:rPr>
        <w:t xml:space="preserve">команда Томской области приняла участие во Всероссийском соревновании «Дороги без опасности» в г. Владивосток</w:t>
      </w:r>
      <w:r>
        <w:rPr>
          <w:rFonts w:ascii="PT Astra Serif" w:hAnsi="PT Astra Serif"/>
          <w:bCs/>
          <w:sz w:val="24"/>
          <w:szCs w:val="24"/>
        </w:rPr>
        <w:t xml:space="preserve">е</w:t>
      </w:r>
      <w:r>
        <w:rPr>
          <w:rFonts w:ascii="PT Astra Serif" w:hAnsi="PT Astra Serif"/>
          <w:bCs/>
          <w:sz w:val="24"/>
          <w:szCs w:val="24"/>
        </w:rPr>
        <w:t xml:space="preserve"> и заняла 9</w:t>
      </w:r>
      <w:r>
        <w:rPr>
          <w:rFonts w:ascii="PT Astra Serif" w:hAnsi="PT Astra Serif"/>
          <w:bCs/>
          <w:sz w:val="24"/>
          <w:szCs w:val="24"/>
        </w:rPr>
        <w:t xml:space="preserve">-е</w:t>
      </w:r>
      <w:r>
        <w:rPr>
          <w:rFonts w:ascii="PT Astra Serif" w:hAnsi="PT Astra Serif"/>
          <w:bCs/>
          <w:sz w:val="24"/>
          <w:szCs w:val="24"/>
        </w:rPr>
        <w:t xml:space="preserve"> общекомандное место;</w:t>
      </w:r>
      <w:r>
        <w:rPr>
          <w:rFonts w:ascii="PT Astra Serif" w:hAnsi="PT Astra Serif"/>
          <w:bCs/>
          <w:sz w:val="24"/>
          <w:szCs w:val="24"/>
        </w:rPr>
      </w:r>
      <w:r>
        <w:rPr>
          <w:rFonts w:ascii="PT Astra Serif" w:hAnsi="PT Astra Serif"/>
          <w:bCs/>
          <w:sz w:val="24"/>
          <w:szCs w:val="24"/>
        </w:rPr>
      </w:r>
    </w:p>
    <w:p>
      <w:pPr>
        <w:pStyle w:val="1152"/>
        <w:numPr>
          <w:ilvl w:val="0"/>
          <w:numId w:val="50"/>
        </w:numPr>
        <w:ind w:left="0" w:firstLine="709"/>
        <w:jc w:val="both"/>
        <w:spacing w:after="0" w:line="240" w:lineRule="auto"/>
        <w:tabs>
          <w:tab w:val="left" w:pos="284" w:leader="none"/>
          <w:tab w:val="left" w:pos="993" w:leader="none"/>
        </w:tabs>
        <w:rPr>
          <w:rFonts w:ascii="PT Astra Serif" w:hAnsi="PT Astra Serif"/>
          <w:bCs/>
          <w:sz w:val="24"/>
          <w:szCs w:val="24"/>
        </w:rPr>
      </w:pPr>
      <w:r>
        <w:rPr>
          <w:rFonts w:ascii="PT Astra Serif" w:hAnsi="PT Astra Serif"/>
          <w:bCs/>
          <w:sz w:val="24"/>
          <w:szCs w:val="24"/>
        </w:rPr>
        <w:t xml:space="preserve">выполнены работы по инженерному обустройству а/дорог регионального и межмуниципального значения (нанесено дорожной разметки 450</w:t>
      </w:r>
      <w:r>
        <w:rPr>
          <w:rFonts w:ascii="PT Astra Serif" w:hAnsi="PT Astra Serif"/>
          <w:bCs/>
          <w:sz w:val="24"/>
          <w:szCs w:val="24"/>
        </w:rPr>
        <w:t xml:space="preserve"> </w:t>
      </w:r>
      <w:r>
        <w:rPr>
          <w:rFonts w:ascii="PT Astra Serif" w:hAnsi="PT Astra Serif"/>
          <w:bCs/>
          <w:sz w:val="24"/>
          <w:szCs w:val="24"/>
        </w:rPr>
        <w:t xml:space="preserve">451,39 кв.</w:t>
      </w:r>
      <w:r>
        <w:rPr>
          <w:rFonts w:ascii="PT Astra Serif" w:hAnsi="PT Astra Serif"/>
          <w:bCs/>
          <w:sz w:val="24"/>
          <w:szCs w:val="24"/>
        </w:rPr>
        <w:t xml:space="preserve"> </w:t>
      </w:r>
      <w:r>
        <w:rPr>
          <w:rFonts w:ascii="PT Astra Serif" w:hAnsi="PT Astra Serif"/>
          <w:bCs/>
          <w:sz w:val="24"/>
          <w:szCs w:val="24"/>
        </w:rPr>
        <w:t xml:space="preserve">м, установлено 8 108,0 пог. м дорожных ограждений).</w:t>
      </w:r>
      <w:r>
        <w:rPr>
          <w:rFonts w:ascii="PT Astra Serif" w:hAnsi="PT Astra Serif"/>
          <w:bCs/>
          <w:sz w:val="24"/>
          <w:szCs w:val="24"/>
        </w:rPr>
      </w:r>
      <w:r>
        <w:rPr>
          <w:rFonts w:ascii="PT Astra Serif" w:hAnsi="PT Astra Serif"/>
          <w:bCs/>
          <w:sz w:val="24"/>
          <w:szCs w:val="24"/>
        </w:rPr>
      </w:r>
    </w:p>
    <w:p>
      <w:pPr>
        <w:ind w:firstLine="709"/>
        <w:jc w:val="both"/>
        <w:spacing w:after="0" w:line="240" w:lineRule="auto"/>
        <w:tabs>
          <w:tab w:val="left" w:pos="284" w:leader="none"/>
          <w:tab w:val="left" w:pos="851" w:leader="none"/>
          <w:tab w:val="left" w:pos="993" w:leader="none"/>
        </w:tabs>
        <w:rPr>
          <w:rFonts w:ascii="PT Astra Serif" w:hAnsi="PT Astra Serif"/>
          <w:bCs/>
          <w:sz w:val="24"/>
          <w:szCs w:val="24"/>
        </w:rPr>
      </w:pPr>
      <w:r>
        <w:rPr>
          <w:rFonts w:ascii="PT Astra Serif" w:hAnsi="PT Astra Serif"/>
          <w:bCs/>
          <w:sz w:val="24"/>
          <w:szCs w:val="24"/>
        </w:rPr>
      </w:r>
      <w:r>
        <w:rPr>
          <w:rFonts w:ascii="PT Astra Serif" w:hAnsi="PT Astra Serif"/>
          <w:bCs/>
          <w:sz w:val="24"/>
          <w:szCs w:val="24"/>
        </w:rPr>
      </w:r>
      <w:r>
        <w:rPr>
          <w:rFonts w:ascii="PT Astra Serif" w:hAnsi="PT Astra Serif"/>
          <w:bCs/>
          <w:sz w:val="24"/>
          <w:szCs w:val="24"/>
        </w:rPr>
      </w:r>
    </w:p>
    <w:p>
      <w:pPr>
        <w:contextualSpacing/>
        <w:ind w:firstLine="709"/>
        <w:jc w:val="both"/>
        <w:spacing w:after="0" w:line="240" w:lineRule="auto"/>
        <w:tabs>
          <w:tab w:val="left" w:pos="851" w:leader="none"/>
        </w:tabs>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Перспективные задачи на 2024 год:</w:t>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i/>
          <w:sz w:val="24"/>
          <w:szCs w:val="24"/>
        </w:rPr>
        <w:t xml:space="preserve">Региональный проект «Региональная и местная дорожная сеть»:</w:t>
      </w:r>
      <w:r>
        <w:rPr>
          <w:rFonts w:ascii="PT Astra Serif" w:hAnsi="PT Astra Serif"/>
          <w:i/>
          <w:sz w:val="24"/>
          <w:szCs w:val="24"/>
        </w:rPr>
      </w:r>
      <w:r>
        <w:rPr>
          <w:rFonts w:ascii="PT Astra Serif" w:hAnsi="PT Astra Serif"/>
          <w:i/>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ab/>
        <w:t xml:space="preserve">Проведение ремонтных работ на 24 объектах (177,1 км.). </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sz w:val="24"/>
          <w:szCs w:val="24"/>
        </w:rPr>
        <w:t xml:space="preserve">2. Приведение в нормативное состояние искусственных сооружений:</w:t>
      </w:r>
      <w:r>
        <w:rPr>
          <w:rFonts w:ascii="PT Astra Serif" w:hAnsi="PT Astra Serif"/>
          <w:sz w:val="24"/>
          <w:szCs w:val="24"/>
        </w:rPr>
      </w:r>
      <w:r>
        <w:rPr>
          <w:rFonts w:ascii="PT Astra Serif" w:hAnsi="PT Astra Serif"/>
          <w:sz w:val="24"/>
          <w:szCs w:val="24"/>
        </w:rPr>
      </w:r>
    </w:p>
    <w:p>
      <w:pPr>
        <w:pStyle w:val="1152"/>
        <w:numPr>
          <w:ilvl w:val="0"/>
          <w:numId w:val="51"/>
        </w:numPr>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sz w:val="24"/>
          <w:szCs w:val="24"/>
        </w:rPr>
        <w:t xml:space="preserve">капитальный ремонт мостового перехода через р. Кайма;</w:t>
      </w:r>
      <w:r>
        <w:rPr>
          <w:rFonts w:ascii="PT Astra Serif" w:hAnsi="PT Astra Serif"/>
          <w:sz w:val="24"/>
          <w:szCs w:val="24"/>
        </w:rPr>
      </w:r>
      <w:r>
        <w:rPr>
          <w:rFonts w:ascii="PT Astra Serif" w:hAnsi="PT Astra Serif"/>
          <w:sz w:val="24"/>
          <w:szCs w:val="24"/>
        </w:rPr>
      </w:r>
    </w:p>
    <w:p>
      <w:pPr>
        <w:pStyle w:val="1152"/>
        <w:numPr>
          <w:ilvl w:val="0"/>
          <w:numId w:val="51"/>
        </w:numPr>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sz w:val="24"/>
          <w:szCs w:val="24"/>
        </w:rPr>
        <w:t xml:space="preserve">ремонт моста через р. Кия;</w:t>
      </w:r>
      <w:r>
        <w:rPr>
          <w:rFonts w:ascii="PT Astra Serif" w:hAnsi="PT Astra Serif"/>
          <w:sz w:val="24"/>
          <w:szCs w:val="24"/>
        </w:rPr>
      </w:r>
      <w:r>
        <w:rPr>
          <w:rFonts w:ascii="PT Astra Serif" w:hAnsi="PT Astra Serif"/>
          <w:sz w:val="24"/>
          <w:szCs w:val="24"/>
        </w:rPr>
      </w:r>
    </w:p>
    <w:p>
      <w:pPr>
        <w:pStyle w:val="1152"/>
        <w:numPr>
          <w:ilvl w:val="0"/>
          <w:numId w:val="51"/>
        </w:numPr>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sz w:val="24"/>
          <w:szCs w:val="24"/>
        </w:rPr>
        <w:t xml:space="preserve">ремонт мостового перехода через р. Томь на км 6+000 автомобильной дороги Объездная дорога г. Томска в Томском районе.</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i/>
          <w:sz w:val="24"/>
          <w:szCs w:val="24"/>
        </w:rPr>
        <w:t xml:space="preserve">Региональный проект «Общесистемные меры развития дорожного хозяйства</w:t>
      </w:r>
      <w:r>
        <w:rPr>
          <w:rFonts w:ascii="PT Astra Serif" w:hAnsi="PT Astra Serif"/>
          <w:i/>
          <w:sz w:val="24"/>
          <w:szCs w:val="24"/>
        </w:rPr>
        <w:t xml:space="preserve">»</w:t>
      </w:r>
      <w:r>
        <w:rPr>
          <w:rFonts w:ascii="PT Astra Serif" w:hAnsi="PT Astra Serif"/>
          <w:i/>
          <w:sz w:val="24"/>
          <w:szCs w:val="24"/>
        </w:rPr>
        <w:t xml:space="preserve">:</w:t>
      </w:r>
      <w:r>
        <w:rPr>
          <w:rFonts w:ascii="PT Astra Serif" w:hAnsi="PT Astra Serif"/>
          <w:i/>
          <w:sz w:val="24"/>
          <w:szCs w:val="24"/>
        </w:rPr>
      </w:r>
      <w:r>
        <w:rPr>
          <w:rFonts w:ascii="PT Astra Serif" w:hAnsi="PT Astra Serif"/>
          <w:i/>
          <w:sz w:val="24"/>
          <w:szCs w:val="24"/>
        </w:rPr>
      </w:r>
    </w:p>
    <w:p>
      <w:pPr>
        <w:ind w:firstLine="709"/>
        <w:jc w:val="both"/>
        <w:spacing w:after="0" w:line="240" w:lineRule="auto"/>
        <w:tabs>
          <w:tab w:val="left" w:pos="851" w:leader="none"/>
          <w:tab w:val="left" w:pos="993" w:leader="none"/>
        </w:tabs>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ab/>
        <w:t xml:space="preserve">Строительство автоматического пункта весового и габаритного контроля транспортных средств в движении в составе Объездной  автомобильной дороги  г. Томска на участке 6</w:t>
      </w:r>
      <w:r>
        <w:rPr>
          <w:rFonts w:ascii="PT Astra Serif" w:hAnsi="PT Astra Serif"/>
          <w:sz w:val="24"/>
          <w:szCs w:val="24"/>
        </w:rPr>
        <w:t xml:space="preserve"> – </w:t>
      </w:r>
      <w:r>
        <w:rPr>
          <w:rFonts w:ascii="PT Astra Serif" w:hAnsi="PT Astra Serif"/>
          <w:sz w:val="24"/>
          <w:szCs w:val="24"/>
        </w:rPr>
        <w:t xml:space="preserve">8 км. </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851" w:leader="none"/>
          <w:tab w:val="left" w:pos="993" w:leader="none"/>
        </w:tabs>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ab/>
        <w:t xml:space="preserve">Приобретение 12 стационарных комплексов фотовидеофиксации нарушений ПДД.</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851" w:leader="none"/>
          <w:tab w:val="left" w:pos="993" w:leader="none"/>
        </w:tabs>
        <w:rPr>
          <w:rFonts w:ascii="PT Astra Serif" w:hAnsi="PT Astra Serif"/>
          <w:sz w:val="24"/>
          <w:szCs w:val="24"/>
        </w:rPr>
      </w:pPr>
      <w:r>
        <w:rPr>
          <w:rFonts w:ascii="PT Astra Serif" w:hAnsi="PT Astra Serif"/>
          <w:sz w:val="24"/>
          <w:szCs w:val="24"/>
        </w:rPr>
        <w:t xml:space="preserve">3.</w:t>
      </w:r>
      <w:r>
        <w:rPr>
          <w:rFonts w:ascii="PT Astra Serif" w:hAnsi="PT Astra Serif"/>
          <w:sz w:val="24"/>
          <w:szCs w:val="24"/>
        </w:rPr>
        <w:tab/>
        <w:t xml:space="preserve">Реализация II этапа по внедрению в Томской агломерации интеллектуальных транспортных систем, предусматривающих автоматизацию процессов управления дорожным движением.</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i/>
          <w:sz w:val="24"/>
          <w:szCs w:val="24"/>
        </w:rPr>
        <w:t xml:space="preserve">Региональный проект «Безопасность дорожного движения»:</w:t>
      </w:r>
      <w:r>
        <w:rPr>
          <w:rFonts w:ascii="PT Astra Serif" w:hAnsi="PT Astra Serif"/>
          <w:i/>
          <w:sz w:val="24"/>
          <w:szCs w:val="24"/>
        </w:rPr>
      </w:r>
      <w:r>
        <w:rPr>
          <w:rFonts w:ascii="PT Astra Serif" w:hAnsi="PT Astra Serif"/>
          <w:i/>
          <w:sz w:val="24"/>
          <w:szCs w:val="24"/>
        </w:rPr>
      </w:r>
    </w:p>
    <w:p>
      <w:pPr>
        <w:pStyle w:val="1152"/>
        <w:numPr>
          <w:ilvl w:val="0"/>
          <w:numId w:val="52"/>
        </w:numPr>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Проведение областных конкурсов и соревнований среди отрядов ЮИД, обучающих семинаров по безопасности дорожного движе</w:t>
      </w:r>
      <w:r>
        <w:rPr>
          <w:rFonts w:ascii="PT Astra Serif" w:hAnsi="PT Astra Serif"/>
          <w:sz w:val="24"/>
          <w:szCs w:val="24"/>
        </w:rPr>
        <w:t xml:space="preserve">ния, психологических тренингов и игр с педагогическими работниками профессиональных образовательных организаций, педагогами образовательных организаций, издание печатной продукции по пропаганде безопасности дорожного движения для образовательных организаци</w:t>
      </w:r>
      <w:r>
        <w:rPr>
          <w:rFonts w:ascii="PT Astra Serif" w:hAnsi="PT Astra Serif"/>
          <w:sz w:val="24"/>
          <w:szCs w:val="24"/>
        </w:rPr>
        <w:t xml:space="preserve">й (памятки, буклеты, листовки и др.), изготовление и распространение световозвращающих приспособлений среди дошкольников и учащихся младших классов образовательных организаций, оснащение образовательных организаций комплектами учебно-игрового оборудования.</w:t>
      </w:r>
      <w:r>
        <w:rPr>
          <w:rFonts w:ascii="PT Astra Serif" w:hAnsi="PT Astra Serif"/>
          <w:sz w:val="24"/>
          <w:szCs w:val="24"/>
        </w:rPr>
      </w:r>
      <w:r>
        <w:rPr>
          <w:rFonts w:ascii="PT Astra Serif" w:hAnsi="PT Astra Serif"/>
          <w:sz w:val="24"/>
          <w:szCs w:val="24"/>
        </w:rPr>
      </w:r>
    </w:p>
    <w:p>
      <w:pPr>
        <w:pStyle w:val="1152"/>
        <w:numPr>
          <w:ilvl w:val="0"/>
          <w:numId w:val="52"/>
        </w:numPr>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Проведение мероприятий по инженерному обустройству региональных и межмуниципальных дорог (нанесение разметки, установка дорожных знаков, установка дорожных ограждений).</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spacing w:after="0" w:line="240" w:lineRule="auto"/>
        <w:rPr>
          <w:rFonts w:ascii="PT Astra Serif" w:hAnsi="PT Astra Serif"/>
          <w:b/>
          <w:sz w:val="24"/>
          <w:szCs w:val="24"/>
        </w:rPr>
      </w:pPr>
      <w:r>
        <w:rPr>
          <w:rFonts w:ascii="PT Astra Serif" w:hAnsi="PT Astra Serif"/>
          <w:b/>
          <w:sz w:val="24"/>
          <w:szCs w:val="24"/>
        </w:rPr>
        <w:t xml:space="preserve">Национальный проект «Производительность труда»</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sz w:val="24"/>
          <w:szCs w:val="24"/>
        </w:rPr>
        <w:t xml:space="preserve">На достижение цели национального проекта в Томской области в 2023 году были направлены 2 региональных проекта</w:t>
      </w:r>
      <w:r>
        <w:rPr>
          <w:rFonts w:ascii="PT Astra Serif" w:hAnsi="PT Astra Serif" w:eastAsia="Times New Roman"/>
          <w:sz w:val="24"/>
          <w:szCs w:val="24"/>
          <w:lang w:eastAsia="ru-RU"/>
        </w:rPr>
        <w:t xml:space="preserve">. </w:t>
      </w:r>
      <w:r>
        <w:rPr>
          <w:rFonts w:ascii="PT Astra Serif" w:hAnsi="PT Astra Serif"/>
          <w:sz w:val="24"/>
          <w:szCs w:val="24"/>
        </w:rPr>
        <w:t xml:space="preserve">Фактический объем фи</w:t>
      </w:r>
      <w:r>
        <w:rPr>
          <w:rFonts w:ascii="PT Astra Serif" w:hAnsi="PT Astra Serif"/>
          <w:sz w:val="24"/>
          <w:szCs w:val="24"/>
        </w:rPr>
        <w:t xml:space="preserve">нансирования составил 30,9  млн</w:t>
      </w:r>
      <w:r>
        <w:rPr>
          <w:rFonts w:ascii="PT Astra Serif" w:hAnsi="PT Astra Serif"/>
          <w:sz w:val="24"/>
          <w:szCs w:val="24"/>
        </w:rPr>
        <w:t xml:space="preserve"> рублей.</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b/>
          <w:sz w:val="24"/>
          <w:szCs w:val="24"/>
        </w:rPr>
      </w:pPr>
      <w:r>
        <w:rPr>
          <w:rFonts w:ascii="PT Astra Serif" w:hAnsi="PT Astra Serif"/>
          <w:b/>
          <w:sz w:val="24"/>
          <w:szCs w:val="24"/>
        </w:rPr>
        <w:t xml:space="preserve">Итоги 2023 года:</w:t>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993" w:leader="none"/>
        </w:tabs>
        <w:rPr>
          <w:rFonts w:ascii="PT Astra Serif" w:hAnsi="PT Astra Serif" w:eastAsia="Times New Roman"/>
          <w:i/>
          <w:sz w:val="24"/>
          <w:szCs w:val="24"/>
          <w:lang w:eastAsia="ru-RU"/>
        </w:rPr>
      </w:pPr>
      <w:r>
        <w:rPr>
          <w:rFonts w:ascii="PT Astra Serif" w:hAnsi="PT Astra Serif" w:eastAsia="Times New Roman"/>
          <w:sz w:val="24"/>
          <w:szCs w:val="24"/>
          <w:lang w:eastAsia="ru-RU"/>
        </w:rPr>
        <w:t xml:space="preserve">В рамках</w:t>
      </w:r>
      <w:r>
        <w:rPr>
          <w:rFonts w:ascii="PT Astra Serif" w:hAnsi="PT Astra Serif" w:eastAsia="Times New Roman"/>
          <w:i/>
          <w:sz w:val="24"/>
          <w:szCs w:val="24"/>
          <w:lang w:eastAsia="ru-RU"/>
        </w:rPr>
        <w:t xml:space="preserve"> регионального проекта «Адресная поддержка повышения производительности труда на предприятиях»:</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lang w:eastAsia="ru-RU"/>
        </w:rPr>
      </w:pPr>
      <w:r>
        <w:rPr>
          <w:rFonts w:ascii="PT Astra Serif" w:hAnsi="PT Astra Serif" w:eastAsia="Calibri"/>
          <w:sz w:val="24"/>
          <w:szCs w:val="24"/>
          <w:lang w:eastAsia="ru-RU"/>
        </w:rPr>
        <w:t xml:space="preserve">вовлечено 14 предприятий-участников в национальный проект (план – 8 ед.); </w:t>
      </w:r>
      <w:r>
        <w:rPr>
          <w:rFonts w:ascii="PT Astra Serif" w:hAnsi="PT Astra Serif" w:eastAsia="Calibri"/>
          <w:sz w:val="24"/>
          <w:szCs w:val="24"/>
          <w:lang w:eastAsia="ru-RU"/>
        </w:rPr>
      </w:r>
      <w:r>
        <w:rPr>
          <w:rFonts w:ascii="PT Astra Serif" w:hAnsi="PT Astra Serif" w:eastAsia="Calibri"/>
          <w:sz w:val="24"/>
          <w:szCs w:val="24"/>
          <w:lang w:eastAsia="ru-RU"/>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lang w:eastAsia="ru-RU"/>
        </w:rPr>
      </w:pPr>
      <w:r>
        <w:rPr>
          <w:rFonts w:ascii="PT Astra Serif" w:hAnsi="PT Astra Serif" w:eastAsia="Calibri"/>
          <w:sz w:val="24"/>
          <w:szCs w:val="24"/>
          <w:lang w:eastAsia="ru-RU"/>
        </w:rPr>
        <w:t xml:space="preserve">прошли обучение 175 сотрудников</w:t>
      </w:r>
      <w:r>
        <w:rPr>
          <w:rFonts w:ascii="PT Astra Serif" w:hAnsi="PT Astra Serif" w:eastAsia="Calibri"/>
          <w:sz w:val="24"/>
          <w:szCs w:val="24"/>
        </w:rPr>
        <w:t xml:space="preserve"> инструментам повышения производительности труда под региональным управлением;</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r>
      <w:r>
        <w:rPr>
          <w:rFonts w:ascii="PT Astra Serif" w:hAnsi="PT Astra Serif" w:eastAsia="Calibri"/>
          <w:sz w:val="24"/>
          <w:szCs w:val="24"/>
          <w:lang w:eastAsia="ru-RU"/>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lang w:eastAsia="ru-RU"/>
        </w:rPr>
      </w:pPr>
      <w:r>
        <w:rPr>
          <w:rFonts w:ascii="PT Astra Serif" w:hAnsi="PT Astra Serif" w:eastAsia="Calibri"/>
          <w:sz w:val="24"/>
          <w:szCs w:val="24"/>
          <w:lang w:eastAsia="ru-RU"/>
        </w:rPr>
        <w:t xml:space="preserve">реализовано 9 проектов по повышению производительности труда на предприятиях </w:t>
      </w:r>
      <w:r>
        <w:rPr>
          <w:rFonts w:ascii="PT Astra Serif" w:hAnsi="PT Astra Serif"/>
          <w:sz w:val="24"/>
          <w:szCs w:val="24"/>
        </w:rPr>
        <w:t xml:space="preserve">–</w:t>
      </w:r>
      <w:r>
        <w:rPr>
          <w:rFonts w:ascii="PT Astra Serif" w:hAnsi="PT Astra Serif" w:eastAsia="Calibri"/>
          <w:sz w:val="24"/>
          <w:szCs w:val="24"/>
          <w:lang w:eastAsia="ru-RU"/>
        </w:rPr>
        <w:t xml:space="preserve"> участниках национального проекта по направлению «Бережливое производство»</w:t>
      </w:r>
      <w:r>
        <w:rPr>
          <w:rFonts w:ascii="PT Astra Serif" w:hAnsi="PT Astra Serif" w:eastAsia="Calibri"/>
          <w:sz w:val="24"/>
          <w:szCs w:val="24"/>
          <w:lang w:val="en-US" w:eastAsia="ru-RU"/>
        </w:rPr>
        <w:t xml:space="preserve">;</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r>
      <w:r>
        <w:rPr>
          <w:rFonts w:ascii="PT Astra Serif" w:hAnsi="PT Astra Serif" w:eastAsia="Calibri"/>
          <w:sz w:val="24"/>
          <w:szCs w:val="24"/>
          <w:lang w:eastAsia="ru-RU"/>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lang w:eastAsia="ru-RU"/>
        </w:rPr>
      </w:pPr>
      <w:r>
        <w:rPr>
          <w:rFonts w:ascii="PT Astra Serif" w:hAnsi="PT Astra Serif" w:eastAsia="Calibri"/>
          <w:sz w:val="24"/>
          <w:szCs w:val="24"/>
        </w:rPr>
        <w:t xml:space="preserve">функционирует 1 учебная производственная площадка «Фабрика процессов», обеспечивающая практическое обучение принципам и инструментам бережливого производства посредством имитации реальных производственных и вспомогательных процессов (план – 1 ед.).</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tabs>
          <w:tab w:val="left" w:pos="993" w:leader="none"/>
        </w:tabs>
        <w:rPr>
          <w:rFonts w:ascii="PT Astra Serif" w:hAnsi="PT Astra Serif" w:eastAsia="Times New Roman"/>
          <w:i/>
          <w:sz w:val="24"/>
          <w:szCs w:val="24"/>
          <w:lang w:eastAsia="ru-RU"/>
        </w:rPr>
      </w:pPr>
      <w:r>
        <w:rPr>
          <w:rFonts w:ascii="PT Astra Serif" w:hAnsi="PT Astra Serif" w:eastAsia="Times New Roman"/>
          <w:sz w:val="24"/>
          <w:szCs w:val="24"/>
          <w:lang w:eastAsia="ru-RU"/>
        </w:rPr>
        <w:t xml:space="preserve">В рамках</w:t>
      </w:r>
      <w:r>
        <w:rPr>
          <w:rFonts w:ascii="PT Astra Serif" w:hAnsi="PT Astra Serif" w:eastAsia="Times New Roman"/>
          <w:i/>
          <w:sz w:val="24"/>
          <w:szCs w:val="24"/>
          <w:lang w:eastAsia="ru-RU"/>
        </w:rPr>
        <w:t xml:space="preserve"> регионального проекта «Системные меры по повышению производительности труда» финансирование в 2023 году не предусмотрено:</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lang w:eastAsia="ru-RU"/>
        </w:rPr>
      </w:pPr>
      <w:r>
        <w:rPr>
          <w:rFonts w:ascii="PT Astra Serif" w:hAnsi="PT Astra Serif" w:eastAsia="Calibri"/>
          <w:sz w:val="24"/>
          <w:szCs w:val="24"/>
          <w:lang w:eastAsia="ru-RU"/>
        </w:rPr>
        <w:t xml:space="preserve">прошли обучение бережливому производству 8 руководителей по программе управленческих навыков для повышения производительности труда;</w:t>
      </w:r>
      <w:r>
        <w:rPr>
          <w:rFonts w:ascii="PT Astra Serif" w:hAnsi="PT Astra Serif" w:eastAsia="Calibri"/>
          <w:sz w:val="24"/>
          <w:szCs w:val="24"/>
          <w:lang w:eastAsia="ru-RU"/>
        </w:rPr>
      </w:r>
      <w:r>
        <w:rPr>
          <w:rFonts w:ascii="PT Astra Serif" w:hAnsi="PT Astra Serif" w:eastAsia="Calibri"/>
          <w:sz w:val="24"/>
          <w:szCs w:val="24"/>
          <w:lang w:eastAsia="ru-RU"/>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lang w:eastAsia="ru-RU"/>
        </w:rPr>
      </w:pPr>
      <w:r>
        <w:rPr>
          <w:rFonts w:ascii="PT Astra Serif" w:hAnsi="PT Astra Serif" w:eastAsia="Calibri"/>
          <w:sz w:val="24"/>
          <w:szCs w:val="24"/>
          <w:lang w:eastAsia="ru-RU"/>
        </w:rPr>
        <w:t xml:space="preserve">проведен региональный этап конкурса «Лучшие практики наставничества Томской области – 2023» в рамках национального проекта «Производительность труда»;</w:t>
      </w:r>
      <w:r>
        <w:rPr>
          <w:rFonts w:ascii="PT Astra Serif" w:hAnsi="PT Astra Serif" w:eastAsia="Calibri"/>
          <w:sz w:val="24"/>
          <w:szCs w:val="24"/>
          <w:lang w:eastAsia="ru-RU"/>
        </w:rPr>
      </w:r>
      <w:r>
        <w:rPr>
          <w:rFonts w:ascii="PT Astra Serif" w:hAnsi="PT Astra Serif" w:eastAsia="Calibri"/>
          <w:sz w:val="24"/>
          <w:szCs w:val="24"/>
          <w:lang w:eastAsia="ru-RU"/>
        </w:rPr>
      </w:r>
    </w:p>
    <w:p>
      <w:pPr>
        <w:numPr>
          <w:ilvl w:val="0"/>
          <w:numId w:val="23"/>
        </w:numPr>
        <w:contextualSpacing/>
        <w:ind w:left="0" w:firstLine="709"/>
        <w:jc w:val="both"/>
        <w:spacing w:after="0" w:line="240" w:lineRule="auto"/>
        <w:tabs>
          <w:tab w:val="left" w:pos="993" w:leader="none"/>
        </w:tabs>
        <w:rPr>
          <w:rFonts w:ascii="PT Astra Serif" w:hAnsi="PT Astra Serif" w:eastAsia="Calibri"/>
          <w:sz w:val="24"/>
          <w:szCs w:val="24"/>
          <w:lang w:eastAsia="ru-RU"/>
        </w:rPr>
      </w:pPr>
      <w:r>
        <w:rPr>
          <w:rFonts w:ascii="PT Astra Serif" w:hAnsi="PT Astra Serif" w:eastAsia="Calibri"/>
          <w:sz w:val="24"/>
          <w:szCs w:val="24"/>
          <w:lang w:eastAsia="ru-RU"/>
        </w:rPr>
        <w:t xml:space="preserve">победители регионального этапа приняли участие во Всероссийском этапе конкурса. АО «НПФ «Микран» занял</w:t>
      </w:r>
      <w:r>
        <w:rPr>
          <w:rFonts w:ascii="PT Astra Serif" w:hAnsi="PT Astra Serif" w:eastAsia="Calibri"/>
          <w:sz w:val="24"/>
          <w:szCs w:val="24"/>
          <w:lang w:eastAsia="ru-RU"/>
        </w:rPr>
        <w:t xml:space="preserve">о</w:t>
      </w:r>
      <w:r>
        <w:rPr>
          <w:rFonts w:ascii="PT Astra Serif" w:hAnsi="PT Astra Serif" w:eastAsia="Calibri"/>
          <w:sz w:val="24"/>
          <w:szCs w:val="24"/>
          <w:lang w:eastAsia="ru-RU"/>
        </w:rPr>
        <w:t xml:space="preserve"> 3</w:t>
      </w:r>
      <w:r>
        <w:rPr>
          <w:rFonts w:ascii="PT Astra Serif" w:hAnsi="PT Astra Serif" w:eastAsia="Calibri"/>
          <w:sz w:val="24"/>
          <w:szCs w:val="24"/>
          <w:lang w:eastAsia="ru-RU"/>
        </w:rPr>
        <w:t xml:space="preserve">-е</w:t>
      </w:r>
      <w:r>
        <w:rPr>
          <w:rFonts w:ascii="PT Astra Serif" w:hAnsi="PT Astra Serif" w:eastAsia="Calibri"/>
          <w:sz w:val="24"/>
          <w:szCs w:val="24"/>
          <w:lang w:eastAsia="ru-RU"/>
        </w:rPr>
        <w:t xml:space="preserve"> место в номинации «Профессиональное развитие молодежи». </w:t>
      </w:r>
      <w:r>
        <w:rPr>
          <w:rFonts w:ascii="PT Astra Serif" w:hAnsi="PT Astra Serif" w:eastAsia="Calibri"/>
          <w:sz w:val="24"/>
          <w:szCs w:val="24"/>
          <w:lang w:eastAsia="ru-RU"/>
        </w:rPr>
      </w:r>
      <w:r>
        <w:rPr>
          <w:rFonts w:ascii="PT Astra Serif" w:hAnsi="PT Astra Serif" w:eastAsia="Calibri"/>
          <w:sz w:val="24"/>
          <w:szCs w:val="24"/>
          <w:lang w:eastAsia="ru-RU"/>
        </w:rPr>
      </w:r>
    </w:p>
    <w:p>
      <w:pPr>
        <w:contextualSpacing/>
        <w:ind w:firstLine="709"/>
        <w:jc w:val="both"/>
        <w:spacing w:after="0" w:line="240" w:lineRule="auto"/>
        <w:tabs>
          <w:tab w:val="left" w:pos="851" w:leader="none"/>
          <w:tab w:val="left" w:pos="993" w:leader="none"/>
        </w:tabs>
        <w:rPr>
          <w:rFonts w:ascii="PT Astra Serif" w:hAnsi="PT Astra Serif" w:eastAsia="Calibri"/>
          <w:sz w:val="24"/>
          <w:szCs w:val="24"/>
          <w:lang w:eastAsia="ru-RU"/>
        </w:rPr>
      </w:pPr>
      <w:r>
        <w:rPr>
          <w:rFonts w:ascii="PT Astra Serif" w:hAnsi="PT Astra Serif" w:eastAsia="Calibri"/>
          <w:i/>
          <w:sz w:val="24"/>
          <w:szCs w:val="24"/>
          <w:lang w:eastAsia="ru-RU"/>
        </w:rPr>
        <w:t xml:space="preserve">(Справочно: всего на Всероссийский этап конкурса было подано 785 заяв</w:t>
      </w:r>
      <w:r>
        <w:rPr>
          <w:rFonts w:ascii="PT Astra Serif" w:hAnsi="PT Astra Serif" w:eastAsia="Calibri"/>
          <w:i/>
          <w:sz w:val="24"/>
          <w:szCs w:val="24"/>
          <w:lang w:eastAsia="ru-RU"/>
        </w:rPr>
        <w:t xml:space="preserve">ок из 68 </w:t>
      </w:r>
      <w:r>
        <w:rPr>
          <w:rFonts w:ascii="PT Astra Serif" w:hAnsi="PT Astra Serif" w:eastAsia="Calibri"/>
          <w:i/>
          <w:sz w:val="24"/>
          <w:szCs w:val="24"/>
          <w:lang w:eastAsia="ru-RU"/>
        </w:rPr>
        <w:t xml:space="preserve">регионов Российской Федерации). </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tabs>
          <w:tab w:val="left" w:pos="284" w:leader="none"/>
          <w:tab w:val="left" w:pos="426" w:leader="none"/>
        </w:tabs>
        <w:rPr>
          <w:rFonts w:ascii="PT Astra Serif" w:hAnsi="PT Astra Serif" w:eastAsia="Times New Roman"/>
          <w:b/>
          <w:sz w:val="24"/>
          <w:szCs w:val="24"/>
          <w:lang w:eastAsia="ru-RU"/>
        </w:rPr>
      </w:pPr>
      <w:r>
        <w:rPr>
          <w:rFonts w:ascii="PT Astra Serif" w:hAnsi="PT Astra Serif" w:eastAsia="Times New Roman"/>
          <w:b/>
          <w:sz w:val="24"/>
          <w:szCs w:val="24"/>
          <w:lang w:eastAsia="ru-RU"/>
        </w:rPr>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ind w:firstLine="709"/>
        <w:jc w:val="both"/>
        <w:spacing w:after="0" w:line="240" w:lineRule="auto"/>
        <w:tabs>
          <w:tab w:val="left" w:pos="284" w:leader="none"/>
          <w:tab w:val="left" w:pos="426" w:leader="none"/>
        </w:tabs>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Перспективные задачи на 2024 год:</w:t>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ind w:firstLine="709"/>
        <w:jc w:val="both"/>
        <w:spacing w:after="0" w:line="240" w:lineRule="auto"/>
        <w:tabs>
          <w:tab w:val="left" w:pos="284" w:leader="none"/>
          <w:tab w:val="left" w:pos="426" w:leader="none"/>
        </w:tabs>
        <w:rPr>
          <w:rFonts w:ascii="PT Astra Serif" w:hAnsi="PT Astra Serif" w:eastAsia="Times New Roman"/>
          <w:i/>
          <w:sz w:val="24"/>
          <w:szCs w:val="24"/>
          <w:lang w:eastAsia="ru-RU"/>
        </w:rPr>
      </w:pPr>
      <w:r>
        <w:rPr>
          <w:rFonts w:ascii="PT Astra Serif" w:hAnsi="PT Astra Serif" w:eastAsia="Times New Roman"/>
          <w:i/>
          <w:sz w:val="24"/>
          <w:szCs w:val="24"/>
          <w:lang w:eastAsia="ru-RU"/>
        </w:rPr>
        <w:t xml:space="preserve">Региональный проект «Адресная поддержка повышения производительности труда на предприятиях»:</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numPr>
          <w:ilvl w:val="0"/>
          <w:numId w:val="21"/>
        </w:numPr>
        <w:ind w:left="0" w:firstLine="709"/>
        <w:jc w:val="both"/>
        <w:spacing w:after="0" w:line="240" w:lineRule="auto"/>
        <w:tabs>
          <w:tab w:val="left" w:pos="284" w:leader="none"/>
          <w:tab w:val="left" w:pos="851" w:leader="none"/>
          <w:tab w:val="left" w:pos="993" w:leader="none"/>
        </w:tabs>
        <w:rPr>
          <w:rFonts w:ascii="PT Astra Serif" w:hAnsi="PT Astra Serif"/>
          <w:bCs/>
          <w:sz w:val="24"/>
          <w:szCs w:val="24"/>
        </w:rPr>
      </w:pPr>
      <w:r>
        <w:rPr>
          <w:rFonts w:ascii="PT Astra Serif" w:hAnsi="PT Astra Serif"/>
          <w:sz w:val="24"/>
          <w:szCs w:val="24"/>
        </w:rPr>
        <w:t xml:space="preserve">Вовлечение в</w:t>
      </w:r>
      <w:r>
        <w:rPr>
          <w:rFonts w:ascii="PT Astra Serif" w:hAnsi="PT Astra Serif"/>
          <w:sz w:val="24"/>
          <w:szCs w:val="24"/>
        </w:rPr>
        <w:t xml:space="preserve"> проект не менее 4 предприятий.</w:t>
      </w:r>
      <w:r>
        <w:rPr>
          <w:rFonts w:ascii="PT Astra Serif" w:hAnsi="PT Astra Serif"/>
          <w:bCs/>
          <w:sz w:val="24"/>
          <w:szCs w:val="24"/>
        </w:rPr>
      </w:r>
      <w:r>
        <w:rPr>
          <w:rFonts w:ascii="PT Astra Serif" w:hAnsi="PT Astra Serif"/>
          <w:bCs/>
          <w:sz w:val="24"/>
          <w:szCs w:val="24"/>
        </w:rPr>
      </w:r>
    </w:p>
    <w:p>
      <w:pPr>
        <w:numPr>
          <w:ilvl w:val="0"/>
          <w:numId w:val="21"/>
        </w:numPr>
        <w:ind w:left="0" w:firstLine="709"/>
        <w:jc w:val="both"/>
        <w:spacing w:after="0" w:line="240" w:lineRule="auto"/>
        <w:tabs>
          <w:tab w:val="left" w:pos="284" w:leader="none"/>
          <w:tab w:val="left" w:pos="851" w:leader="none"/>
          <w:tab w:val="left" w:pos="993" w:leader="none"/>
        </w:tabs>
        <w:rPr>
          <w:rFonts w:ascii="PT Astra Serif" w:hAnsi="PT Astra Serif"/>
          <w:bCs/>
          <w:sz w:val="24"/>
          <w:szCs w:val="24"/>
        </w:rPr>
      </w:pPr>
      <w:r>
        <w:rPr>
          <w:rFonts w:ascii="PT Astra Serif" w:hAnsi="PT Astra Serif"/>
          <w:sz w:val="24"/>
          <w:szCs w:val="24"/>
        </w:rPr>
        <w:t xml:space="preserve">Обучение не менее 81 сотрудника методикам бережливого производства;</w:t>
      </w:r>
      <w:r>
        <w:rPr>
          <w:rFonts w:ascii="PT Astra Serif" w:hAnsi="PT Astra Serif"/>
          <w:bCs/>
          <w:sz w:val="24"/>
          <w:szCs w:val="24"/>
        </w:rPr>
      </w:r>
      <w:r>
        <w:rPr>
          <w:rFonts w:ascii="PT Astra Serif" w:hAnsi="PT Astra Serif"/>
          <w:bCs/>
          <w:sz w:val="24"/>
          <w:szCs w:val="24"/>
        </w:rPr>
      </w:r>
    </w:p>
    <w:p>
      <w:pPr>
        <w:numPr>
          <w:ilvl w:val="0"/>
          <w:numId w:val="21"/>
        </w:numPr>
        <w:ind w:left="0" w:firstLine="709"/>
        <w:jc w:val="both"/>
        <w:spacing w:after="0" w:line="240" w:lineRule="auto"/>
        <w:tabs>
          <w:tab w:val="left" w:pos="284" w:leader="none"/>
          <w:tab w:val="left" w:pos="851" w:leader="none"/>
          <w:tab w:val="left" w:pos="993" w:leader="none"/>
        </w:tabs>
        <w:rPr>
          <w:rFonts w:ascii="PT Astra Serif" w:hAnsi="PT Astra Serif"/>
          <w:sz w:val="24"/>
          <w:szCs w:val="24"/>
        </w:rPr>
      </w:pPr>
      <w:r>
        <w:rPr>
          <w:rFonts w:ascii="PT Astra Serif" w:hAnsi="PT Astra Serif"/>
          <w:sz w:val="24"/>
          <w:szCs w:val="24"/>
        </w:rPr>
        <w:t xml:space="preserve">Реализация не менее 8 проектов по повышению производительности труда на предприятиях</w:t>
      </w:r>
      <w:r>
        <w:rPr>
          <w:rFonts w:ascii="PT Astra Serif" w:hAnsi="PT Astra Serif"/>
          <w:sz w:val="24"/>
          <w:szCs w:val="24"/>
        </w:rPr>
        <w:t xml:space="preserve"> – </w:t>
      </w:r>
      <w:r>
        <w:rPr>
          <w:rFonts w:ascii="PT Astra Serif" w:hAnsi="PT Astra Serif"/>
          <w:sz w:val="24"/>
          <w:szCs w:val="24"/>
        </w:rPr>
        <w:t xml:space="preserve">участниках национального проекта по направлению «Бережливое производство».</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284" w:leader="none"/>
          <w:tab w:val="left" w:pos="426" w:leader="none"/>
        </w:tabs>
        <w:rPr>
          <w:rFonts w:ascii="PT Astra Serif" w:hAnsi="PT Astra Serif" w:eastAsia="Times New Roman"/>
          <w:i/>
          <w:sz w:val="24"/>
          <w:szCs w:val="24"/>
          <w:lang w:eastAsia="ru-RU"/>
        </w:rPr>
      </w:pPr>
      <w:r>
        <w:rPr>
          <w:rFonts w:ascii="PT Astra Serif" w:hAnsi="PT Astra Serif" w:eastAsia="Times New Roman"/>
          <w:i/>
          <w:sz w:val="24"/>
          <w:szCs w:val="24"/>
          <w:lang w:eastAsia="ru-RU"/>
        </w:rPr>
        <w:t xml:space="preserve">Региональный проект «Системные меры по повышению производительности труда» финансирование в 2024 году не предусмотрено:</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pStyle w:val="1152"/>
        <w:numPr>
          <w:ilvl w:val="3"/>
          <w:numId w:val="21"/>
        </w:numPr>
        <w:ind w:left="0" w:firstLine="709"/>
        <w:jc w:val="both"/>
        <w:spacing w:after="0" w:line="240" w:lineRule="auto"/>
        <w:tabs>
          <w:tab w:val="left" w:pos="284" w:leader="none"/>
          <w:tab w:val="left" w:pos="851" w:leader="none"/>
          <w:tab w:val="left" w:pos="993" w:leader="none"/>
        </w:tabs>
        <w:rPr>
          <w:rFonts w:ascii="PT Astra Serif" w:hAnsi="PT Astra Serif"/>
          <w:sz w:val="24"/>
          <w:szCs w:val="24"/>
        </w:rPr>
      </w:pPr>
      <w:r>
        <w:rPr>
          <w:rFonts w:ascii="PT Astra Serif" w:hAnsi="PT Astra Serif"/>
          <w:sz w:val="24"/>
          <w:szCs w:val="24"/>
        </w:rPr>
        <w:t xml:space="preserve">Проведение регионального этапа конкурса «Лучшие практики наставничества» среди предприятий</w:t>
      </w:r>
      <w:r>
        <w:rPr>
          <w:rFonts w:ascii="PT Astra Serif" w:hAnsi="PT Astra Serif"/>
          <w:sz w:val="24"/>
          <w:szCs w:val="24"/>
        </w:rPr>
        <w:t xml:space="preserve"> – </w:t>
      </w:r>
      <w:r>
        <w:rPr>
          <w:rFonts w:ascii="PT Astra Serif" w:hAnsi="PT Astra Serif"/>
          <w:sz w:val="24"/>
          <w:szCs w:val="24"/>
        </w:rPr>
        <w:t xml:space="preserve">участников национального проекта «Производительность труда».  </w:t>
      </w:r>
      <w:r>
        <w:rPr>
          <w:rFonts w:ascii="PT Astra Serif" w:hAnsi="PT Astra Serif"/>
          <w:sz w:val="24"/>
          <w:szCs w:val="24"/>
        </w:rPr>
      </w:r>
      <w:r>
        <w:rPr>
          <w:rFonts w:ascii="PT Astra Serif" w:hAnsi="PT Astra Serif"/>
          <w:sz w:val="24"/>
          <w:szCs w:val="24"/>
        </w:rPr>
      </w:r>
    </w:p>
    <w:p>
      <w:pPr>
        <w:ind w:firstLine="709"/>
        <w:jc w:val="center"/>
        <w:spacing w:after="0" w:line="240" w:lineRule="auto"/>
        <w:tabs>
          <w:tab w:val="left" w:pos="709" w:leader="none"/>
          <w:tab w:val="left" w:pos="1134"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spacing w:after="0" w:line="240" w:lineRule="auto"/>
        <w:tabs>
          <w:tab w:val="left" w:pos="709" w:leader="none"/>
          <w:tab w:val="left" w:pos="1134" w:leader="none"/>
        </w:tabs>
        <w:rPr>
          <w:rFonts w:ascii="PT Astra Serif" w:hAnsi="PT Astra Serif"/>
          <w:b/>
          <w:sz w:val="24"/>
          <w:szCs w:val="24"/>
        </w:rPr>
      </w:pPr>
      <w:r>
        <w:rPr>
          <w:rFonts w:ascii="PT Astra Serif" w:hAnsi="PT Astra Serif"/>
          <w:b/>
          <w:sz w:val="24"/>
          <w:szCs w:val="24"/>
        </w:rPr>
        <w:t xml:space="preserve">Национальный проект «Наука и университеты»</w:t>
      </w:r>
      <w:r>
        <w:rPr>
          <w:rFonts w:ascii="PT Astra Serif" w:hAnsi="PT Astra Serif"/>
          <w:b/>
          <w:sz w:val="24"/>
          <w:szCs w:val="24"/>
        </w:rPr>
      </w:r>
      <w:r>
        <w:rPr>
          <w:rFonts w:ascii="PT Astra Serif" w:hAnsi="PT Astra Serif"/>
          <w:b/>
          <w:sz w:val="24"/>
          <w:szCs w:val="24"/>
        </w:rPr>
      </w:r>
    </w:p>
    <w:p>
      <w:pPr>
        <w:contextualSpacing/>
        <w:ind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На достижение целей национального проекта в Томской области в 2023 году были направлены 3 региональных проекта. </w:t>
      </w:r>
      <w:r>
        <w:rPr>
          <w:rFonts w:ascii="PT Astra Serif" w:hAnsi="PT Astra Serif"/>
          <w:sz w:val="24"/>
          <w:szCs w:val="24"/>
        </w:rPr>
        <w:t xml:space="preserve">Финансирование на реализацию 3 региональных проектов выделяется из федерального бюджета вузам и НИИ на конкурсной основе и </w:t>
      </w:r>
      <w:r>
        <w:rPr>
          <w:rFonts w:ascii="PT Astra Serif" w:hAnsi="PT Astra Serif"/>
          <w:sz w:val="24"/>
          <w:szCs w:val="24"/>
        </w:rPr>
        <w:t xml:space="preserve">направляется </w:t>
      </w:r>
      <w:r>
        <w:rPr>
          <w:rFonts w:ascii="PT Astra Serif" w:hAnsi="PT Astra Serif"/>
          <w:sz w:val="24"/>
          <w:szCs w:val="24"/>
        </w:rPr>
        <w:t xml:space="preserve">напрямую в </w:t>
      </w:r>
      <w:r>
        <w:rPr>
          <w:rFonts w:ascii="PT Astra Serif" w:hAnsi="PT Astra Serif"/>
          <w:sz w:val="24"/>
          <w:szCs w:val="24"/>
        </w:rPr>
        <w:t xml:space="preserve">вузы</w:t>
      </w:r>
      <w:r>
        <w:rPr>
          <w:rFonts w:ascii="PT Astra Serif" w:hAnsi="PT Astra Serif"/>
          <w:sz w:val="24"/>
          <w:szCs w:val="24"/>
        </w:rPr>
        <w:t xml:space="preserve">.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b/>
          <w:sz w:val="24"/>
          <w:szCs w:val="24"/>
        </w:rPr>
      </w:pPr>
      <w:r>
        <w:rPr>
          <w:rFonts w:ascii="PT Astra Serif" w:hAnsi="PT Astra Serif"/>
          <w:b/>
          <w:sz w:val="24"/>
          <w:szCs w:val="24"/>
        </w:rPr>
        <w:t xml:space="preserve">Итоги 2023 года:</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sz w:val="24"/>
          <w:szCs w:val="24"/>
        </w:rPr>
      </w:pPr>
      <w:r>
        <w:rPr>
          <w:rFonts w:ascii="PT Astra Serif" w:hAnsi="PT Astra Serif" w:eastAsia="Calibri"/>
          <w:sz w:val="24"/>
          <w:szCs w:val="24"/>
        </w:rPr>
        <w:t xml:space="preserve">В рамках </w:t>
      </w:r>
      <w:r>
        <w:rPr>
          <w:rFonts w:ascii="PT Astra Serif" w:hAnsi="PT Astra Serif" w:eastAsia="Calibri"/>
          <w:i/>
          <w:sz w:val="24"/>
          <w:szCs w:val="24"/>
        </w:rPr>
        <w:t xml:space="preserve">регионального проекта «Развитие кадрового потенциала в сфере исследований</w:t>
      </w:r>
      <w:r>
        <w:rPr>
          <w:rFonts w:ascii="PT Astra Serif" w:hAnsi="PT Astra Serif"/>
          <w:i/>
          <w:sz w:val="24"/>
          <w:szCs w:val="24"/>
        </w:rPr>
        <w:t xml:space="preserve"> и разработок»:</w:t>
      </w:r>
      <w:r>
        <w:rPr>
          <w:rFonts w:ascii="PT Astra Serif" w:hAnsi="PT Astra Serif"/>
          <w:sz w:val="24"/>
          <w:szCs w:val="24"/>
        </w:rPr>
      </w:r>
      <w:r>
        <w:rPr>
          <w:rFonts w:ascii="PT Astra Serif" w:hAnsi="PT Astra Serif"/>
          <w:sz w:val="24"/>
          <w:szCs w:val="24"/>
        </w:rPr>
      </w:r>
    </w:p>
    <w:p>
      <w:pPr>
        <w:numPr>
          <w:ilvl w:val="0"/>
          <w:numId w:val="26"/>
        </w:numPr>
        <w:contextualSpacing/>
        <w:ind w:left="0" w:firstLine="709"/>
        <w:jc w:val="both"/>
        <w:spacing w:after="0" w:line="240" w:lineRule="auto"/>
        <w:tabs>
          <w:tab w:val="left" w:pos="851" w:leader="none"/>
        </w:tabs>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592,</w:t>
      </w:r>
      <w:r>
        <w:rPr>
          <w:rFonts w:ascii="PT Astra Serif" w:hAnsi="PT Astra Serif"/>
          <w:sz w:val="24"/>
          <w:szCs w:val="24"/>
        </w:rPr>
        <w:t xml:space="preserve">6</w:t>
      </w:r>
      <w:r>
        <w:rPr>
          <w:rFonts w:ascii="PT Astra Serif" w:hAnsi="PT Astra Serif"/>
          <w:sz w:val="24"/>
          <w:szCs w:val="24"/>
        </w:rPr>
        <w:t xml:space="preserve"> млн</w:t>
      </w:r>
      <w:r>
        <w:rPr>
          <w:rFonts w:ascii="PT Astra Serif" w:hAnsi="PT Astra Serif"/>
          <w:sz w:val="24"/>
          <w:szCs w:val="24"/>
        </w:rPr>
        <w:t xml:space="preserve"> рублей поступило в томские </w:t>
      </w:r>
      <w:r>
        <w:rPr>
          <w:rFonts w:ascii="PT Astra Serif" w:hAnsi="PT Astra Serif"/>
          <w:sz w:val="24"/>
          <w:szCs w:val="24"/>
        </w:rPr>
        <w:t xml:space="preserve">вузы </w:t>
      </w:r>
      <w:r>
        <w:rPr>
          <w:rFonts w:ascii="PT Astra Serif" w:hAnsi="PT Astra Serif"/>
          <w:sz w:val="24"/>
          <w:szCs w:val="24"/>
        </w:rPr>
        <w:t xml:space="preserve">на развитие 32 лабораторий для молодых ученых;</w:t>
      </w:r>
      <w:r>
        <w:rPr>
          <w:rFonts w:ascii="PT Astra Serif" w:hAnsi="PT Astra Serif"/>
          <w:sz w:val="24"/>
          <w:szCs w:val="24"/>
        </w:rPr>
      </w:r>
      <w:r>
        <w:rPr>
          <w:rFonts w:ascii="PT Astra Serif" w:hAnsi="PT Astra Serif"/>
          <w:sz w:val="24"/>
          <w:szCs w:val="24"/>
        </w:rPr>
      </w:r>
    </w:p>
    <w:p>
      <w:pPr>
        <w:numPr>
          <w:ilvl w:val="0"/>
          <w:numId w:val="26"/>
        </w:numPr>
        <w:contextualSpacing/>
        <w:ind w:left="0" w:firstLine="709"/>
        <w:jc w:val="both"/>
        <w:spacing w:after="0" w:line="240" w:lineRule="auto"/>
        <w:tabs>
          <w:tab w:val="left" w:pos="851" w:leader="none"/>
        </w:tabs>
        <w:rPr>
          <w:rFonts w:ascii="PT Astra Serif" w:hAnsi="PT Astra Serif"/>
          <w:sz w:val="24"/>
          <w:szCs w:val="24"/>
        </w:rPr>
      </w:pPr>
      <w:r>
        <w:rPr>
          <w:rFonts w:ascii="PT Astra Serif" w:hAnsi="PT Astra Serif"/>
          <w:sz w:val="24"/>
          <w:szCs w:val="24"/>
        </w:rPr>
        <w:t xml:space="preserve"> 135,2 млн</w:t>
      </w:r>
      <w:r>
        <w:rPr>
          <w:rFonts w:ascii="PT Astra Serif" w:hAnsi="PT Astra Serif"/>
          <w:sz w:val="24"/>
          <w:szCs w:val="24"/>
        </w:rPr>
        <w:t xml:space="preserve"> рублей поступило на развитие 6</w:t>
      </w:r>
      <w:r>
        <w:rPr>
          <w:rFonts w:ascii="PT Astra Serif" w:hAnsi="PT Astra Serif"/>
          <w:sz w:val="24"/>
          <w:szCs w:val="24"/>
        </w:rPr>
        <w:t xml:space="preserve"> лабораторий мирового уровня в ТГУ и ТПУ (по 3 лаборатории) под руководством ведущих ученых с мировым именем.</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Calibri"/>
          <w:i/>
          <w:sz w:val="24"/>
          <w:szCs w:val="24"/>
        </w:rPr>
      </w:pPr>
      <w:r>
        <w:rPr>
          <w:rFonts w:ascii="PT Astra Serif" w:hAnsi="PT Astra Serif" w:eastAsia="Calibri"/>
          <w:sz w:val="24"/>
          <w:szCs w:val="24"/>
        </w:rPr>
        <w:t xml:space="preserve">В рамках </w:t>
      </w:r>
      <w:r>
        <w:rPr>
          <w:rFonts w:ascii="PT Astra Serif" w:hAnsi="PT Astra Serif" w:eastAsia="Calibri"/>
          <w:i/>
          <w:sz w:val="24"/>
          <w:szCs w:val="24"/>
        </w:rPr>
        <w:t xml:space="preserve">регионального проекта «Развитие передовой инфраструктуры для проведения исследований и разработок в Российской Федерации</w:t>
      </w:r>
      <w:r>
        <w:rPr>
          <w:rFonts w:ascii="PT Astra Serif" w:hAnsi="PT Astra Serif" w:eastAsia="Calibri"/>
          <w:i/>
          <w:sz w:val="24"/>
          <w:szCs w:val="24"/>
        </w:rPr>
        <w:t xml:space="preserve">»</w:t>
      </w:r>
      <w:r>
        <w:rPr>
          <w:rFonts w:ascii="PT Astra Serif" w:hAnsi="PT Astra Serif" w:eastAsia="Calibri"/>
          <w:i/>
          <w:sz w:val="24"/>
          <w:szCs w:val="24"/>
        </w:rPr>
        <w:t xml:space="preserve">:</w:t>
      </w:r>
      <w:r>
        <w:rPr>
          <w:rFonts w:ascii="PT Astra Serif" w:hAnsi="PT Astra Serif" w:eastAsia="Calibri"/>
          <w:i/>
          <w:sz w:val="24"/>
          <w:szCs w:val="24"/>
        </w:rPr>
      </w:r>
      <w:r>
        <w:rPr>
          <w:rFonts w:ascii="PT Astra Serif" w:hAnsi="PT Astra Serif" w:eastAsia="Calibri"/>
          <w:i/>
          <w:sz w:val="24"/>
          <w:szCs w:val="24"/>
        </w:rPr>
      </w:r>
    </w:p>
    <w:p>
      <w:pPr>
        <w:numPr>
          <w:ilvl w:val="0"/>
          <w:numId w:val="26"/>
        </w:numPr>
        <w:contextualSpacing/>
        <w:ind w:left="0" w:firstLine="709"/>
        <w:jc w:val="both"/>
        <w:spacing w:after="0" w:line="240" w:lineRule="auto"/>
        <w:tabs>
          <w:tab w:val="left" w:pos="851" w:leader="none"/>
        </w:tabs>
        <w:rPr>
          <w:rFonts w:ascii="PT Astra Serif" w:hAnsi="PT Astra Serif"/>
          <w:sz w:val="24"/>
          <w:szCs w:val="24"/>
        </w:rPr>
      </w:pPr>
      <w:r>
        <w:rPr>
          <w:rFonts w:ascii="PT Astra Serif" w:hAnsi="PT Astra Serif"/>
          <w:sz w:val="24"/>
          <w:szCs w:val="24"/>
        </w:rPr>
        <w:t xml:space="preserve"> 354,2 млн</w:t>
      </w:r>
      <w:r>
        <w:rPr>
          <w:rFonts w:ascii="PT Astra Serif" w:hAnsi="PT Astra Serif"/>
          <w:sz w:val="24"/>
          <w:szCs w:val="24"/>
        </w:rPr>
        <w:t xml:space="preserve"> рублей ТНИМЦ РАН, ИФПМ СО РАН направлено на обновление приборной базы для научных исследований;</w:t>
      </w:r>
      <w:r>
        <w:rPr>
          <w:rFonts w:ascii="PT Astra Serif" w:hAnsi="PT Astra Serif"/>
          <w:sz w:val="24"/>
          <w:szCs w:val="24"/>
        </w:rPr>
      </w:r>
      <w:r>
        <w:rPr>
          <w:rFonts w:ascii="PT Astra Serif" w:hAnsi="PT Astra Serif"/>
          <w:sz w:val="24"/>
          <w:szCs w:val="24"/>
        </w:rPr>
      </w:r>
    </w:p>
    <w:p>
      <w:pPr>
        <w:numPr>
          <w:ilvl w:val="0"/>
          <w:numId w:val="26"/>
        </w:numPr>
        <w:contextualSpacing/>
        <w:ind w:left="0" w:firstLine="709"/>
        <w:jc w:val="both"/>
        <w:spacing w:after="0" w:line="240" w:lineRule="auto"/>
        <w:tabs>
          <w:tab w:val="left" w:pos="851" w:leader="none"/>
          <w:tab w:val="left" w:pos="993" w:leader="none"/>
        </w:tabs>
        <w:rPr>
          <w:rFonts w:ascii="PT Astra Serif" w:hAnsi="PT Astra Serif"/>
          <w:sz w:val="24"/>
          <w:szCs w:val="24"/>
        </w:rPr>
      </w:pPr>
      <w:r>
        <w:rPr>
          <w:rFonts w:ascii="PT Astra Serif" w:hAnsi="PT Astra Serif"/>
          <w:sz w:val="24"/>
          <w:szCs w:val="24"/>
        </w:rPr>
        <w:t xml:space="preserve"> направлено 287,6 млн</w:t>
      </w:r>
      <w:r>
        <w:rPr>
          <w:rFonts w:ascii="PT Astra Serif" w:hAnsi="PT Astra Serif"/>
          <w:sz w:val="24"/>
          <w:szCs w:val="24"/>
        </w:rPr>
        <w:t xml:space="preserve"> рублей на развитие уникальных научных установок класса «Мегасайенс» (ТПУ, ТГУ);</w:t>
      </w:r>
      <w:r>
        <w:rPr>
          <w:rFonts w:ascii="PT Astra Serif" w:hAnsi="PT Astra Serif"/>
          <w:sz w:val="24"/>
          <w:szCs w:val="24"/>
        </w:rPr>
      </w:r>
      <w:r>
        <w:rPr>
          <w:rFonts w:ascii="PT Astra Serif" w:hAnsi="PT Astra Serif"/>
          <w:sz w:val="24"/>
          <w:szCs w:val="24"/>
        </w:rPr>
      </w:r>
    </w:p>
    <w:p>
      <w:pPr>
        <w:numPr>
          <w:ilvl w:val="0"/>
          <w:numId w:val="26"/>
        </w:numPr>
        <w:contextualSpacing/>
        <w:ind w:left="0" w:firstLine="709"/>
        <w:jc w:val="both"/>
        <w:spacing w:after="0" w:line="240" w:lineRule="auto"/>
        <w:tabs>
          <w:tab w:val="left" w:pos="851" w:leader="none"/>
          <w:tab w:val="left" w:pos="993" w:leader="none"/>
        </w:tabs>
        <w:rPr>
          <w:rFonts w:ascii="PT Astra Serif" w:hAnsi="PT Astra Serif"/>
          <w:sz w:val="24"/>
          <w:szCs w:val="24"/>
        </w:rPr>
      </w:pPr>
      <w:r>
        <w:rPr>
          <w:rFonts w:ascii="PT Astra Serif" w:hAnsi="PT Astra Serif"/>
          <w:sz w:val="24"/>
          <w:szCs w:val="24"/>
        </w:rPr>
        <w:t xml:space="preserve"> 78,</w:t>
      </w:r>
      <w:r>
        <w:rPr>
          <w:rFonts w:ascii="PT Astra Serif" w:hAnsi="PT Astra Serif"/>
          <w:sz w:val="24"/>
          <w:szCs w:val="24"/>
        </w:rPr>
        <w:t xml:space="preserve">0</w:t>
      </w:r>
      <w:r>
        <w:rPr>
          <w:rFonts w:ascii="PT Astra Serif" w:hAnsi="PT Astra Serif"/>
          <w:sz w:val="24"/>
          <w:szCs w:val="24"/>
        </w:rPr>
        <w:t xml:space="preserve"> млн</w:t>
      </w:r>
      <w:r>
        <w:rPr>
          <w:rFonts w:ascii="PT Astra Serif" w:hAnsi="PT Astra Serif"/>
          <w:sz w:val="24"/>
          <w:szCs w:val="24"/>
        </w:rPr>
        <w:t xml:space="preserve"> </w:t>
      </w:r>
      <w:r>
        <w:rPr>
          <w:rFonts w:ascii="PT Astra Serif" w:hAnsi="PT Astra Serif"/>
          <w:sz w:val="24"/>
          <w:szCs w:val="24"/>
        </w:rPr>
        <w:t xml:space="preserve">рублей направлено на развитие 4</w:t>
      </w:r>
      <w:r>
        <w:rPr>
          <w:rFonts w:ascii="PT Astra Serif" w:hAnsi="PT Astra Serif"/>
          <w:sz w:val="24"/>
          <w:szCs w:val="24"/>
        </w:rPr>
        <w:t xml:space="preserve"> центров коллективного пользования в ТГУ, ТПУ и ИОА СО РАН.</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tabs>
          <w:tab w:val="left" w:pos="851" w:leader="none"/>
          <w:tab w:val="left" w:pos="993" w:leader="none"/>
        </w:tabs>
        <w:rPr>
          <w:rFonts w:ascii="PT Astra Serif" w:hAnsi="PT Astra Serif" w:eastAsia="Calibri"/>
          <w:i/>
          <w:sz w:val="24"/>
          <w:szCs w:val="24"/>
        </w:rPr>
      </w:pPr>
      <w:r>
        <w:rPr>
          <w:rFonts w:ascii="PT Astra Serif" w:hAnsi="PT Astra Serif" w:eastAsia="Calibri"/>
          <w:i/>
          <w:sz w:val="24"/>
          <w:szCs w:val="24"/>
        </w:rPr>
        <w:t xml:space="preserve">В рамках регионального проекта «Создание сети современных кампусов»:</w:t>
      </w:r>
      <w:r>
        <w:rPr>
          <w:rFonts w:ascii="PT Astra Serif" w:hAnsi="PT Astra Serif" w:eastAsia="Calibri"/>
          <w:i/>
          <w:sz w:val="24"/>
          <w:szCs w:val="24"/>
        </w:rPr>
      </w:r>
      <w:r>
        <w:rPr>
          <w:rFonts w:ascii="PT Astra Serif" w:hAnsi="PT Astra Serif" w:eastAsia="Calibri"/>
          <w:i/>
          <w:sz w:val="24"/>
          <w:szCs w:val="24"/>
        </w:rPr>
      </w:r>
    </w:p>
    <w:p>
      <w:pPr>
        <w:numPr>
          <w:ilvl w:val="0"/>
          <w:numId w:val="54"/>
        </w:numPr>
        <w:ind w:left="0" w:firstLine="709"/>
        <w:jc w:val="both"/>
        <w:spacing w:after="0" w:line="240" w:lineRule="auto"/>
        <w:tabs>
          <w:tab w:val="left" w:pos="709" w:leader="none"/>
          <w:tab w:val="left" w:pos="993" w:leader="none"/>
        </w:tabs>
        <w:rPr>
          <w:rFonts w:ascii="PT Astra Serif" w:hAnsi="PT Astra Serif" w:eastAsia="Calibri"/>
          <w:sz w:val="24"/>
          <w:szCs w:val="24"/>
        </w:rPr>
      </w:pPr>
      <w:r>
        <w:rPr>
          <w:rFonts w:ascii="PT Astra Serif" w:hAnsi="PT Astra Serif" w:eastAsia="Calibri"/>
          <w:sz w:val="24"/>
          <w:szCs w:val="24"/>
        </w:rPr>
        <w:t xml:space="preserve">25.09.2023 заключено концессионное соглашение о создании современного межвузовского кампуса в г. Томске;</w:t>
      </w:r>
      <w:r>
        <w:rPr>
          <w:rFonts w:ascii="PT Astra Serif" w:hAnsi="PT Astra Serif" w:eastAsia="Calibri"/>
          <w:sz w:val="24"/>
          <w:szCs w:val="24"/>
        </w:rPr>
      </w:r>
      <w:r>
        <w:rPr>
          <w:rFonts w:ascii="PT Astra Serif" w:hAnsi="PT Astra Serif" w:eastAsia="Calibri"/>
          <w:sz w:val="24"/>
          <w:szCs w:val="24"/>
        </w:rPr>
      </w:r>
    </w:p>
    <w:p>
      <w:pPr>
        <w:numPr>
          <w:ilvl w:val="0"/>
          <w:numId w:val="54"/>
        </w:numPr>
        <w:ind w:left="0" w:firstLine="709"/>
        <w:jc w:val="both"/>
        <w:spacing w:after="0" w:line="240" w:lineRule="auto"/>
        <w:tabs>
          <w:tab w:val="left" w:pos="709" w:leader="none"/>
          <w:tab w:val="left" w:pos="993" w:leader="none"/>
        </w:tabs>
        <w:rPr>
          <w:rFonts w:ascii="PT Astra Serif" w:hAnsi="PT Astra Serif" w:eastAsia="Calibri"/>
          <w:sz w:val="24"/>
          <w:szCs w:val="24"/>
        </w:rPr>
      </w:pPr>
      <w:r>
        <w:rPr>
          <w:rFonts w:ascii="PT Astra Serif" w:hAnsi="PT Astra Serif" w:eastAsia="Calibri"/>
          <w:sz w:val="24"/>
          <w:szCs w:val="24"/>
        </w:rPr>
        <w:t xml:space="preserve">с августа ведутся инженерные изыскания. Выполн</w:t>
      </w:r>
      <w:r>
        <w:rPr>
          <w:rFonts w:ascii="PT Astra Serif" w:hAnsi="PT Astra Serif" w:eastAsia="Calibri"/>
          <w:sz w:val="24"/>
          <w:szCs w:val="24"/>
        </w:rPr>
        <w:t xml:space="preserve">ены полевые работы по инженерно-геодезическим изысканиям, составлена цифровая модель рельефа, ведется камеральная обработка данных. Также приступили к лабораторным исследованиям ряда геологических проб в рамках проведения инженерно-геологических изысканий.</w:t>
      </w:r>
      <w:r>
        <w:rPr>
          <w:rFonts w:ascii="PT Astra Serif" w:hAnsi="PT Astra Serif" w:eastAsia="Calibri"/>
          <w:sz w:val="24"/>
          <w:szCs w:val="24"/>
        </w:rPr>
      </w:r>
      <w:r>
        <w:rPr>
          <w:rFonts w:ascii="PT Astra Serif" w:hAnsi="PT Astra Serif" w:eastAsia="Calibri"/>
          <w:sz w:val="24"/>
          <w:szCs w:val="24"/>
        </w:rPr>
      </w:r>
    </w:p>
    <w:p>
      <w:pPr>
        <w:numPr>
          <w:ilvl w:val="0"/>
          <w:numId w:val="54"/>
        </w:numPr>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25.12.2023 Концессионером заключен договор на проектно-изыскательские работы с проектной организацией ООО «Мегаполис».</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284" w:leader="none"/>
          <w:tab w:val="left" w:pos="426" w:leader="none"/>
          <w:tab w:val="left" w:pos="851" w:leader="none"/>
        </w:tabs>
        <w:rPr>
          <w:rFonts w:ascii="PT Astra Serif" w:hAnsi="PT Astra Serif" w:eastAsia="Calibri"/>
          <w:b/>
          <w:sz w:val="24"/>
          <w:szCs w:val="24"/>
        </w:rPr>
      </w:pPr>
      <w:r>
        <w:rPr>
          <w:rFonts w:ascii="PT Astra Serif" w:hAnsi="PT Astra Serif" w:eastAsia="Calibri"/>
          <w:b/>
          <w:sz w:val="24"/>
          <w:szCs w:val="24"/>
        </w:rPr>
        <w:t xml:space="preserve">Перспективные задачи на 2024 год:</w:t>
      </w:r>
      <w:r>
        <w:rPr>
          <w:rFonts w:ascii="PT Astra Serif" w:hAnsi="PT Astra Serif" w:eastAsia="Calibri"/>
          <w:b/>
          <w:sz w:val="24"/>
          <w:szCs w:val="24"/>
        </w:rPr>
      </w:r>
      <w:r>
        <w:rPr>
          <w:rFonts w:ascii="PT Astra Serif" w:hAnsi="PT Astra Serif" w:eastAsia="Calibri"/>
          <w:b/>
          <w:sz w:val="24"/>
          <w:szCs w:val="24"/>
        </w:rPr>
      </w:r>
    </w:p>
    <w:p>
      <w:pPr>
        <w:ind w:firstLine="709"/>
        <w:jc w:val="both"/>
        <w:spacing w:after="0" w:line="240" w:lineRule="auto"/>
        <w:tabs>
          <w:tab w:val="left" w:pos="284" w:leader="none"/>
          <w:tab w:val="left" w:pos="426" w:leader="none"/>
          <w:tab w:val="left" w:pos="851" w:leader="none"/>
        </w:tabs>
        <w:rPr>
          <w:rFonts w:ascii="PT Astra Serif" w:hAnsi="PT Astra Serif" w:eastAsia="Calibri"/>
          <w:i/>
          <w:sz w:val="24"/>
          <w:szCs w:val="24"/>
        </w:rPr>
      </w:pPr>
      <w:r>
        <w:rPr>
          <w:rFonts w:ascii="PT Astra Serif" w:hAnsi="PT Astra Serif" w:eastAsia="Calibri"/>
          <w:i/>
          <w:sz w:val="24"/>
          <w:szCs w:val="24"/>
        </w:rPr>
        <w:t xml:space="preserve">Региональный проект «Развитие научной и научно-производственной кооперации»:</w:t>
      </w:r>
      <w:r>
        <w:rPr>
          <w:rFonts w:ascii="PT Astra Serif" w:hAnsi="PT Astra Serif" w:eastAsia="Calibri"/>
          <w:i/>
          <w:sz w:val="24"/>
          <w:szCs w:val="24"/>
        </w:rPr>
      </w:r>
      <w:r>
        <w:rPr>
          <w:rFonts w:ascii="PT Astra Serif" w:hAnsi="PT Astra Serif" w:eastAsia="Calibri"/>
          <w:i/>
          <w:sz w:val="24"/>
          <w:szCs w:val="24"/>
        </w:rPr>
      </w:r>
    </w:p>
    <w:p>
      <w:pPr>
        <w:ind w:firstLine="709"/>
        <w:jc w:val="both"/>
        <w:spacing w:after="0" w:line="240" w:lineRule="auto"/>
        <w:tabs>
          <w:tab w:val="left" w:pos="284" w:leader="none"/>
          <w:tab w:val="left" w:pos="426" w:leader="none"/>
          <w:tab w:val="left" w:pos="851" w:leader="none"/>
        </w:tabs>
        <w:rPr>
          <w:rFonts w:ascii="PT Astra Serif" w:hAnsi="PT Astra Serif" w:eastAsia="Calibri"/>
          <w:i/>
          <w:sz w:val="24"/>
          <w:szCs w:val="24"/>
        </w:rPr>
      </w:pPr>
      <w:r>
        <w:rPr>
          <w:rFonts w:ascii="PT Astra Serif" w:hAnsi="PT Astra Serif" w:eastAsia="Calibri"/>
          <w:sz w:val="24"/>
          <w:szCs w:val="24"/>
        </w:rPr>
        <w:t xml:space="preserve">1.</w:t>
      </w:r>
      <w:r>
        <w:rPr>
          <w:rFonts w:ascii="PT Astra Serif" w:hAnsi="PT Astra Serif" w:eastAsia="Calibri"/>
          <w:i/>
          <w:sz w:val="24"/>
          <w:szCs w:val="24"/>
        </w:rPr>
        <w:tab/>
      </w:r>
      <w:r>
        <w:rPr>
          <w:rFonts w:ascii="PT Astra Serif" w:hAnsi="PT Astra Serif" w:eastAsia="Calibri"/>
          <w:sz w:val="24"/>
          <w:szCs w:val="24"/>
        </w:rPr>
        <w:t xml:space="preserve">Выполнение программ развития 5 томских университетов в рамках </w:t>
      </w:r>
      <w:r>
        <w:rPr>
          <w:rFonts w:ascii="PT Astra Serif" w:hAnsi="PT Astra Serif" w:eastAsia="Calibri"/>
          <w:sz w:val="24"/>
          <w:szCs w:val="24"/>
        </w:rPr>
        <w:t xml:space="preserve">реализации программы «Приоритет-</w:t>
      </w:r>
      <w:r>
        <w:rPr>
          <w:rFonts w:ascii="PT Astra Serif" w:hAnsi="PT Astra Serif" w:eastAsia="Calibri"/>
          <w:sz w:val="24"/>
          <w:szCs w:val="24"/>
        </w:rPr>
        <w:t xml:space="preserve">2030».</w:t>
      </w:r>
      <w:r>
        <w:rPr>
          <w:rFonts w:ascii="PT Astra Serif" w:hAnsi="PT Astra Serif" w:eastAsia="Calibri"/>
          <w:i/>
          <w:sz w:val="24"/>
          <w:szCs w:val="24"/>
        </w:rPr>
      </w:r>
      <w:r>
        <w:rPr>
          <w:rFonts w:ascii="PT Astra Serif" w:hAnsi="PT Astra Serif" w:eastAsia="Calibri"/>
          <w:i/>
          <w:sz w:val="24"/>
          <w:szCs w:val="24"/>
        </w:rPr>
      </w:r>
    </w:p>
    <w:p>
      <w:pPr>
        <w:ind w:firstLine="709"/>
        <w:jc w:val="both"/>
        <w:spacing w:after="0" w:line="240" w:lineRule="auto"/>
        <w:tabs>
          <w:tab w:val="left" w:pos="284" w:leader="none"/>
          <w:tab w:val="left" w:pos="426" w:leader="none"/>
        </w:tabs>
        <w:rPr>
          <w:rFonts w:ascii="PT Astra Serif" w:hAnsi="PT Astra Serif" w:eastAsia="Calibri"/>
          <w:i/>
          <w:sz w:val="24"/>
          <w:szCs w:val="24"/>
        </w:rPr>
      </w:pPr>
      <w:r>
        <w:rPr>
          <w:rFonts w:ascii="PT Astra Serif" w:hAnsi="PT Astra Serif" w:eastAsia="Calibri"/>
          <w:i/>
          <w:sz w:val="24"/>
          <w:szCs w:val="24"/>
        </w:rPr>
        <w:t xml:space="preserve">Региональный проект «Развитие кадрового потенциала в сфере исследований</w:t>
      </w:r>
      <w:r>
        <w:rPr>
          <w:rFonts w:ascii="PT Astra Serif" w:hAnsi="PT Astra Serif" w:eastAsia="Calibri"/>
          <w:i/>
          <w:sz w:val="24"/>
          <w:szCs w:val="24"/>
        </w:rPr>
        <w:br/>
        <w:t xml:space="preserve">и разработок»:</w:t>
      </w:r>
      <w:r>
        <w:rPr>
          <w:rFonts w:ascii="PT Astra Serif" w:hAnsi="PT Astra Serif" w:eastAsia="Calibri"/>
          <w:i/>
          <w:sz w:val="24"/>
          <w:szCs w:val="24"/>
        </w:rPr>
      </w:r>
      <w:r>
        <w:rPr>
          <w:rFonts w:ascii="PT Astra Serif" w:hAnsi="PT Astra Serif" w:eastAsia="Calibri"/>
          <w:i/>
          <w:sz w:val="24"/>
          <w:szCs w:val="24"/>
        </w:rPr>
      </w:r>
    </w:p>
    <w:p>
      <w:pPr>
        <w:numPr>
          <w:ilvl w:val="3"/>
          <w:numId w:val="27"/>
        </w:numPr>
        <w:contextualSpacing/>
        <w:ind w:left="0" w:firstLine="709"/>
        <w:jc w:val="both"/>
        <w:spacing w:after="0" w:line="240" w:lineRule="auto"/>
        <w:tabs>
          <w:tab w:val="left" w:pos="284" w:leader="none"/>
          <w:tab w:val="left" w:pos="426" w:leader="none"/>
          <w:tab w:val="left" w:pos="851" w:leader="none"/>
        </w:tabs>
        <w:rPr>
          <w:rFonts w:ascii="PT Astra Serif" w:hAnsi="PT Astra Serif" w:eastAsia="Calibri"/>
          <w:sz w:val="24"/>
          <w:szCs w:val="24"/>
        </w:rPr>
      </w:pPr>
      <w:r>
        <w:rPr>
          <w:rFonts w:ascii="PT Astra Serif" w:hAnsi="PT Astra Serif" w:eastAsia="Calibri"/>
          <w:sz w:val="24"/>
          <w:szCs w:val="24"/>
        </w:rPr>
        <w:t xml:space="preserve">Участие организаций-исполнителей в конкурсных процедурах Министерства науки и высшего образования Российской Федерации на создание лабораторий под руководством молодых ученых и ведущих ученых с мировым именем.</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284" w:leader="none"/>
          <w:tab w:val="left" w:pos="426" w:leader="none"/>
          <w:tab w:val="left" w:pos="851" w:leader="none"/>
        </w:tabs>
        <w:rPr>
          <w:rFonts w:ascii="PT Astra Serif" w:hAnsi="PT Astra Serif" w:eastAsia="Calibri"/>
          <w:sz w:val="24"/>
          <w:szCs w:val="24"/>
        </w:rPr>
      </w:pPr>
      <w:r>
        <w:rPr>
          <w:rFonts w:ascii="PT Astra Serif" w:hAnsi="PT Astra Serif" w:eastAsia="Calibri"/>
          <w:i/>
          <w:sz w:val="24"/>
          <w:szCs w:val="24"/>
        </w:rPr>
        <w:t xml:space="preserve">Региональный проект «Развитие передовой инфраструктуры для проведения исследований и разработок в Российской Федерации»</w:t>
      </w:r>
      <w:r>
        <w:rPr>
          <w:rFonts w:ascii="PT Astra Serif" w:hAnsi="PT Astra Serif" w:eastAsia="Calibri"/>
          <w:sz w:val="24"/>
          <w:szCs w:val="24"/>
        </w:rPr>
        <w:t xml:space="preserve">:</w:t>
      </w:r>
      <w:r>
        <w:rPr>
          <w:rFonts w:ascii="PT Astra Serif" w:hAnsi="PT Astra Serif" w:eastAsia="Calibri"/>
          <w:sz w:val="24"/>
          <w:szCs w:val="24"/>
        </w:rPr>
      </w:r>
      <w:r>
        <w:rPr>
          <w:rFonts w:ascii="PT Astra Serif" w:hAnsi="PT Astra Serif" w:eastAsia="Calibri"/>
          <w:sz w:val="24"/>
          <w:szCs w:val="24"/>
        </w:rPr>
      </w:r>
    </w:p>
    <w:p>
      <w:pPr>
        <w:numPr>
          <w:ilvl w:val="0"/>
          <w:numId w:val="25"/>
        </w:numPr>
        <w:contextualSpacing/>
        <w:ind w:left="0" w:firstLine="709"/>
        <w:jc w:val="both"/>
        <w:spacing w:after="0" w:line="240" w:lineRule="auto"/>
        <w:tabs>
          <w:tab w:val="left" w:pos="284" w:leader="none"/>
          <w:tab w:val="left" w:pos="426" w:leader="none"/>
          <w:tab w:val="left" w:pos="851" w:leader="none"/>
          <w:tab w:val="left" w:pos="993" w:leader="none"/>
        </w:tabs>
        <w:rPr>
          <w:rFonts w:ascii="PT Astra Serif" w:hAnsi="PT Astra Serif" w:eastAsia="Calibri"/>
          <w:sz w:val="24"/>
          <w:szCs w:val="24"/>
        </w:rPr>
      </w:pPr>
      <w:r>
        <w:rPr>
          <w:rFonts w:ascii="PT Astra Serif" w:hAnsi="PT Astra Serif"/>
          <w:sz w:val="24"/>
          <w:szCs w:val="24"/>
        </w:rPr>
        <w:t xml:space="preserve">Участие организаций-исполнителей в конкурсных процедурах Министерства науки и высшего образования Российской Федерации на обновление приборной базы, создание и развитие объектов научной инфраструктуры.</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i/>
          <w:sz w:val="24"/>
          <w:szCs w:val="24"/>
        </w:rPr>
      </w:pPr>
      <w:r>
        <w:rPr>
          <w:rFonts w:ascii="PT Astra Serif" w:hAnsi="PT Astra Serif" w:eastAsia="Calibri"/>
          <w:i/>
          <w:sz w:val="24"/>
          <w:szCs w:val="24"/>
        </w:rPr>
        <w:t xml:space="preserve">Региональный проект «Создание сети современных кампусов»:</w:t>
      </w:r>
      <w:r>
        <w:rPr>
          <w:rFonts w:ascii="PT Astra Serif" w:hAnsi="PT Astra Serif" w:eastAsia="Calibri"/>
          <w:i/>
          <w:sz w:val="24"/>
          <w:szCs w:val="24"/>
        </w:rPr>
      </w:r>
      <w:r>
        <w:rPr>
          <w:rFonts w:ascii="PT Astra Serif" w:hAnsi="PT Astra Serif" w:eastAsia="Calibri"/>
          <w:i/>
          <w:sz w:val="24"/>
          <w:szCs w:val="24"/>
        </w:rPr>
      </w:r>
    </w:p>
    <w:p>
      <w:pPr>
        <w:pStyle w:val="1152"/>
        <w:numPr>
          <w:ilvl w:val="3"/>
          <w:numId w:val="25"/>
        </w:numPr>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Завершение инженерных изысканий для архитектурно-строительного проектирования при подготовке проектной документации.</w:t>
      </w:r>
      <w:r>
        <w:rPr>
          <w:rFonts w:ascii="PT Astra Serif" w:hAnsi="PT Astra Serif"/>
          <w:sz w:val="24"/>
          <w:szCs w:val="24"/>
        </w:rPr>
      </w:r>
      <w:r>
        <w:rPr>
          <w:rFonts w:ascii="PT Astra Serif" w:hAnsi="PT Astra Serif"/>
          <w:sz w:val="24"/>
          <w:szCs w:val="24"/>
        </w:rPr>
      </w:r>
    </w:p>
    <w:p>
      <w:pPr>
        <w:pStyle w:val="1152"/>
        <w:numPr>
          <w:ilvl w:val="0"/>
          <w:numId w:val="25"/>
        </w:numPr>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Завершение проектных работ по первому этапу строительства 5 жилых блоков.</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spacing w:after="0" w:line="240" w:lineRule="auto"/>
        <w:tabs>
          <w:tab w:val="left" w:pos="851" w:leader="none"/>
        </w:tabs>
        <w:rPr>
          <w:rFonts w:ascii="PT Astra Serif" w:hAnsi="PT Astra Serif" w:eastAsia="Calibri"/>
          <w:b/>
          <w:sz w:val="24"/>
          <w:szCs w:val="24"/>
        </w:rPr>
      </w:pPr>
      <w:r>
        <w:rPr>
          <w:rFonts w:ascii="PT Astra Serif" w:hAnsi="PT Astra Serif" w:eastAsia="Calibri"/>
          <w:b/>
          <w:sz w:val="24"/>
          <w:szCs w:val="24"/>
        </w:rPr>
        <w:t xml:space="preserve">Национальный проект «Цифровая экономика»</w:t>
      </w:r>
      <w:r>
        <w:rPr>
          <w:rFonts w:ascii="PT Astra Serif" w:hAnsi="PT Astra Serif" w:eastAsia="Calibri"/>
          <w:b/>
          <w:sz w:val="24"/>
          <w:szCs w:val="24"/>
        </w:rPr>
      </w:r>
      <w:r>
        <w:rPr>
          <w:rFonts w:ascii="PT Astra Serif" w:hAnsi="PT Astra Serif" w:eastAsia="Calibri"/>
          <w:b/>
          <w:sz w:val="24"/>
          <w:szCs w:val="24"/>
        </w:rPr>
      </w:r>
    </w:p>
    <w:p>
      <w:pPr>
        <w:ind w:firstLine="709"/>
        <w:jc w:val="both"/>
        <w:spacing w:after="0" w:line="240" w:lineRule="auto"/>
        <w:tabs>
          <w:tab w:val="left" w:pos="851" w:leader="none"/>
        </w:tabs>
        <w:rPr>
          <w:rFonts w:ascii="PT Astra Serif" w:hAnsi="PT Astra Serif" w:eastAsia="Calibri"/>
          <w:sz w:val="24"/>
          <w:szCs w:val="24"/>
        </w:rPr>
      </w:pPr>
      <w:r>
        <w:rPr>
          <w:rFonts w:ascii="PT Astra Serif" w:hAnsi="PT Astra Serif"/>
          <w:sz w:val="24"/>
          <w:szCs w:val="24"/>
        </w:rPr>
        <w:t xml:space="preserve">На достижение целей национального проекта в Томской области в 2023 году были направлены</w:t>
      </w:r>
      <w:r>
        <w:rPr>
          <w:rFonts w:ascii="PT Astra Serif" w:hAnsi="PT Astra Serif" w:eastAsia="Calibri"/>
          <w:sz w:val="24"/>
          <w:szCs w:val="24"/>
        </w:rPr>
        <w:t xml:space="preserve"> 5 региональных проектов. Фактический объем финан</w:t>
      </w:r>
      <w:r>
        <w:rPr>
          <w:rFonts w:ascii="PT Astra Serif" w:hAnsi="PT Astra Serif" w:eastAsia="Calibri"/>
          <w:sz w:val="24"/>
          <w:szCs w:val="24"/>
        </w:rPr>
        <w:t xml:space="preserve">сирования составил      1,9 млн</w:t>
      </w:r>
      <w:r>
        <w:rPr>
          <w:rFonts w:ascii="PT Astra Serif" w:hAnsi="PT Astra Serif" w:eastAsia="Calibri"/>
          <w:sz w:val="24"/>
          <w:szCs w:val="24"/>
        </w:rPr>
        <w:t xml:space="preserve"> рублей.</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851" w:leader="none"/>
        </w:tabs>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993" w:leader="none"/>
        </w:tabs>
        <w:rPr>
          <w:rFonts w:ascii="PT Astra Serif" w:hAnsi="PT Astra Serif" w:eastAsia="Calibri"/>
          <w:b/>
          <w:sz w:val="24"/>
          <w:szCs w:val="24"/>
        </w:rPr>
      </w:pPr>
      <w:r>
        <w:rPr>
          <w:rFonts w:ascii="PT Astra Serif" w:hAnsi="PT Astra Serif" w:eastAsia="Calibri"/>
          <w:b/>
          <w:sz w:val="24"/>
          <w:szCs w:val="24"/>
        </w:rPr>
        <w:t xml:space="preserve">Итоги 2023 года:</w:t>
      </w:r>
      <w:r>
        <w:rPr>
          <w:rFonts w:ascii="PT Astra Serif" w:hAnsi="PT Astra Serif" w:eastAsia="Calibri"/>
          <w:b/>
          <w:sz w:val="24"/>
          <w:szCs w:val="24"/>
        </w:rPr>
      </w:r>
      <w:r>
        <w:rPr>
          <w:rFonts w:ascii="PT Astra Serif" w:hAnsi="PT Astra Serif" w:eastAsia="Calibri"/>
          <w:b/>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sz w:val="24"/>
          <w:szCs w:val="24"/>
        </w:rPr>
        <w:t xml:space="preserve">В рамках</w:t>
      </w:r>
      <w:r>
        <w:rPr>
          <w:rFonts w:ascii="PT Astra Serif" w:hAnsi="PT Astra Serif"/>
          <w:i/>
          <w:sz w:val="24"/>
          <w:szCs w:val="24"/>
        </w:rPr>
        <w:t xml:space="preserve"> регионального проекта «Цифровое государственное управление»:</w:t>
      </w:r>
      <w:r>
        <w:rPr>
          <w:rFonts w:ascii="PT Astra Serif" w:hAnsi="PT Astra Serif"/>
          <w:i/>
          <w:sz w:val="24"/>
          <w:szCs w:val="24"/>
        </w:rPr>
      </w:r>
      <w:r>
        <w:rPr>
          <w:rFonts w:ascii="PT Astra Serif" w:hAnsi="PT Astra Serif"/>
          <w:i/>
          <w:sz w:val="24"/>
          <w:szCs w:val="24"/>
        </w:rPr>
      </w:r>
    </w:p>
    <w:p>
      <w:pPr>
        <w:numPr>
          <w:ilvl w:val="0"/>
          <w:numId w:val="26"/>
        </w:numPr>
        <w:contextualSpacing/>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приобретены услуги технической поддержки и лицензии на обновление  отечественных  операционных  систем  в количестве 161 шт. на период 36 месяцев со дня заключения государственного контракта;</w:t>
      </w:r>
      <w:r>
        <w:rPr>
          <w:rFonts w:ascii="PT Astra Serif" w:hAnsi="PT Astra Serif"/>
          <w:sz w:val="24"/>
          <w:szCs w:val="24"/>
        </w:rPr>
      </w:r>
      <w:r>
        <w:rPr>
          <w:rFonts w:ascii="PT Astra Serif" w:hAnsi="PT Astra Serif"/>
          <w:sz w:val="24"/>
          <w:szCs w:val="24"/>
        </w:rPr>
      </w:r>
    </w:p>
    <w:p>
      <w:pPr>
        <w:numPr>
          <w:ilvl w:val="0"/>
          <w:numId w:val="26"/>
        </w:numPr>
        <w:contextualSpacing/>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во всех</w:t>
      </w:r>
      <w:r>
        <w:rPr>
          <w:rFonts w:ascii="PT Astra Serif" w:hAnsi="PT Astra Serif" w:eastAsia="Calibri"/>
          <w:sz w:val="24"/>
          <w:szCs w:val="24"/>
        </w:rPr>
        <w:t xml:space="preserve"> </w:t>
      </w:r>
      <w:r>
        <w:rPr>
          <w:rFonts w:ascii="PT Astra Serif" w:hAnsi="PT Astra Serif"/>
          <w:sz w:val="24"/>
          <w:szCs w:val="24"/>
        </w:rPr>
        <w:t xml:space="preserve">исполнительных органах Томской области и органах местного самоуправления Томской области обеспечено использование «Платформы обратной</w:t>
      </w:r>
      <w:r>
        <w:rPr>
          <w:rFonts w:ascii="PT Astra Serif" w:hAnsi="PT Astra Serif" w:eastAsia="Calibri"/>
          <w:sz w:val="24"/>
          <w:szCs w:val="24"/>
        </w:rPr>
        <w:t xml:space="preserve"> </w:t>
      </w:r>
      <w:r>
        <w:rPr>
          <w:rFonts w:ascii="PT Astra Serif" w:hAnsi="PT Astra Serif"/>
          <w:sz w:val="24"/>
          <w:szCs w:val="24"/>
        </w:rPr>
        <w:t xml:space="preserve">связи» (ПОС), к ПОС подключено 1170 Органов и организаций;</w:t>
      </w:r>
      <w:r>
        <w:rPr>
          <w:rFonts w:ascii="PT Astra Serif" w:hAnsi="PT Astra Serif"/>
          <w:sz w:val="24"/>
          <w:szCs w:val="24"/>
        </w:rPr>
      </w:r>
      <w:r>
        <w:rPr>
          <w:rFonts w:ascii="PT Astra Serif" w:hAnsi="PT Astra Serif"/>
          <w:sz w:val="24"/>
          <w:szCs w:val="24"/>
        </w:rPr>
      </w:r>
    </w:p>
    <w:p>
      <w:pPr>
        <w:numPr>
          <w:ilvl w:val="0"/>
          <w:numId w:val="26"/>
        </w:numPr>
        <w:contextualSpacing/>
        <w:ind w:left="0" w:firstLine="709"/>
        <w:jc w:val="both"/>
        <w:spacing w:after="0" w:line="240" w:lineRule="auto"/>
        <w:tabs>
          <w:tab w:val="left" w:pos="0" w:leader="none"/>
          <w:tab w:val="left" w:pos="993" w:leader="none"/>
        </w:tabs>
        <w:rPr>
          <w:rFonts w:ascii="PT Astra Serif" w:hAnsi="PT Astra Serif"/>
          <w:sz w:val="24"/>
          <w:szCs w:val="24"/>
        </w:rPr>
      </w:pPr>
      <w:r>
        <w:rPr>
          <w:rFonts w:ascii="PT Astra Serif" w:hAnsi="PT Astra Serif"/>
          <w:sz w:val="24"/>
          <w:szCs w:val="24"/>
        </w:rPr>
        <w:t xml:space="preserve">реализовано 90 массовых социально значимых услуг на</w:t>
      </w:r>
      <w:r>
        <w:rPr>
          <w:rFonts w:ascii="PT Astra Serif" w:hAnsi="PT Astra Serif" w:eastAsia="Calibri"/>
          <w:sz w:val="24"/>
          <w:szCs w:val="24"/>
        </w:rPr>
        <w:t xml:space="preserve"> </w:t>
      </w:r>
      <w:r>
        <w:rPr>
          <w:rFonts w:ascii="PT Astra Serif" w:hAnsi="PT Astra Serif"/>
          <w:sz w:val="24"/>
          <w:szCs w:val="24"/>
        </w:rPr>
        <w:t xml:space="preserve">базе  единой  платформы</w:t>
      </w:r>
      <w:r>
        <w:rPr>
          <w:rFonts w:ascii="PT Astra Serif" w:hAnsi="PT Astra Serif" w:eastAsia="Calibri"/>
          <w:sz w:val="24"/>
          <w:szCs w:val="24"/>
        </w:rPr>
        <w:t xml:space="preserve"> </w:t>
      </w:r>
      <w:r>
        <w:rPr>
          <w:rFonts w:ascii="PT Astra Serif" w:hAnsi="PT Astra Serif"/>
          <w:sz w:val="24"/>
          <w:szCs w:val="24"/>
        </w:rPr>
        <w:t xml:space="preserve">сервисов обеспечения </w:t>
      </w:r>
      <w:r>
        <w:rPr>
          <w:rFonts w:ascii="PT Astra Serif" w:hAnsi="PT Astra Serif" w:eastAsia="Calibri"/>
          <w:sz w:val="24"/>
          <w:szCs w:val="24"/>
        </w:rPr>
        <w:t xml:space="preserve">функций органов  государственной власти и органов местного самоуправления.</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sz w:val="24"/>
          <w:szCs w:val="24"/>
        </w:rPr>
        <w:t xml:space="preserve">В рамках</w:t>
      </w:r>
      <w:r>
        <w:rPr>
          <w:rFonts w:ascii="PT Astra Serif" w:hAnsi="PT Astra Serif"/>
          <w:i/>
          <w:sz w:val="24"/>
          <w:szCs w:val="24"/>
        </w:rPr>
        <w:t xml:space="preserve"> регионального проекта «Информационная безопасность»:</w:t>
      </w:r>
      <w:r>
        <w:rPr>
          <w:rFonts w:ascii="PT Astra Serif" w:hAnsi="PT Astra Serif"/>
          <w:i/>
          <w:sz w:val="24"/>
          <w:szCs w:val="24"/>
        </w:rPr>
      </w:r>
      <w:r>
        <w:rPr>
          <w:rFonts w:ascii="PT Astra Serif" w:hAnsi="PT Astra Serif"/>
          <w:i/>
          <w:sz w:val="24"/>
          <w:szCs w:val="24"/>
        </w:rPr>
      </w:r>
    </w:p>
    <w:p>
      <w:pPr>
        <w:numPr>
          <w:ilvl w:val="0"/>
          <w:numId w:val="26"/>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организован </w:t>
      </w:r>
      <w:r>
        <w:rPr>
          <w:rFonts w:ascii="PT Astra Serif" w:hAnsi="PT Astra Serif" w:eastAsia="Calibri"/>
          <w:sz w:val="24"/>
          <w:szCs w:val="24"/>
        </w:rPr>
        <w:t xml:space="preserve">переход Администраци</w:t>
      </w:r>
      <w:r>
        <w:rPr>
          <w:rFonts w:ascii="PT Astra Serif" w:hAnsi="PT Astra Serif" w:eastAsia="Calibri"/>
          <w:sz w:val="24"/>
          <w:szCs w:val="24"/>
        </w:rPr>
        <w:t xml:space="preserve">и Томской области на использование преимущественно отечественного программного обеспечения для организации процесса передачи, обработки и хранения данных, оказание содействия  органам местного самоуправления и подведомственным организациям Томской области;</w:t>
      </w:r>
      <w:r>
        <w:rPr>
          <w:rFonts w:ascii="PT Astra Serif" w:hAnsi="PT Astra Serif" w:eastAsia="Calibri"/>
          <w:sz w:val="24"/>
          <w:szCs w:val="24"/>
        </w:rPr>
      </w:r>
      <w:r>
        <w:rPr>
          <w:rFonts w:ascii="PT Astra Serif" w:hAnsi="PT Astra Serif" w:eastAsia="Calibri"/>
          <w:sz w:val="24"/>
          <w:szCs w:val="24"/>
        </w:rPr>
      </w:r>
    </w:p>
    <w:p>
      <w:pPr>
        <w:numPr>
          <w:ilvl w:val="0"/>
          <w:numId w:val="26"/>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обеспечен безвозмездный доступ граждан РФ к использованию российских средств шифрования для электронного взаимодействия с органами государственной власти и местного самоуправления. Получен сертификат безопасности Национального удостоверяющего центра.</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sz w:val="24"/>
          <w:szCs w:val="24"/>
        </w:rPr>
        <w:t xml:space="preserve">В рамках</w:t>
      </w:r>
      <w:r>
        <w:rPr>
          <w:rFonts w:ascii="PT Astra Serif" w:hAnsi="PT Astra Serif"/>
          <w:i/>
          <w:sz w:val="24"/>
          <w:szCs w:val="24"/>
        </w:rPr>
        <w:t xml:space="preserve"> регионального проекта «Цифровые технологии»:</w:t>
      </w:r>
      <w:r>
        <w:rPr>
          <w:rFonts w:ascii="PT Astra Serif" w:hAnsi="PT Astra Serif"/>
          <w:i/>
          <w:sz w:val="24"/>
          <w:szCs w:val="24"/>
        </w:rPr>
      </w:r>
      <w:r>
        <w:rPr>
          <w:rFonts w:ascii="PT Astra Serif" w:hAnsi="PT Astra Serif"/>
          <w:i/>
          <w:sz w:val="24"/>
          <w:szCs w:val="24"/>
        </w:rPr>
      </w:r>
    </w:p>
    <w:p>
      <w:pPr>
        <w:numPr>
          <w:ilvl w:val="0"/>
          <w:numId w:val="26"/>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проведено информирование компаний, обладающих технологическими решениями высокой степени готовности, о грантовых конкурсах;</w:t>
      </w:r>
      <w:r>
        <w:rPr>
          <w:rFonts w:ascii="PT Astra Serif" w:hAnsi="PT Astra Serif" w:eastAsia="Calibri"/>
          <w:sz w:val="24"/>
          <w:szCs w:val="24"/>
        </w:rPr>
      </w:r>
      <w:r>
        <w:rPr>
          <w:rFonts w:ascii="PT Astra Serif" w:hAnsi="PT Astra Serif" w:eastAsia="Calibri"/>
          <w:sz w:val="24"/>
          <w:szCs w:val="24"/>
        </w:rPr>
      </w:r>
    </w:p>
    <w:p>
      <w:pPr>
        <w:numPr>
          <w:ilvl w:val="0"/>
          <w:numId w:val="26"/>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проведено информирование о программе льготного кредитования российских организаций, разрабатывающих и внедряющих цифровые технологии, продукты, сервисы и платформенные решения;</w:t>
      </w:r>
      <w:r>
        <w:rPr>
          <w:rFonts w:ascii="PT Astra Serif" w:hAnsi="PT Astra Serif" w:eastAsia="Calibri"/>
          <w:sz w:val="24"/>
          <w:szCs w:val="24"/>
        </w:rPr>
      </w:r>
      <w:r>
        <w:rPr>
          <w:rFonts w:ascii="PT Astra Serif" w:hAnsi="PT Astra Serif" w:eastAsia="Calibri"/>
          <w:sz w:val="24"/>
          <w:szCs w:val="24"/>
        </w:rPr>
      </w:r>
    </w:p>
    <w:p>
      <w:pPr>
        <w:numPr>
          <w:ilvl w:val="0"/>
          <w:numId w:val="26"/>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проведены мероприятия по информированию заинтересованных компаний, расположенных на территории Томской области, разрабатывающих продукты, сервисы и платформенные решения на базе СЦТ, о федеральных мерах поддержки;</w:t>
      </w:r>
      <w:r>
        <w:rPr>
          <w:rFonts w:ascii="PT Astra Serif" w:hAnsi="PT Astra Serif" w:eastAsia="Calibri"/>
          <w:sz w:val="24"/>
          <w:szCs w:val="24"/>
        </w:rPr>
      </w:r>
      <w:r>
        <w:rPr>
          <w:rFonts w:ascii="PT Astra Serif" w:hAnsi="PT Astra Serif" w:eastAsia="Calibri"/>
          <w:sz w:val="24"/>
          <w:szCs w:val="24"/>
        </w:rPr>
      </w:r>
    </w:p>
    <w:p>
      <w:pPr>
        <w:numPr>
          <w:ilvl w:val="0"/>
          <w:numId w:val="26"/>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 налажено взаимодействие с IT-компаниями, проведены консультации по получению мер господдержки.</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924" w:leader="none"/>
          <w:tab w:val="left" w:pos="993" w:leader="none"/>
        </w:tabs>
        <w:rPr>
          <w:rFonts w:ascii="PT Astra Serif" w:hAnsi="PT Astra Serif"/>
          <w:i/>
          <w:sz w:val="24"/>
          <w:szCs w:val="24"/>
        </w:rPr>
      </w:pPr>
      <w:r>
        <w:rPr>
          <w:rFonts w:ascii="PT Astra Serif" w:hAnsi="PT Astra Serif"/>
          <w:i/>
          <w:sz w:val="24"/>
          <w:szCs w:val="24"/>
        </w:rPr>
        <w:t xml:space="preserve"> </w:t>
      </w:r>
      <w:r>
        <w:rPr>
          <w:rFonts w:ascii="PT Astra Serif" w:hAnsi="PT Astra Serif"/>
          <w:sz w:val="24"/>
          <w:szCs w:val="24"/>
        </w:rPr>
        <w:t xml:space="preserve">В рамках</w:t>
      </w:r>
      <w:r>
        <w:rPr>
          <w:rFonts w:ascii="PT Astra Serif" w:hAnsi="PT Astra Serif"/>
          <w:i/>
          <w:sz w:val="24"/>
          <w:szCs w:val="24"/>
        </w:rPr>
        <w:t xml:space="preserve"> регионального проекта «Кадры для цифровой экономики»</w:t>
      </w:r>
      <w:r>
        <w:rPr>
          <w:rFonts w:ascii="PT Astra Serif" w:hAnsi="PT Astra Serif"/>
          <w:i/>
          <w:sz w:val="24"/>
          <w:szCs w:val="24"/>
        </w:rPr>
        <w:t xml:space="preserve">:</w:t>
      </w:r>
      <w:r>
        <w:rPr>
          <w:rFonts w:ascii="PT Astra Serif" w:hAnsi="PT Astra Serif"/>
          <w:i/>
          <w:sz w:val="24"/>
          <w:szCs w:val="24"/>
        </w:rPr>
      </w:r>
      <w:r>
        <w:rPr>
          <w:rFonts w:ascii="PT Astra Serif" w:hAnsi="PT Astra Serif"/>
          <w:i/>
          <w:sz w:val="24"/>
          <w:szCs w:val="24"/>
        </w:rPr>
      </w:r>
    </w:p>
    <w:p>
      <w:pPr>
        <w:numPr>
          <w:ilvl w:val="0"/>
          <w:numId w:val="26"/>
        </w:numPr>
        <w:contextualSpacing/>
        <w:ind w:left="0" w:firstLine="709"/>
        <w:jc w:val="both"/>
        <w:spacing w:after="0" w:line="240" w:lineRule="auto"/>
        <w:tabs>
          <w:tab w:val="left" w:pos="924" w:leader="none"/>
          <w:tab w:val="left" w:pos="993" w:leader="none"/>
        </w:tabs>
        <w:rPr>
          <w:rFonts w:ascii="PT Astra Serif" w:hAnsi="PT Astra Serif" w:eastAsia="Calibri"/>
          <w:sz w:val="24"/>
          <w:szCs w:val="24"/>
        </w:rPr>
      </w:pPr>
      <w:r>
        <w:rPr>
          <w:rFonts w:ascii="PT Astra Serif" w:hAnsi="PT Astra Serif" w:eastAsia="Calibri"/>
          <w:sz w:val="24"/>
          <w:szCs w:val="24"/>
        </w:rPr>
        <w:t xml:space="preserve">прошли обучение по программе «Ключевые компетенции цифровой экономики» и получили электронный сертификат 3 262 выпускника профессиональных образовательных организаций (план – 3</w:t>
      </w:r>
      <w:r>
        <w:rPr>
          <w:rFonts w:ascii="PT Astra Serif" w:hAnsi="PT Astra Serif" w:eastAsia="Calibri"/>
          <w:sz w:val="24"/>
          <w:szCs w:val="24"/>
        </w:rPr>
        <w:t xml:space="preserve"> 175 человек</w:t>
      </w:r>
      <w:r>
        <w:rPr>
          <w:rFonts w:ascii="PT Astra Serif" w:hAnsi="PT Astra Serif" w:eastAsia="Calibri"/>
          <w:sz w:val="24"/>
          <w:szCs w:val="24"/>
        </w:rPr>
        <w:t xml:space="preserve">);</w:t>
      </w:r>
      <w:r>
        <w:rPr>
          <w:rFonts w:ascii="PT Astra Serif" w:hAnsi="PT Astra Serif" w:eastAsia="Calibri"/>
          <w:sz w:val="24"/>
          <w:szCs w:val="24"/>
        </w:rPr>
      </w:r>
      <w:r>
        <w:rPr>
          <w:rFonts w:ascii="PT Astra Serif" w:hAnsi="PT Astra Serif" w:eastAsia="Calibri"/>
          <w:sz w:val="24"/>
          <w:szCs w:val="24"/>
        </w:rPr>
      </w:r>
    </w:p>
    <w:p>
      <w:pPr>
        <w:numPr>
          <w:ilvl w:val="0"/>
          <w:numId w:val="26"/>
        </w:numPr>
        <w:contextualSpacing/>
        <w:ind w:left="0" w:firstLine="709"/>
        <w:jc w:val="both"/>
        <w:spacing w:after="0" w:line="240" w:lineRule="auto"/>
        <w:tabs>
          <w:tab w:val="left" w:pos="924" w:leader="none"/>
          <w:tab w:val="left" w:pos="993" w:leader="none"/>
        </w:tabs>
        <w:rPr>
          <w:rFonts w:ascii="PT Astra Serif" w:hAnsi="PT Astra Serif" w:eastAsia="Calibri"/>
          <w:sz w:val="24"/>
          <w:szCs w:val="24"/>
        </w:rPr>
      </w:pPr>
      <w:r>
        <w:rPr>
          <w:rFonts w:ascii="PT Astra Serif" w:hAnsi="PT Astra Serif" w:eastAsia="Calibri"/>
          <w:sz w:val="24"/>
          <w:szCs w:val="24"/>
        </w:rPr>
        <w:t xml:space="preserve">принято на обучение по программам высшего образования в сфере  информационных  технологий  за  счет  бюджетных ассигнований федерального бюджета, в том числе с учетом актуализации федеральных государственных образовательных стандартов высшего о</w:t>
      </w:r>
      <w:r>
        <w:rPr>
          <w:rFonts w:ascii="PT Astra Serif" w:hAnsi="PT Astra Serif" w:eastAsia="Calibri"/>
          <w:sz w:val="24"/>
          <w:szCs w:val="24"/>
        </w:rPr>
        <w:t xml:space="preserve">бразования 3 397 человек</w:t>
      </w:r>
      <w:r>
        <w:rPr>
          <w:rFonts w:ascii="PT Astra Serif" w:hAnsi="PT Astra Serif" w:eastAsia="Calibri"/>
          <w:sz w:val="24"/>
          <w:szCs w:val="24"/>
        </w:rPr>
        <w:t xml:space="preserve">, из них по очной форме </w:t>
      </w:r>
      <w:r>
        <w:rPr>
          <w:rFonts w:ascii="PT Astra Serif" w:hAnsi="PT Astra Serif" w:eastAsia="Calibri"/>
          <w:sz w:val="24"/>
          <w:szCs w:val="24"/>
        </w:rPr>
        <w:t xml:space="preserve">–</w:t>
      </w:r>
      <w:r>
        <w:rPr>
          <w:rFonts w:ascii="PT Astra Serif" w:hAnsi="PT Astra Serif" w:eastAsia="Calibri"/>
          <w:sz w:val="24"/>
          <w:szCs w:val="24"/>
        </w:rPr>
        <w:t xml:space="preserve"> 3 120 человек</w:t>
      </w:r>
      <w:r>
        <w:rPr>
          <w:rFonts w:ascii="PT Astra Serif" w:hAnsi="PT Astra Serif" w:eastAsia="Calibri"/>
          <w:sz w:val="24"/>
          <w:szCs w:val="24"/>
        </w:rPr>
        <w:t xml:space="preserve"> (план </w:t>
      </w:r>
      <w:r>
        <w:rPr>
          <w:rFonts w:ascii="PT Astra Serif" w:hAnsi="PT Astra Serif" w:eastAsia="Calibri"/>
          <w:sz w:val="24"/>
          <w:szCs w:val="24"/>
        </w:rPr>
        <w:t xml:space="preserve">–</w:t>
      </w:r>
      <w:r>
        <w:rPr>
          <w:rFonts w:ascii="PT Astra Serif" w:hAnsi="PT Astra Serif" w:eastAsia="Calibri"/>
          <w:sz w:val="24"/>
          <w:szCs w:val="24"/>
        </w:rPr>
        <w:t xml:space="preserve"> 2 500 человек</w:t>
      </w:r>
      <w:r>
        <w:rPr>
          <w:rFonts w:ascii="PT Astra Serif" w:hAnsi="PT Astra Serif" w:eastAsia="Calibri"/>
          <w:sz w:val="24"/>
          <w:szCs w:val="24"/>
        </w:rPr>
        <w:t xml:space="preserve">).</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sz w:val="24"/>
          <w:szCs w:val="24"/>
        </w:rPr>
        <w:t xml:space="preserve">В рамках</w:t>
      </w:r>
      <w:r>
        <w:rPr>
          <w:rFonts w:ascii="PT Astra Serif" w:hAnsi="PT Astra Serif"/>
          <w:i/>
          <w:sz w:val="24"/>
          <w:szCs w:val="24"/>
        </w:rPr>
        <w:t xml:space="preserve"> регионального проекта «Умные города Томской области»</w:t>
      </w:r>
      <w:r>
        <w:rPr>
          <w:rFonts w:ascii="PT Astra Serif" w:hAnsi="PT Astra Serif"/>
          <w:i/>
          <w:sz w:val="24"/>
          <w:szCs w:val="24"/>
        </w:rPr>
        <w:t xml:space="preserve">:</w:t>
      </w:r>
      <w:r>
        <w:rPr>
          <w:rFonts w:ascii="PT Astra Serif" w:hAnsi="PT Astra Serif"/>
          <w:i/>
          <w:sz w:val="24"/>
          <w:szCs w:val="24"/>
        </w:rPr>
      </w:r>
      <w:r>
        <w:rPr>
          <w:rFonts w:ascii="PT Astra Serif" w:hAnsi="PT Astra Serif"/>
          <w:i/>
          <w:sz w:val="24"/>
          <w:szCs w:val="24"/>
        </w:rPr>
      </w:r>
    </w:p>
    <w:p>
      <w:pPr>
        <w:numPr>
          <w:ilvl w:val="0"/>
          <w:numId w:val="26"/>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продолжаются работы по наполнению муниципальной информационной системы «Мой Северск» справочной информацией;</w:t>
      </w:r>
      <w:r>
        <w:rPr>
          <w:rFonts w:ascii="PT Astra Serif" w:hAnsi="PT Astra Serif" w:eastAsia="Calibri"/>
          <w:sz w:val="24"/>
          <w:szCs w:val="24"/>
        </w:rPr>
      </w:r>
      <w:r>
        <w:rPr>
          <w:rFonts w:ascii="PT Astra Serif" w:hAnsi="PT Astra Serif" w:eastAsia="Calibri"/>
          <w:sz w:val="24"/>
          <w:szCs w:val="24"/>
        </w:rPr>
      </w:r>
    </w:p>
    <w:p>
      <w:pPr>
        <w:numPr>
          <w:ilvl w:val="0"/>
          <w:numId w:val="26"/>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в ЗАТО Северск продолжаются работы по наполнению платформы «Цифровой двойник города» справочными данными и слоями геообъектов. Проводятся работы по отладке и модернизации функционирования системы.</w:t>
      </w:r>
      <w:r>
        <w:rPr>
          <w:rFonts w:ascii="PT Astra Serif" w:hAnsi="PT Astra Serif" w:eastAsia="Calibri"/>
          <w:sz w:val="24"/>
          <w:szCs w:val="24"/>
        </w:rPr>
      </w:r>
      <w:r>
        <w:rPr>
          <w:rFonts w:ascii="PT Astra Serif" w:hAnsi="PT Astra Serif" w:eastAsia="Calibri"/>
          <w:sz w:val="24"/>
          <w:szCs w:val="24"/>
        </w:rPr>
      </w:r>
    </w:p>
    <w:p>
      <w:pPr>
        <w:contextualSpacing/>
        <w:ind w:left="567" w:firstLine="709"/>
        <w:jc w:val="both"/>
        <w:spacing w:after="0" w:line="240" w:lineRule="auto"/>
        <w:tabs>
          <w:tab w:val="left" w:pos="851" w:leader="none"/>
        </w:tabs>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widowControl w:val="off"/>
        <w:tabs>
          <w:tab w:val="left" w:pos="284" w:leader="none"/>
          <w:tab w:val="left" w:pos="426" w:leader="none"/>
        </w:tabs>
        <w:rPr>
          <w:rFonts w:ascii="PT Astra Serif" w:hAnsi="PT Astra Serif" w:eastAsia="Calibri"/>
          <w:b/>
          <w:sz w:val="24"/>
          <w:szCs w:val="24"/>
        </w:rPr>
      </w:pPr>
      <w:r>
        <w:rPr>
          <w:rFonts w:ascii="PT Astra Serif" w:hAnsi="PT Astra Serif" w:eastAsia="Calibri"/>
          <w:b/>
          <w:sz w:val="24"/>
          <w:szCs w:val="24"/>
        </w:rPr>
        <w:t xml:space="preserve">Перспективные задачи на 2024 год:</w:t>
      </w:r>
      <w:r>
        <w:rPr>
          <w:rFonts w:ascii="PT Astra Serif" w:hAnsi="PT Astra Serif" w:eastAsia="Calibri"/>
          <w:b/>
          <w:sz w:val="24"/>
          <w:szCs w:val="24"/>
        </w:rPr>
      </w:r>
      <w:r>
        <w:rPr>
          <w:rFonts w:ascii="PT Astra Serif" w:hAnsi="PT Astra Serif" w:eastAsia="Calibri"/>
          <w:b/>
          <w:sz w:val="24"/>
          <w:szCs w:val="24"/>
        </w:rPr>
      </w:r>
    </w:p>
    <w:p>
      <w:pPr>
        <w:ind w:firstLine="709"/>
        <w:jc w:val="both"/>
        <w:spacing w:after="0" w:line="240" w:lineRule="auto"/>
        <w:widowControl w:val="off"/>
        <w:tabs>
          <w:tab w:val="left" w:pos="284" w:leader="none"/>
          <w:tab w:val="left" w:pos="993" w:leader="none"/>
        </w:tabs>
        <w:rPr>
          <w:rFonts w:ascii="PT Astra Serif" w:hAnsi="PT Astra Serif" w:eastAsia="Calibri"/>
          <w:sz w:val="24"/>
          <w:szCs w:val="24"/>
        </w:rPr>
      </w:pPr>
      <w:r>
        <w:rPr>
          <w:rFonts w:ascii="PT Astra Serif" w:hAnsi="PT Astra Serif" w:eastAsia="Calibri"/>
          <w:i/>
          <w:sz w:val="24"/>
          <w:szCs w:val="24"/>
        </w:rPr>
        <w:t xml:space="preserve">Региональный проект «Умные города Томской области»</w:t>
      </w:r>
      <w:r>
        <w:rPr>
          <w:rFonts w:ascii="PT Astra Serif" w:hAnsi="PT Astra Serif" w:eastAsia="Calibri"/>
          <w:sz w:val="24"/>
          <w:szCs w:val="24"/>
        </w:rPr>
        <w:t xml:space="preserve">:</w:t>
      </w:r>
      <w:r>
        <w:rPr>
          <w:rFonts w:ascii="PT Astra Serif" w:hAnsi="PT Astra Serif" w:eastAsia="Calibri"/>
          <w:sz w:val="24"/>
          <w:szCs w:val="24"/>
        </w:rPr>
      </w:r>
      <w:r>
        <w:rPr>
          <w:rFonts w:ascii="PT Astra Serif" w:hAnsi="PT Astra Serif" w:eastAsia="Calibri"/>
          <w:sz w:val="24"/>
          <w:szCs w:val="24"/>
        </w:rPr>
      </w:r>
    </w:p>
    <w:p>
      <w:pPr>
        <w:numPr>
          <w:ilvl w:val="0"/>
          <w:numId w:val="29"/>
        </w:numPr>
        <w:contextualSpacing/>
        <w:ind w:left="0" w:firstLine="709"/>
        <w:jc w:val="both"/>
        <w:spacing w:after="0" w:line="240" w:lineRule="auto"/>
        <w:widowControl w:val="off"/>
        <w:tabs>
          <w:tab w:val="left" w:pos="284" w:leader="none"/>
          <w:tab w:val="left" w:pos="851" w:leader="none"/>
          <w:tab w:val="left" w:pos="993" w:leader="none"/>
        </w:tabs>
        <w:rPr>
          <w:rFonts w:ascii="PT Astra Serif" w:hAnsi="PT Astra Serif" w:eastAsia="Calibri"/>
          <w:sz w:val="24"/>
          <w:szCs w:val="24"/>
        </w:rPr>
      </w:pPr>
      <w:r>
        <w:rPr>
          <w:rFonts w:ascii="PT Astra Serif" w:hAnsi="PT Astra Serif" w:eastAsia="Calibri"/>
          <w:sz w:val="24"/>
          <w:szCs w:val="24"/>
        </w:rPr>
        <w:t xml:space="preserve">Продолжатся работы по наполнению муниципальной информационной системы «Мой Северск» справочной информацией и по обучению сотрудников работе с системой.</w:t>
      </w:r>
      <w:r>
        <w:rPr>
          <w:rFonts w:ascii="PT Astra Serif" w:hAnsi="PT Astra Serif" w:eastAsia="Calibri"/>
          <w:sz w:val="24"/>
          <w:szCs w:val="24"/>
        </w:rPr>
      </w:r>
      <w:r>
        <w:rPr>
          <w:rFonts w:ascii="PT Astra Serif" w:hAnsi="PT Astra Serif" w:eastAsia="Calibri"/>
          <w:sz w:val="24"/>
          <w:szCs w:val="24"/>
        </w:rPr>
      </w:r>
    </w:p>
    <w:p>
      <w:pPr>
        <w:numPr>
          <w:ilvl w:val="0"/>
          <w:numId w:val="29"/>
        </w:numPr>
        <w:contextualSpacing/>
        <w:ind w:left="0" w:firstLine="709"/>
        <w:jc w:val="both"/>
        <w:spacing w:after="0" w:line="240" w:lineRule="auto"/>
        <w:widowControl w:val="off"/>
        <w:tabs>
          <w:tab w:val="left" w:pos="284" w:leader="none"/>
          <w:tab w:val="left" w:pos="851" w:leader="none"/>
          <w:tab w:val="left" w:pos="993" w:leader="none"/>
        </w:tabs>
        <w:rPr>
          <w:rFonts w:ascii="PT Astra Serif" w:hAnsi="PT Astra Serif" w:eastAsia="Calibri"/>
          <w:sz w:val="24"/>
          <w:szCs w:val="24"/>
        </w:rPr>
      </w:pPr>
      <w:r>
        <w:rPr>
          <w:rFonts w:ascii="PT Astra Serif" w:hAnsi="PT Astra Serif" w:eastAsia="Calibri"/>
          <w:sz w:val="24"/>
          <w:szCs w:val="24"/>
        </w:rPr>
        <w:t xml:space="preserve">В ЗАТО Северск продолжатся работы по наполнению платформы «Цифровой двойник города» справочными данными и слоями геообъектов.</w:t>
      </w:r>
      <w:r>
        <w:rPr>
          <w:rFonts w:ascii="PT Astra Serif" w:hAnsi="PT Astra Serif" w:eastAsia="Calibri"/>
          <w:sz w:val="24"/>
          <w:szCs w:val="24"/>
        </w:rPr>
      </w:r>
      <w:r>
        <w:rPr>
          <w:rFonts w:ascii="PT Astra Serif" w:hAnsi="PT Astra Serif" w:eastAsia="Calibri"/>
          <w:sz w:val="24"/>
          <w:szCs w:val="24"/>
        </w:rPr>
      </w:r>
    </w:p>
    <w:p>
      <w:pPr>
        <w:numPr>
          <w:ilvl w:val="0"/>
          <w:numId w:val="29"/>
        </w:numPr>
        <w:contextualSpacing/>
        <w:ind w:left="0" w:firstLine="709"/>
        <w:jc w:val="both"/>
        <w:spacing w:after="0" w:line="240" w:lineRule="auto"/>
        <w:widowControl w:val="off"/>
        <w:tabs>
          <w:tab w:val="left" w:pos="284" w:leader="none"/>
          <w:tab w:val="left" w:pos="851" w:leader="none"/>
          <w:tab w:val="left" w:pos="993" w:leader="none"/>
        </w:tabs>
        <w:rPr>
          <w:rFonts w:ascii="PT Astra Serif" w:hAnsi="PT Astra Serif" w:eastAsia="Calibri"/>
          <w:sz w:val="24"/>
          <w:szCs w:val="24"/>
        </w:rPr>
      </w:pPr>
      <w:r>
        <w:rPr>
          <w:rFonts w:ascii="PT Astra Serif" w:hAnsi="PT Astra Serif" w:eastAsia="Calibri"/>
          <w:sz w:val="24"/>
          <w:szCs w:val="24"/>
        </w:rPr>
        <w:t xml:space="preserve">Разработка модулей по отображению на карте ЗАТО Северск проведени</w:t>
      </w:r>
      <w:r>
        <w:rPr>
          <w:rFonts w:ascii="PT Astra Serif" w:hAnsi="PT Astra Serif" w:eastAsia="Calibri"/>
          <w:sz w:val="24"/>
          <w:szCs w:val="24"/>
        </w:rPr>
        <w:t xml:space="preserve">я</w:t>
      </w:r>
      <w:r>
        <w:rPr>
          <w:rFonts w:ascii="PT Astra Serif" w:hAnsi="PT Astra Serif" w:eastAsia="Calibri"/>
          <w:sz w:val="24"/>
          <w:szCs w:val="24"/>
        </w:rPr>
        <w:t xml:space="preserve"> ремонтных работ на инженерных сетях, участках дорожной сети, изменению маршрутов транспортного сообщения и по отключениям предоставления коммунальных услуг.</w:t>
      </w:r>
      <w:r>
        <w:rPr>
          <w:rFonts w:ascii="PT Astra Serif" w:hAnsi="PT Astra Serif" w:eastAsia="Calibri"/>
          <w:sz w:val="24"/>
          <w:szCs w:val="24"/>
        </w:rPr>
      </w:r>
      <w:r>
        <w:rPr>
          <w:rFonts w:ascii="PT Astra Serif" w:hAnsi="PT Astra Serif" w:eastAsia="Calibri"/>
          <w:sz w:val="24"/>
          <w:szCs w:val="24"/>
        </w:rPr>
      </w:r>
    </w:p>
    <w:p>
      <w:pPr>
        <w:contextualSpacing/>
        <w:ind w:firstLine="709"/>
        <w:jc w:val="both"/>
        <w:spacing w:after="0" w:line="240" w:lineRule="auto"/>
        <w:tabs>
          <w:tab w:val="left" w:pos="284" w:leader="none"/>
          <w:tab w:val="left" w:pos="851" w:leader="none"/>
          <w:tab w:val="left" w:pos="993" w:leader="none"/>
        </w:tabs>
        <w:rPr>
          <w:rFonts w:ascii="PT Astra Serif" w:hAnsi="PT Astra Serif" w:eastAsia="Calibri"/>
          <w:i/>
          <w:sz w:val="24"/>
          <w:szCs w:val="24"/>
        </w:rPr>
      </w:pPr>
      <w:r>
        <w:rPr>
          <w:rFonts w:ascii="PT Astra Serif" w:hAnsi="PT Astra Serif" w:eastAsia="Calibri"/>
          <w:i/>
          <w:sz w:val="24"/>
          <w:szCs w:val="24"/>
        </w:rPr>
        <w:t xml:space="preserve">Региональный проект «Цифровые технологии»:</w:t>
      </w:r>
      <w:r>
        <w:rPr>
          <w:rFonts w:ascii="PT Astra Serif" w:hAnsi="PT Astra Serif" w:eastAsia="Calibri"/>
          <w:i/>
          <w:sz w:val="24"/>
          <w:szCs w:val="24"/>
        </w:rPr>
      </w:r>
      <w:r>
        <w:rPr>
          <w:rFonts w:ascii="PT Astra Serif" w:hAnsi="PT Astra Serif" w:eastAsia="Calibri"/>
          <w:i/>
          <w:sz w:val="24"/>
          <w:szCs w:val="24"/>
        </w:rPr>
      </w:r>
    </w:p>
    <w:p>
      <w:pPr>
        <w:pStyle w:val="1152"/>
        <w:numPr>
          <w:ilvl w:val="6"/>
          <w:numId w:val="43"/>
        </w:numPr>
        <w:ind w:left="0" w:firstLine="709"/>
        <w:jc w:val="both"/>
        <w:spacing w:after="0" w:line="240" w:lineRule="auto"/>
        <w:tabs>
          <w:tab w:val="left" w:pos="284" w:leader="none"/>
          <w:tab w:val="left" w:pos="851" w:leader="none"/>
          <w:tab w:val="left" w:pos="993" w:leader="none"/>
        </w:tabs>
        <w:rPr>
          <w:rFonts w:ascii="PT Astra Serif" w:hAnsi="PT Astra Serif"/>
          <w:sz w:val="24"/>
          <w:szCs w:val="24"/>
        </w:rPr>
      </w:pPr>
      <w:r>
        <w:rPr>
          <w:rFonts w:ascii="PT Astra Serif" w:hAnsi="PT Astra Serif"/>
          <w:sz w:val="24"/>
          <w:szCs w:val="24"/>
        </w:rPr>
        <w:t xml:space="preserve">Запланированы мероприятия по освещению про</w:t>
      </w:r>
      <w:r>
        <w:rPr>
          <w:rFonts w:ascii="PT Astra Serif" w:hAnsi="PT Astra Serif"/>
          <w:sz w:val="24"/>
          <w:szCs w:val="24"/>
        </w:rPr>
        <w:t xml:space="preserve">ведения отбора компаний-лидеров, разрабатывающих и обеспечивающих внедрение продуктов, сервисов и платформенных решений преимущественно на основе российских технологий и решений для цифровой трансформации приоритетных отраслей экономики и социальной сферы.</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284" w:leader="none"/>
          <w:tab w:val="left" w:pos="426" w:leader="none"/>
          <w:tab w:val="left" w:pos="993" w:leader="none"/>
        </w:tabs>
        <w:rPr>
          <w:rFonts w:ascii="PT Astra Serif" w:hAnsi="PT Astra Serif" w:eastAsia="Calibri"/>
          <w:i/>
          <w:sz w:val="24"/>
          <w:szCs w:val="24"/>
        </w:rPr>
      </w:pPr>
      <w:r>
        <w:rPr>
          <w:rFonts w:ascii="PT Astra Serif" w:hAnsi="PT Astra Serif" w:eastAsia="Calibri"/>
          <w:i/>
          <w:sz w:val="24"/>
          <w:szCs w:val="24"/>
        </w:rPr>
        <w:t xml:space="preserve">Региональный проект «Информационная безопасность»:</w:t>
      </w:r>
      <w:r>
        <w:rPr>
          <w:rFonts w:ascii="PT Astra Serif" w:hAnsi="PT Astra Serif" w:eastAsia="Calibri"/>
          <w:i/>
          <w:sz w:val="24"/>
          <w:szCs w:val="24"/>
        </w:rPr>
      </w:r>
      <w:r>
        <w:rPr>
          <w:rFonts w:ascii="PT Astra Serif" w:hAnsi="PT Astra Serif" w:eastAsia="Calibri"/>
          <w:i/>
          <w:sz w:val="24"/>
          <w:szCs w:val="24"/>
        </w:rPr>
      </w:r>
    </w:p>
    <w:p>
      <w:pPr>
        <w:numPr>
          <w:ilvl w:val="0"/>
          <w:numId w:val="28"/>
        </w:numPr>
        <w:contextualSpacing/>
        <w:ind w:left="0" w:firstLine="709"/>
        <w:jc w:val="both"/>
        <w:spacing w:after="0" w:line="240" w:lineRule="auto"/>
        <w:tabs>
          <w:tab w:val="left" w:pos="284" w:leader="none"/>
          <w:tab w:val="left" w:pos="426" w:leader="none"/>
          <w:tab w:val="left" w:pos="709" w:leader="none"/>
          <w:tab w:val="left" w:pos="851" w:leader="none"/>
          <w:tab w:val="left" w:pos="993" w:leader="none"/>
        </w:tabs>
        <w:rPr>
          <w:rFonts w:ascii="PT Astra Serif" w:hAnsi="PT Astra Serif" w:eastAsia="Calibri"/>
          <w:sz w:val="24"/>
          <w:szCs w:val="24"/>
        </w:rPr>
      </w:pPr>
      <w:r>
        <w:rPr>
          <w:rFonts w:ascii="PT Astra Serif" w:hAnsi="PT Astra Serif" w:eastAsia="Calibri"/>
          <w:sz w:val="24"/>
          <w:szCs w:val="24"/>
        </w:rPr>
        <w:t xml:space="preserve">Проведение независимого аудита информационной безопасности для информационных систем, осуществляющих электронное взаимодействие граждан с органами государственной власти Томской области;</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widowControl w:val="off"/>
        <w:tabs>
          <w:tab w:val="left" w:pos="284" w:leader="none"/>
          <w:tab w:val="left" w:pos="993" w:leader="none"/>
        </w:tabs>
        <w:rPr>
          <w:rFonts w:ascii="PT Astra Serif" w:hAnsi="PT Astra Serif" w:eastAsia="Calibri"/>
          <w:i/>
          <w:sz w:val="24"/>
          <w:szCs w:val="24"/>
        </w:rPr>
      </w:pPr>
      <w:r>
        <w:rPr>
          <w:rFonts w:ascii="PT Astra Serif" w:hAnsi="PT Astra Serif" w:eastAsia="Calibri"/>
          <w:i/>
          <w:sz w:val="24"/>
          <w:szCs w:val="24"/>
        </w:rPr>
        <w:t xml:space="preserve">Региональный проект «Цифровое государственное управление»:</w:t>
      </w:r>
      <w:r>
        <w:rPr>
          <w:rFonts w:ascii="PT Astra Serif" w:hAnsi="PT Astra Serif" w:eastAsia="Calibri"/>
          <w:i/>
          <w:sz w:val="24"/>
          <w:szCs w:val="24"/>
        </w:rPr>
      </w:r>
      <w:r>
        <w:rPr>
          <w:rFonts w:ascii="PT Astra Serif" w:hAnsi="PT Astra Serif" w:eastAsia="Calibri"/>
          <w:i/>
          <w:sz w:val="24"/>
          <w:szCs w:val="24"/>
        </w:rPr>
      </w:r>
    </w:p>
    <w:p>
      <w:pPr>
        <w:ind w:firstLine="709"/>
        <w:jc w:val="both"/>
        <w:spacing w:after="0" w:line="240" w:lineRule="auto"/>
        <w:widowControl w:val="off"/>
        <w:tabs>
          <w:tab w:val="left" w:pos="284" w:leader="none"/>
          <w:tab w:val="left" w:pos="993" w:leader="none"/>
        </w:tabs>
        <w:rPr>
          <w:rFonts w:ascii="PT Astra Serif" w:hAnsi="PT Astra Serif" w:eastAsia="Calibri"/>
          <w:sz w:val="24"/>
          <w:szCs w:val="24"/>
        </w:rPr>
      </w:pPr>
      <w:r>
        <w:rPr>
          <w:rFonts w:ascii="PT Astra Serif" w:hAnsi="PT Astra Serif" w:eastAsia="Calibri"/>
          <w:sz w:val="24"/>
          <w:szCs w:val="24"/>
        </w:rPr>
        <w:t xml:space="preserve">1. </w:t>
      </w:r>
      <w:r>
        <w:rPr>
          <w:rFonts w:ascii="PT Astra Serif" w:hAnsi="PT Astra Serif" w:eastAsia="Calibri"/>
          <w:sz w:val="24"/>
          <w:szCs w:val="24"/>
        </w:rPr>
        <w:t xml:space="preserve">Продолжится работа по переводу на использование отечеств</w:t>
      </w:r>
      <w:r>
        <w:rPr>
          <w:rFonts w:ascii="PT Astra Serif" w:hAnsi="PT Astra Serif" w:eastAsia="Calibri"/>
          <w:sz w:val="24"/>
          <w:szCs w:val="24"/>
        </w:rPr>
        <w:t xml:space="preserve">енного программного обеспечения</w:t>
      </w:r>
      <w:r>
        <w:rPr>
          <w:rFonts w:ascii="PT Astra Serif" w:hAnsi="PT Astra Serif" w:eastAsia="Calibri"/>
          <w:sz w:val="24"/>
          <w:szCs w:val="24"/>
        </w:rPr>
        <w:t xml:space="preserve"> сотрудников Администрации Томской области и иных исполнительных органов Томской области. </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widowControl w:val="off"/>
        <w:tabs>
          <w:tab w:val="left" w:pos="284" w:leader="none"/>
          <w:tab w:val="left" w:pos="993" w:leader="none"/>
        </w:tabs>
        <w:rPr>
          <w:rFonts w:ascii="PT Astra Serif" w:hAnsi="PT Astra Serif" w:eastAsia="Calibri"/>
          <w:sz w:val="24"/>
          <w:szCs w:val="24"/>
        </w:rPr>
      </w:pPr>
      <w:r>
        <w:rPr>
          <w:rFonts w:ascii="PT Astra Serif" w:hAnsi="PT Astra Serif" w:eastAsia="Calibri"/>
          <w:sz w:val="24"/>
          <w:szCs w:val="24"/>
        </w:rPr>
        <w:t xml:space="preserve">2. </w:t>
      </w:r>
      <w:r>
        <w:rPr>
          <w:rFonts w:ascii="PT Astra Serif" w:hAnsi="PT Astra Serif" w:eastAsia="Calibri"/>
          <w:sz w:val="24"/>
          <w:szCs w:val="24"/>
        </w:rPr>
        <w:t xml:space="preserve">Обеспеч</w:t>
      </w:r>
      <w:r>
        <w:rPr>
          <w:rFonts w:ascii="PT Astra Serif" w:hAnsi="PT Astra Serif" w:eastAsia="Calibri"/>
          <w:sz w:val="24"/>
          <w:szCs w:val="24"/>
        </w:rPr>
        <w:t xml:space="preserve">ение</w:t>
      </w:r>
      <w:r>
        <w:rPr>
          <w:rFonts w:ascii="PT Astra Serif" w:hAnsi="PT Astra Serif" w:eastAsia="Calibri"/>
          <w:sz w:val="24"/>
          <w:szCs w:val="24"/>
        </w:rPr>
        <w:t xml:space="preserve"> предоставлени</w:t>
      </w:r>
      <w:r>
        <w:rPr>
          <w:rFonts w:ascii="PT Astra Serif" w:hAnsi="PT Astra Serif" w:eastAsia="Calibri"/>
          <w:sz w:val="24"/>
          <w:szCs w:val="24"/>
        </w:rPr>
        <w:t xml:space="preserve">я</w:t>
      </w:r>
      <w:r>
        <w:rPr>
          <w:rFonts w:ascii="PT Astra Serif" w:hAnsi="PT Astra Serif" w:eastAsia="Calibri"/>
          <w:sz w:val="24"/>
          <w:szCs w:val="24"/>
        </w:rPr>
        <w:t xml:space="preserve"> 100% массовых социально значимых услуг Томской области в электронной форме, продолж</w:t>
      </w:r>
      <w:r>
        <w:rPr>
          <w:rFonts w:ascii="PT Astra Serif" w:hAnsi="PT Astra Serif" w:eastAsia="Calibri"/>
          <w:sz w:val="24"/>
          <w:szCs w:val="24"/>
        </w:rPr>
        <w:t xml:space="preserve">ение</w:t>
      </w:r>
      <w:r>
        <w:rPr>
          <w:rFonts w:ascii="PT Astra Serif" w:hAnsi="PT Astra Serif" w:eastAsia="Calibri"/>
          <w:sz w:val="24"/>
          <w:szCs w:val="24"/>
        </w:rPr>
        <w:t xml:space="preserve"> работ</w:t>
      </w:r>
      <w:r>
        <w:rPr>
          <w:rFonts w:ascii="PT Astra Serif" w:hAnsi="PT Astra Serif" w:eastAsia="Calibri"/>
          <w:sz w:val="24"/>
          <w:szCs w:val="24"/>
        </w:rPr>
        <w:t xml:space="preserve">ы</w:t>
      </w:r>
      <w:r>
        <w:rPr>
          <w:rFonts w:ascii="PT Astra Serif" w:hAnsi="PT Astra Serif" w:eastAsia="Calibri"/>
          <w:sz w:val="24"/>
          <w:szCs w:val="24"/>
        </w:rPr>
        <w:t xml:space="preserve"> по подключению на портале «Госуслуги» к новым типовым формам оказания массовых социально значимых услуг.</w:t>
      </w:r>
      <w:r>
        <w:rPr>
          <w:rFonts w:ascii="PT Astra Serif" w:hAnsi="PT Astra Serif" w:eastAsia="Calibri"/>
          <w:sz w:val="24"/>
          <w:szCs w:val="24"/>
        </w:rPr>
      </w:r>
      <w:r>
        <w:rPr>
          <w:rFonts w:ascii="PT Astra Serif" w:hAnsi="PT Astra Serif" w:eastAsia="Calibri"/>
          <w:sz w:val="24"/>
          <w:szCs w:val="24"/>
        </w:rPr>
      </w:r>
    </w:p>
    <w:p>
      <w:pPr>
        <w:ind w:firstLine="709"/>
        <w:spacing w:after="0" w:line="240" w:lineRule="auto"/>
        <w:tabs>
          <w:tab w:val="left" w:pos="993"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ind w:firstLine="709"/>
        <w:spacing w:after="0" w:line="240" w:lineRule="auto"/>
        <w:tabs>
          <w:tab w:val="left" w:pos="993" w:leader="none"/>
        </w:tabs>
        <w:rPr>
          <w:rFonts w:ascii="PT Astra Serif" w:hAnsi="PT Astra Serif"/>
          <w:b/>
          <w:sz w:val="24"/>
          <w:szCs w:val="24"/>
        </w:rPr>
      </w:pPr>
      <w:r>
        <w:rPr>
          <w:rFonts w:ascii="PT Astra Serif" w:hAnsi="PT Astra Serif"/>
          <w:b/>
          <w:sz w:val="24"/>
          <w:szCs w:val="24"/>
        </w:rPr>
        <w:t xml:space="preserve">Национальный проект «Культура»</w:t>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993" w:leader="none"/>
        </w:tabs>
        <w:rPr>
          <w:rFonts w:ascii="PT Astra Serif" w:hAnsi="PT Astra Serif" w:eastAsia="Times New Roman"/>
          <w:sz w:val="24"/>
          <w:szCs w:val="24"/>
          <w:lang w:eastAsia="ru-RU"/>
        </w:rPr>
      </w:pPr>
      <w:r>
        <w:rPr>
          <w:rFonts w:ascii="PT Astra Serif" w:hAnsi="PT Astra Serif"/>
          <w:sz w:val="24"/>
          <w:szCs w:val="24"/>
        </w:rPr>
        <w:t xml:space="preserve">На достижение цели национального проекта в Томской области в 2023 году были направлены 3 региональных проекта</w:t>
      </w:r>
      <w:r>
        <w:rPr>
          <w:rFonts w:ascii="PT Astra Serif" w:hAnsi="PT Astra Serif" w:eastAsia="Times New Roman"/>
          <w:sz w:val="24"/>
          <w:szCs w:val="24"/>
          <w:lang w:eastAsia="ru-RU"/>
        </w:rPr>
        <w:t xml:space="preserve">. </w:t>
      </w:r>
      <w:r>
        <w:rPr>
          <w:rFonts w:ascii="PT Astra Serif" w:hAnsi="PT Astra Serif"/>
          <w:sz w:val="24"/>
          <w:szCs w:val="24"/>
        </w:rPr>
        <w:t xml:space="preserve">Фактический объем фин</w:t>
      </w:r>
      <w:r>
        <w:rPr>
          <w:rFonts w:ascii="PT Astra Serif" w:hAnsi="PT Astra Serif"/>
          <w:sz w:val="24"/>
          <w:szCs w:val="24"/>
        </w:rPr>
        <w:t xml:space="preserve">ансирования составил 472,9  млн</w:t>
      </w:r>
      <w:r>
        <w:rPr>
          <w:rFonts w:ascii="PT Astra Serif" w:hAnsi="PT Astra Serif"/>
          <w:sz w:val="24"/>
          <w:szCs w:val="24"/>
        </w:rPr>
        <w:t xml:space="preserve"> рублей.</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993"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993" w:leader="none"/>
        </w:tabs>
        <w:rPr>
          <w:rFonts w:ascii="PT Astra Serif" w:hAnsi="PT Astra Serif"/>
          <w:b/>
          <w:sz w:val="24"/>
          <w:szCs w:val="24"/>
        </w:rPr>
      </w:pPr>
      <w:r>
        <w:rPr>
          <w:rFonts w:ascii="PT Astra Serif" w:hAnsi="PT Astra Serif"/>
          <w:b/>
          <w:sz w:val="24"/>
          <w:szCs w:val="24"/>
        </w:rPr>
        <w:t xml:space="preserve">Итоги 2023 года:</w:t>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993" w:leader="none"/>
        </w:tabs>
        <w:rPr>
          <w:rFonts w:ascii="PT Astra Serif" w:hAnsi="PT Astra Serif" w:eastAsia="Times New Roman"/>
          <w:i/>
          <w:sz w:val="24"/>
          <w:szCs w:val="24"/>
          <w:lang w:eastAsia="ru-RU"/>
        </w:rPr>
      </w:pPr>
      <w:r>
        <w:rPr>
          <w:rFonts w:ascii="PT Astra Serif" w:hAnsi="PT Astra Serif" w:eastAsia="Times New Roman"/>
          <w:sz w:val="24"/>
          <w:szCs w:val="24"/>
          <w:lang w:eastAsia="ru-RU"/>
        </w:rPr>
        <w:t xml:space="preserve">В рамках</w:t>
      </w:r>
      <w:r>
        <w:rPr>
          <w:rFonts w:ascii="PT Astra Serif" w:hAnsi="PT Astra Serif" w:eastAsia="Times New Roman"/>
          <w:i/>
          <w:sz w:val="24"/>
          <w:szCs w:val="24"/>
          <w:lang w:eastAsia="ru-RU"/>
        </w:rPr>
        <w:t xml:space="preserve"> регионального проекта «Культурная среда»:</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lang w:eastAsia="ru-RU"/>
        </w:rPr>
      </w:pPr>
      <w:r>
        <w:rPr>
          <w:rFonts w:ascii="PT Astra Serif" w:hAnsi="PT Astra Serif" w:eastAsia="Calibri"/>
          <w:sz w:val="24"/>
          <w:szCs w:val="24"/>
          <w:lang w:eastAsia="ru-RU"/>
        </w:rPr>
        <w:t xml:space="preserve">создано 7 модельных м</w:t>
      </w:r>
      <w:r>
        <w:rPr>
          <w:rFonts w:ascii="PT Astra Serif" w:hAnsi="PT Astra Serif" w:eastAsia="Calibri"/>
          <w:sz w:val="24"/>
          <w:szCs w:val="24"/>
          <w:lang w:eastAsia="ru-RU"/>
        </w:rPr>
        <w:t xml:space="preserve">униципальных библиотек в с. Подгорное Чаинского района, в с. Комсомольск и д. Крутоложное Первомайского района, в п. Берегаево Тегульдетского района, в с. Назино Александровского района, в с. Пудовка Кривошеинского района, в с. Нарым Парабельского района; </w:t>
      </w:r>
      <w:r>
        <w:rPr>
          <w:rFonts w:ascii="PT Astra Serif" w:hAnsi="PT Astra Serif" w:eastAsia="Calibri"/>
          <w:sz w:val="24"/>
          <w:szCs w:val="24"/>
          <w:lang w:eastAsia="ru-RU"/>
        </w:rPr>
      </w:r>
      <w:r>
        <w:rPr>
          <w:rFonts w:ascii="PT Astra Serif" w:hAnsi="PT Astra Serif" w:eastAsia="Calibri"/>
          <w:sz w:val="24"/>
          <w:szCs w:val="24"/>
          <w:lang w:eastAsia="ru-RU"/>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lang w:eastAsia="ru-RU"/>
        </w:rPr>
      </w:pPr>
      <w:r>
        <w:rPr>
          <w:rFonts w:ascii="PT Astra Serif" w:hAnsi="PT Astra Serif" w:eastAsia="Calibri"/>
          <w:sz w:val="24"/>
          <w:szCs w:val="24"/>
          <w:lang w:eastAsia="ru-RU"/>
        </w:rPr>
        <w:t xml:space="preserve">завершены работы по оснащению 3 музеев </w:t>
      </w:r>
      <w:r>
        <w:rPr>
          <w:rFonts w:ascii="PT Astra Serif" w:hAnsi="PT Astra Serif" w:eastAsia="Calibri"/>
          <w:sz w:val="24"/>
          <w:szCs w:val="24"/>
        </w:rPr>
        <w:t xml:space="preserve">музейным оборудованием </w:t>
      </w:r>
      <w:r>
        <w:rPr>
          <w:rFonts w:ascii="PT Astra Serif" w:hAnsi="PT Astra Serif" w:eastAsia="Calibri"/>
          <w:sz w:val="24"/>
          <w:szCs w:val="24"/>
          <w:lang w:eastAsia="ru-RU"/>
        </w:rPr>
        <w:t xml:space="preserve">в г. Томске </w:t>
      </w:r>
      <w:r>
        <w:rPr>
          <w:rFonts w:ascii="PT Astra Serif" w:hAnsi="PT Astra Serif" w:eastAsia="Calibri"/>
          <w:sz w:val="24"/>
          <w:szCs w:val="24"/>
        </w:rPr>
        <w:t xml:space="preserve">(ОГАУК «Томский областной краеведческий музей им. М.Б.</w:t>
      </w:r>
      <w:r>
        <w:rPr>
          <w:rFonts w:ascii="PT Astra Serif" w:hAnsi="PT Astra Serif" w:eastAsia="Calibri"/>
          <w:sz w:val="24"/>
          <w:szCs w:val="24"/>
        </w:rPr>
        <w:t xml:space="preserve"> </w:t>
      </w:r>
      <w:r>
        <w:rPr>
          <w:rFonts w:ascii="PT Astra Serif" w:hAnsi="PT Astra Serif" w:eastAsia="Calibri"/>
          <w:sz w:val="24"/>
          <w:szCs w:val="24"/>
        </w:rPr>
        <w:t xml:space="preserve">Шатилова», МАУ «Музей истории Томска») </w:t>
      </w:r>
      <w:r>
        <w:rPr>
          <w:rFonts w:ascii="PT Astra Serif" w:hAnsi="PT Astra Serif" w:eastAsia="Calibri"/>
          <w:sz w:val="24"/>
          <w:szCs w:val="24"/>
          <w:lang w:eastAsia="ru-RU"/>
        </w:rPr>
        <w:t xml:space="preserve">и Зырянском районе (</w:t>
      </w:r>
      <w:r>
        <w:rPr>
          <w:rFonts w:ascii="PT Astra Serif" w:hAnsi="PT Astra Serif" w:eastAsia="Calibri"/>
          <w:sz w:val="24"/>
          <w:szCs w:val="24"/>
        </w:rPr>
        <w:t xml:space="preserve">МБУ «Зырянский краеведческий музей»)</w:t>
      </w:r>
      <w:r>
        <w:rPr>
          <w:rFonts w:ascii="PT Astra Serif" w:hAnsi="PT Astra Serif" w:eastAsia="Calibri"/>
          <w:sz w:val="24"/>
          <w:szCs w:val="24"/>
          <w:lang w:eastAsia="ru-RU"/>
        </w:rPr>
        <w:t xml:space="preserve">;</w:t>
      </w:r>
      <w:r>
        <w:rPr>
          <w:rFonts w:ascii="PT Astra Serif" w:hAnsi="PT Astra Serif" w:eastAsia="Calibri"/>
          <w:sz w:val="24"/>
          <w:szCs w:val="24"/>
          <w:lang w:eastAsia="ru-RU"/>
        </w:rPr>
      </w:r>
      <w:r>
        <w:rPr>
          <w:rFonts w:ascii="PT Astra Serif" w:hAnsi="PT Astra Serif" w:eastAsia="Calibri"/>
          <w:sz w:val="24"/>
          <w:szCs w:val="24"/>
          <w:lang w:eastAsia="ru-RU"/>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lang w:eastAsia="ru-RU"/>
        </w:rPr>
      </w:pPr>
      <w:r>
        <w:rPr>
          <w:rFonts w:ascii="PT Astra Serif" w:hAnsi="PT Astra Serif" w:eastAsia="Calibri"/>
          <w:sz w:val="24"/>
          <w:szCs w:val="24"/>
          <w:lang w:eastAsia="ru-RU"/>
        </w:rPr>
        <w:t xml:space="preserve">проводятся мероприятия по оснащению </w:t>
      </w:r>
      <w:r>
        <w:rPr>
          <w:rFonts w:ascii="PT Astra Serif" w:hAnsi="PT Astra Serif" w:eastAsia="Calibri"/>
          <w:sz w:val="24"/>
          <w:szCs w:val="24"/>
        </w:rPr>
        <w:t xml:space="preserve">ОГАУК «Театр драмы»</w:t>
      </w:r>
      <w:r>
        <w:rPr>
          <w:rFonts w:ascii="PT Astra Serif" w:hAnsi="PT Astra Serif" w:eastAsia="Calibri"/>
          <w:sz w:val="24"/>
          <w:szCs w:val="24"/>
          <w:lang w:eastAsia="ru-RU"/>
        </w:rPr>
        <w:t xml:space="preserve">. Оснастить учреждение полностью планируется в 2024 году;</w:t>
      </w:r>
      <w:r>
        <w:rPr>
          <w:rFonts w:ascii="PT Astra Serif" w:hAnsi="PT Astra Serif" w:eastAsia="Calibri"/>
          <w:sz w:val="24"/>
          <w:szCs w:val="24"/>
          <w:lang w:eastAsia="ru-RU"/>
        </w:rPr>
      </w:r>
      <w:r>
        <w:rPr>
          <w:rFonts w:ascii="PT Astra Serif" w:hAnsi="PT Astra Serif" w:eastAsia="Calibri"/>
          <w:sz w:val="24"/>
          <w:szCs w:val="24"/>
          <w:lang w:eastAsia="ru-RU"/>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lang w:eastAsia="ru-RU"/>
        </w:rPr>
      </w:pPr>
      <w:r>
        <w:rPr>
          <w:rFonts w:ascii="PT Astra Serif" w:hAnsi="PT Astra Serif" w:eastAsia="Calibri"/>
          <w:sz w:val="24"/>
          <w:szCs w:val="24"/>
          <w:lang w:eastAsia="ru-RU"/>
        </w:rPr>
        <w:t xml:space="preserve">осуществлена поставка 4 автоклубов в Асиновский, Первомайский, Колпашевский и Томский районы;</w:t>
      </w:r>
      <w:r>
        <w:rPr>
          <w:rFonts w:ascii="PT Astra Serif" w:hAnsi="PT Astra Serif" w:eastAsia="Calibri"/>
          <w:sz w:val="24"/>
          <w:szCs w:val="24"/>
          <w:lang w:eastAsia="ru-RU"/>
        </w:rPr>
      </w:r>
      <w:r>
        <w:rPr>
          <w:rFonts w:ascii="PT Astra Serif" w:hAnsi="PT Astra Serif" w:eastAsia="Calibri"/>
          <w:sz w:val="24"/>
          <w:szCs w:val="24"/>
          <w:lang w:eastAsia="ru-RU"/>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lang w:eastAsia="ru-RU"/>
        </w:rPr>
      </w:pPr>
      <w:r>
        <w:rPr>
          <w:rFonts w:ascii="PT Astra Serif" w:hAnsi="PT Astra Serif" w:eastAsia="Calibri"/>
          <w:sz w:val="24"/>
          <w:szCs w:val="24"/>
          <w:lang w:eastAsia="ru-RU"/>
        </w:rPr>
        <w:t xml:space="preserve">проведен капитальный ремонт Нарымского сельского дома культуры в Парабельском районе; </w:t>
      </w:r>
      <w:r>
        <w:rPr>
          <w:rFonts w:ascii="PT Astra Serif" w:hAnsi="PT Astra Serif" w:eastAsia="Calibri"/>
          <w:sz w:val="24"/>
          <w:szCs w:val="24"/>
          <w:lang w:eastAsia="ru-RU"/>
        </w:rPr>
      </w:r>
      <w:r>
        <w:rPr>
          <w:rFonts w:ascii="PT Astra Serif" w:hAnsi="PT Astra Serif" w:eastAsia="Calibri"/>
          <w:sz w:val="24"/>
          <w:szCs w:val="24"/>
          <w:lang w:eastAsia="ru-RU"/>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lang w:eastAsia="ru-RU"/>
        </w:rPr>
      </w:pPr>
      <w:r>
        <w:rPr>
          <w:rFonts w:ascii="PT Astra Serif" w:hAnsi="PT Astra Serif" w:eastAsia="Calibri"/>
          <w:sz w:val="24"/>
          <w:szCs w:val="24"/>
          <w:lang w:eastAsia="ru-RU"/>
        </w:rPr>
        <w:t xml:space="preserve">проведен капитальный ремонт Первомайской детской школы искусств;</w:t>
      </w:r>
      <w:r>
        <w:rPr>
          <w:rFonts w:ascii="PT Astra Serif" w:hAnsi="PT Astra Serif" w:eastAsia="Calibri"/>
          <w:sz w:val="24"/>
          <w:szCs w:val="24"/>
          <w:lang w:eastAsia="ru-RU"/>
        </w:rPr>
      </w:r>
      <w:r>
        <w:rPr>
          <w:rFonts w:ascii="PT Astra Serif" w:hAnsi="PT Astra Serif" w:eastAsia="Calibri"/>
          <w:sz w:val="24"/>
          <w:szCs w:val="24"/>
          <w:lang w:eastAsia="ru-RU"/>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lang w:eastAsia="ru-RU"/>
        </w:rPr>
      </w:pPr>
      <w:r>
        <w:rPr>
          <w:rFonts w:ascii="PT Astra Serif" w:hAnsi="PT Astra Serif" w:eastAsia="Calibri"/>
          <w:sz w:val="24"/>
          <w:szCs w:val="24"/>
          <w:lang w:eastAsia="ru-RU"/>
        </w:rPr>
        <w:t xml:space="preserve">проведен капитальный ремонт музея в ЗАТО Северск (1</w:t>
      </w:r>
      <w:r>
        <w:rPr>
          <w:rFonts w:ascii="PT Astra Serif" w:hAnsi="PT Astra Serif" w:eastAsia="Calibri"/>
          <w:sz w:val="24"/>
          <w:szCs w:val="24"/>
          <w:lang w:eastAsia="ru-RU"/>
        </w:rPr>
        <w:t xml:space="preserve">-й</w:t>
      </w:r>
      <w:r>
        <w:rPr>
          <w:rFonts w:ascii="PT Astra Serif" w:hAnsi="PT Astra Serif" w:eastAsia="Calibri"/>
          <w:sz w:val="24"/>
          <w:szCs w:val="24"/>
          <w:lang w:eastAsia="ru-RU"/>
        </w:rPr>
        <w:t xml:space="preserve"> этап);</w:t>
      </w:r>
      <w:r>
        <w:rPr>
          <w:rFonts w:ascii="PT Astra Serif" w:hAnsi="PT Astra Serif" w:eastAsia="Calibri"/>
          <w:sz w:val="24"/>
          <w:szCs w:val="24"/>
          <w:lang w:eastAsia="ru-RU"/>
        </w:rPr>
      </w:r>
      <w:r>
        <w:rPr>
          <w:rFonts w:ascii="PT Astra Serif" w:hAnsi="PT Astra Serif" w:eastAsia="Calibri"/>
          <w:sz w:val="24"/>
          <w:szCs w:val="24"/>
          <w:lang w:eastAsia="ru-RU"/>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lang w:eastAsia="ru-RU"/>
        </w:rPr>
      </w:pPr>
      <w:r>
        <w:rPr>
          <w:rFonts w:ascii="PT Astra Serif" w:hAnsi="PT Astra Serif" w:eastAsia="Calibri"/>
          <w:sz w:val="24"/>
          <w:szCs w:val="24"/>
          <w:lang w:eastAsia="ru-RU"/>
        </w:rPr>
        <w:t xml:space="preserve">проведен капитальный ремонт </w:t>
      </w:r>
      <w:r>
        <w:rPr>
          <w:rFonts w:ascii="PT Astra Serif" w:hAnsi="PT Astra Serif" w:eastAsia="Calibri"/>
          <w:sz w:val="24"/>
          <w:szCs w:val="24"/>
        </w:rPr>
        <w:t xml:space="preserve">ОГАУК «Томский областной театр юного зрителя</w:t>
      </w:r>
      <w:r>
        <w:rPr>
          <w:rFonts w:ascii="PT Astra Serif" w:hAnsi="PT Astra Serif" w:eastAsia="Calibri"/>
          <w:sz w:val="24"/>
          <w:szCs w:val="24"/>
        </w:rPr>
        <w:t xml:space="preserve">»</w:t>
      </w:r>
      <w:r>
        <w:rPr>
          <w:rFonts w:ascii="PT Astra Serif" w:hAnsi="PT Astra Serif" w:eastAsia="Calibri"/>
          <w:sz w:val="24"/>
          <w:szCs w:val="24"/>
          <w:lang w:eastAsia="ru-RU"/>
        </w:rPr>
        <w:t xml:space="preserve">;</w:t>
      </w:r>
      <w:r>
        <w:rPr>
          <w:rFonts w:ascii="PT Astra Serif" w:hAnsi="PT Astra Serif" w:eastAsia="Calibri"/>
          <w:sz w:val="24"/>
          <w:szCs w:val="24"/>
          <w:lang w:eastAsia="ru-RU"/>
        </w:rPr>
      </w:r>
      <w:r>
        <w:rPr>
          <w:rFonts w:ascii="PT Astra Serif" w:hAnsi="PT Astra Serif" w:eastAsia="Calibri"/>
          <w:sz w:val="24"/>
          <w:szCs w:val="24"/>
          <w:lang w:eastAsia="ru-RU"/>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lang w:eastAsia="ru-RU"/>
        </w:rPr>
      </w:pPr>
      <w:r>
        <w:rPr>
          <w:rFonts w:ascii="PT Astra Serif" w:hAnsi="PT Astra Serif" w:eastAsia="Calibri"/>
          <w:sz w:val="24"/>
          <w:szCs w:val="24"/>
          <w:lang w:eastAsia="ru-RU"/>
        </w:rPr>
        <w:t xml:space="preserve">проведен капитальный ремонт ОГАУК «Томский областной театр куклы и актера «Скоморох» им. Романа Виндермана (1</w:t>
      </w:r>
      <w:r>
        <w:rPr>
          <w:rFonts w:ascii="PT Astra Serif" w:hAnsi="PT Astra Serif" w:eastAsia="Calibri"/>
          <w:sz w:val="24"/>
          <w:szCs w:val="24"/>
          <w:lang w:eastAsia="ru-RU"/>
        </w:rPr>
        <w:t xml:space="preserve">-й</w:t>
      </w:r>
      <w:r>
        <w:rPr>
          <w:rFonts w:ascii="PT Astra Serif" w:hAnsi="PT Astra Serif" w:eastAsia="Calibri"/>
          <w:sz w:val="24"/>
          <w:szCs w:val="24"/>
          <w:lang w:eastAsia="ru-RU"/>
        </w:rPr>
        <w:t xml:space="preserve"> этап, завершение работ в 2024 году). </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tabs>
          <w:tab w:val="left" w:pos="993" w:leader="none"/>
        </w:tabs>
        <w:rPr>
          <w:rFonts w:ascii="PT Astra Serif" w:hAnsi="PT Astra Serif" w:eastAsia="Times New Roman"/>
          <w:i/>
          <w:sz w:val="24"/>
          <w:szCs w:val="24"/>
          <w:lang w:eastAsia="ru-RU"/>
        </w:rPr>
      </w:pPr>
      <w:r>
        <w:rPr>
          <w:rFonts w:ascii="PT Astra Serif" w:hAnsi="PT Astra Serif" w:eastAsia="Times New Roman"/>
          <w:sz w:val="24"/>
          <w:szCs w:val="24"/>
          <w:lang w:eastAsia="ru-RU"/>
        </w:rPr>
        <w:t xml:space="preserve">В рамках</w:t>
      </w:r>
      <w:r>
        <w:rPr>
          <w:rFonts w:ascii="PT Astra Serif" w:hAnsi="PT Astra Serif" w:eastAsia="Times New Roman"/>
          <w:i/>
          <w:sz w:val="24"/>
          <w:szCs w:val="24"/>
          <w:lang w:eastAsia="ru-RU"/>
        </w:rPr>
        <w:t xml:space="preserve"> регионального проекта «Творческие люди»:</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numPr>
          <w:ilvl w:val="0"/>
          <w:numId w:val="23"/>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проведен ежегодный Губернаторский фестиваль народного творчества и фестиваль казачьей культуры «Братина» в Кривошеинском районе;</w:t>
      </w:r>
      <w:r>
        <w:rPr>
          <w:rFonts w:ascii="PT Astra Serif" w:hAnsi="PT Astra Serif" w:eastAsia="Calibri"/>
          <w:sz w:val="24"/>
          <w:szCs w:val="24"/>
        </w:rPr>
      </w:r>
      <w:r>
        <w:rPr>
          <w:rFonts w:ascii="PT Astra Serif" w:hAnsi="PT Astra Serif" w:eastAsia="Calibri"/>
          <w:sz w:val="24"/>
          <w:szCs w:val="24"/>
        </w:rPr>
      </w:r>
    </w:p>
    <w:p>
      <w:pPr>
        <w:numPr>
          <w:ilvl w:val="0"/>
          <w:numId w:val="23"/>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зарегистрировано 1383 волонтера культуры на сайте Добро.ру в рамках проекта «Волонтеры культуры»;</w:t>
      </w:r>
      <w:r>
        <w:rPr>
          <w:rFonts w:ascii="PT Astra Serif" w:hAnsi="PT Astra Serif" w:eastAsia="Calibri"/>
          <w:sz w:val="24"/>
          <w:szCs w:val="24"/>
        </w:rPr>
      </w:r>
      <w:r>
        <w:rPr>
          <w:rFonts w:ascii="PT Astra Serif" w:hAnsi="PT Astra Serif" w:eastAsia="Calibri"/>
          <w:sz w:val="24"/>
          <w:szCs w:val="24"/>
        </w:rPr>
      </w:r>
    </w:p>
    <w:p>
      <w:pPr>
        <w:numPr>
          <w:ilvl w:val="0"/>
          <w:numId w:val="23"/>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прошли обучение 283 специалиста отрасли культуры на базе центров непрерывного образования, сформированных</w:t>
      </w:r>
      <w:r>
        <w:rPr>
          <w:rFonts w:ascii="PT Astra Serif" w:hAnsi="PT Astra Serif" w:eastAsia="Calibri"/>
          <w:sz w:val="24"/>
          <w:szCs w:val="24"/>
        </w:rPr>
        <w:t xml:space="preserve"> Минкультуры России (план – 283 </w:t>
      </w:r>
      <w:r>
        <w:rPr>
          <w:rFonts w:ascii="PT Astra Serif" w:hAnsi="PT Astra Serif" w:eastAsia="Calibri"/>
          <w:sz w:val="24"/>
          <w:szCs w:val="24"/>
        </w:rPr>
        <w:t xml:space="preserve">специалиста);</w:t>
      </w:r>
      <w:r>
        <w:rPr>
          <w:rFonts w:ascii="PT Astra Serif" w:hAnsi="PT Astra Serif" w:eastAsia="Calibri"/>
          <w:sz w:val="24"/>
          <w:szCs w:val="24"/>
        </w:rPr>
      </w:r>
      <w:r>
        <w:rPr>
          <w:rFonts w:ascii="PT Astra Serif" w:hAnsi="PT Astra Serif" w:eastAsia="Calibri"/>
          <w:sz w:val="24"/>
          <w:szCs w:val="24"/>
        </w:rPr>
      </w:r>
    </w:p>
    <w:p>
      <w:pPr>
        <w:numPr>
          <w:ilvl w:val="0"/>
          <w:numId w:val="23"/>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награждены 8 лучших работников сельских учреждений культуры и 8 лучших сельских учреждений культуры Томской области.</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993" w:leader="none"/>
        </w:tabs>
        <w:rPr>
          <w:rFonts w:ascii="PT Astra Serif" w:hAnsi="PT Astra Serif" w:eastAsia="Times New Roman"/>
          <w:i/>
          <w:sz w:val="24"/>
          <w:szCs w:val="24"/>
          <w:lang w:eastAsia="ru-RU"/>
        </w:rPr>
      </w:pPr>
      <w:r>
        <w:rPr>
          <w:rFonts w:ascii="PT Astra Serif" w:hAnsi="PT Astra Serif" w:eastAsia="Times New Roman"/>
          <w:sz w:val="24"/>
          <w:szCs w:val="24"/>
          <w:lang w:eastAsia="ru-RU"/>
        </w:rPr>
        <w:t xml:space="preserve">В рамках</w:t>
      </w:r>
      <w:r>
        <w:rPr>
          <w:rFonts w:ascii="PT Astra Serif" w:hAnsi="PT Astra Serif" w:eastAsia="Times New Roman"/>
          <w:i/>
          <w:sz w:val="24"/>
          <w:szCs w:val="24"/>
          <w:lang w:eastAsia="ru-RU"/>
        </w:rPr>
        <w:t xml:space="preserve"> регионального проекта «Цифровая культура»:</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numPr>
          <w:ilvl w:val="0"/>
          <w:numId w:val="30"/>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проведено 35 онлайн-трансляций мероприятий</w:t>
      </w:r>
      <w:r>
        <w:rPr>
          <w:rFonts w:ascii="PT Astra Serif" w:hAnsi="PT Astra Serif" w:eastAsia="Times New Roman"/>
          <w:sz w:val="24"/>
          <w:szCs w:val="24"/>
          <w:lang w:eastAsia="ru-RU"/>
        </w:rPr>
        <w:t xml:space="preserve"> Томской областной государственной филармонией</w:t>
      </w:r>
      <w:r>
        <w:rPr>
          <w:rFonts w:ascii="PT Astra Serif" w:hAnsi="PT Astra Serif" w:eastAsia="Calibri"/>
          <w:sz w:val="24"/>
          <w:szCs w:val="24"/>
        </w:rPr>
        <w:t xml:space="preserve">, размещаемых на портале «Культура РФ».</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284" w:leader="none"/>
          <w:tab w:val="left" w:pos="426" w:leader="none"/>
        </w:tabs>
        <w:rPr>
          <w:rFonts w:ascii="PT Astra Serif" w:hAnsi="PT Astra Serif" w:eastAsia="Times New Roman"/>
          <w:b/>
          <w:sz w:val="24"/>
          <w:szCs w:val="24"/>
          <w:lang w:eastAsia="ru-RU"/>
        </w:rPr>
      </w:pPr>
      <w:r>
        <w:rPr>
          <w:rFonts w:ascii="PT Astra Serif" w:hAnsi="PT Astra Serif" w:eastAsia="Times New Roman"/>
          <w:b/>
          <w:sz w:val="24"/>
          <w:szCs w:val="24"/>
          <w:lang w:eastAsia="ru-RU"/>
        </w:rPr>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ind w:firstLine="709"/>
        <w:jc w:val="both"/>
        <w:spacing w:after="0" w:line="240" w:lineRule="auto"/>
        <w:tabs>
          <w:tab w:val="left" w:pos="284" w:leader="none"/>
          <w:tab w:val="left" w:pos="426" w:leader="none"/>
        </w:tabs>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Перспективные задачи на 2024 год:</w:t>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ind w:firstLine="709"/>
        <w:jc w:val="both"/>
        <w:spacing w:after="0" w:line="240" w:lineRule="auto"/>
        <w:tabs>
          <w:tab w:val="left" w:pos="284" w:leader="none"/>
          <w:tab w:val="left" w:pos="426" w:leader="none"/>
        </w:tabs>
        <w:rPr>
          <w:rFonts w:ascii="PT Astra Serif" w:hAnsi="PT Astra Serif" w:eastAsia="Times New Roman"/>
          <w:i/>
          <w:sz w:val="24"/>
          <w:szCs w:val="24"/>
          <w:lang w:eastAsia="ru-RU"/>
        </w:rPr>
      </w:pPr>
      <w:r>
        <w:rPr>
          <w:rFonts w:ascii="PT Astra Serif" w:hAnsi="PT Astra Serif" w:eastAsia="Times New Roman"/>
          <w:i/>
          <w:sz w:val="24"/>
          <w:szCs w:val="24"/>
          <w:lang w:eastAsia="ru-RU"/>
        </w:rPr>
        <w:t xml:space="preserve">Региональный проект «Культурная среда»:</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pStyle w:val="1152"/>
        <w:numPr>
          <w:ilvl w:val="0"/>
          <w:numId w:val="53"/>
        </w:numPr>
        <w:ind w:left="0" w:firstLine="709"/>
        <w:jc w:val="both"/>
        <w:spacing w:after="0" w:line="240" w:lineRule="auto"/>
        <w:tabs>
          <w:tab w:val="left" w:pos="284" w:leader="none"/>
          <w:tab w:val="left" w:pos="851" w:leader="none"/>
          <w:tab w:val="left" w:pos="993" w:leader="none"/>
        </w:tabs>
        <w:rPr>
          <w:rFonts w:ascii="PT Astra Serif" w:hAnsi="PT Astra Serif"/>
          <w:bCs/>
          <w:sz w:val="24"/>
          <w:szCs w:val="24"/>
        </w:rPr>
      </w:pPr>
      <w:r>
        <w:rPr>
          <w:rFonts w:ascii="PT Astra Serif" w:hAnsi="PT Astra Serif"/>
          <w:bCs/>
          <w:sz w:val="24"/>
          <w:szCs w:val="24"/>
        </w:rPr>
        <w:t xml:space="preserve">Завершение работ по капитальному ремонту Асиновской и Самусьской детских школ искусств.</w:t>
      </w:r>
      <w:r>
        <w:rPr>
          <w:rFonts w:ascii="PT Astra Serif" w:hAnsi="PT Astra Serif"/>
          <w:bCs/>
          <w:sz w:val="24"/>
          <w:szCs w:val="24"/>
        </w:rPr>
      </w:r>
      <w:r>
        <w:rPr>
          <w:rFonts w:ascii="PT Astra Serif" w:hAnsi="PT Astra Serif"/>
          <w:bCs/>
          <w:sz w:val="24"/>
          <w:szCs w:val="24"/>
        </w:rPr>
      </w:r>
    </w:p>
    <w:p>
      <w:pPr>
        <w:pStyle w:val="1152"/>
        <w:numPr>
          <w:ilvl w:val="0"/>
          <w:numId w:val="53"/>
        </w:numPr>
        <w:ind w:left="0" w:firstLine="709"/>
        <w:jc w:val="both"/>
        <w:spacing w:after="0" w:line="240" w:lineRule="auto"/>
        <w:tabs>
          <w:tab w:val="left" w:pos="284" w:leader="none"/>
          <w:tab w:val="left" w:pos="851" w:leader="none"/>
          <w:tab w:val="left" w:pos="993" w:leader="none"/>
        </w:tabs>
        <w:rPr>
          <w:rFonts w:ascii="PT Astra Serif" w:hAnsi="PT Astra Serif"/>
          <w:bCs/>
          <w:sz w:val="24"/>
          <w:szCs w:val="24"/>
        </w:rPr>
      </w:pPr>
      <w:r>
        <w:rPr>
          <w:rFonts w:ascii="PT Astra Serif" w:hAnsi="PT Astra Serif"/>
          <w:bCs/>
          <w:sz w:val="24"/>
          <w:szCs w:val="24"/>
        </w:rPr>
        <w:t xml:space="preserve">Завершение работ по модернизации</w:t>
      </w:r>
      <w:r>
        <w:rPr>
          <w:rFonts w:ascii="PT Astra Serif" w:hAnsi="PT Astra Serif"/>
          <w:sz w:val="24"/>
          <w:szCs w:val="24"/>
        </w:rPr>
        <w:t xml:space="preserve"> ОГАУК «Томский областной театр куклы и актера «Скоморох».</w:t>
      </w:r>
      <w:r>
        <w:rPr>
          <w:rFonts w:ascii="PT Astra Serif" w:hAnsi="PT Astra Serif"/>
          <w:bCs/>
          <w:sz w:val="24"/>
          <w:szCs w:val="24"/>
        </w:rPr>
      </w:r>
      <w:r>
        <w:rPr>
          <w:rFonts w:ascii="PT Astra Serif" w:hAnsi="PT Astra Serif"/>
          <w:bCs/>
          <w:sz w:val="24"/>
          <w:szCs w:val="24"/>
        </w:rPr>
      </w:r>
    </w:p>
    <w:p>
      <w:pPr>
        <w:pStyle w:val="1152"/>
        <w:numPr>
          <w:ilvl w:val="0"/>
          <w:numId w:val="53"/>
        </w:numPr>
        <w:ind w:left="0" w:firstLine="709"/>
        <w:jc w:val="both"/>
        <w:spacing w:after="0" w:line="240" w:lineRule="auto"/>
        <w:tabs>
          <w:tab w:val="left" w:pos="284" w:leader="none"/>
          <w:tab w:val="left" w:pos="851" w:leader="none"/>
          <w:tab w:val="left" w:pos="993" w:leader="none"/>
        </w:tabs>
        <w:rPr>
          <w:rFonts w:ascii="PT Astra Serif" w:hAnsi="PT Astra Serif"/>
          <w:bCs/>
          <w:sz w:val="24"/>
          <w:szCs w:val="24"/>
        </w:rPr>
      </w:pPr>
      <w:r>
        <w:rPr>
          <w:rFonts w:ascii="PT Astra Serif" w:hAnsi="PT Astra Serif"/>
          <w:bCs/>
          <w:sz w:val="24"/>
          <w:szCs w:val="24"/>
        </w:rPr>
        <w:t xml:space="preserve">Завершение работ по оснащению ОГАУК «Театр драмы».</w:t>
      </w:r>
      <w:r>
        <w:rPr>
          <w:rFonts w:ascii="PT Astra Serif" w:hAnsi="PT Astra Serif"/>
          <w:bCs/>
          <w:sz w:val="24"/>
          <w:szCs w:val="24"/>
        </w:rPr>
      </w:r>
      <w:r>
        <w:rPr>
          <w:rFonts w:ascii="PT Astra Serif" w:hAnsi="PT Astra Serif"/>
          <w:bCs/>
          <w:sz w:val="24"/>
          <w:szCs w:val="24"/>
        </w:rPr>
      </w:r>
    </w:p>
    <w:p>
      <w:pPr>
        <w:pStyle w:val="1152"/>
        <w:numPr>
          <w:ilvl w:val="0"/>
          <w:numId w:val="53"/>
        </w:numPr>
        <w:ind w:left="0" w:firstLine="709"/>
        <w:jc w:val="both"/>
        <w:spacing w:after="0" w:line="240" w:lineRule="auto"/>
        <w:tabs>
          <w:tab w:val="left" w:pos="284" w:leader="none"/>
          <w:tab w:val="left" w:pos="851" w:leader="none"/>
          <w:tab w:val="left" w:pos="993" w:leader="none"/>
        </w:tabs>
        <w:rPr>
          <w:rFonts w:ascii="PT Astra Serif" w:hAnsi="PT Astra Serif"/>
          <w:sz w:val="24"/>
          <w:szCs w:val="24"/>
        </w:rPr>
      </w:pPr>
      <w:r>
        <w:rPr>
          <w:rFonts w:ascii="PT Astra Serif" w:hAnsi="PT Astra Serif"/>
          <w:sz w:val="24"/>
          <w:szCs w:val="24"/>
        </w:rPr>
        <w:t xml:space="preserve">Проведение капитального ремонта культурно-спортивного центра «Радость» пос. Мирный Томского района.</w:t>
      </w:r>
      <w:r>
        <w:rPr>
          <w:rFonts w:ascii="PT Astra Serif" w:hAnsi="PT Astra Serif"/>
          <w:sz w:val="24"/>
          <w:szCs w:val="24"/>
        </w:rPr>
      </w:r>
      <w:r>
        <w:rPr>
          <w:rFonts w:ascii="PT Astra Serif" w:hAnsi="PT Astra Serif"/>
          <w:sz w:val="24"/>
          <w:szCs w:val="24"/>
        </w:rPr>
      </w:r>
    </w:p>
    <w:p>
      <w:pPr>
        <w:pStyle w:val="1152"/>
        <w:numPr>
          <w:ilvl w:val="0"/>
          <w:numId w:val="53"/>
        </w:numPr>
        <w:ind w:left="0" w:firstLine="709"/>
        <w:jc w:val="both"/>
        <w:spacing w:after="0" w:line="240" w:lineRule="auto"/>
        <w:tabs>
          <w:tab w:val="left" w:pos="284" w:leader="none"/>
          <w:tab w:val="left" w:pos="851" w:leader="none"/>
          <w:tab w:val="left" w:pos="993" w:leader="none"/>
        </w:tabs>
        <w:rPr>
          <w:rFonts w:ascii="PT Astra Serif" w:hAnsi="PT Astra Serif"/>
          <w:sz w:val="24"/>
          <w:szCs w:val="24"/>
        </w:rPr>
      </w:pPr>
      <w:r>
        <w:rPr>
          <w:rFonts w:ascii="PT Astra Serif" w:hAnsi="PT Astra Serif"/>
          <w:sz w:val="24"/>
          <w:szCs w:val="24"/>
        </w:rPr>
        <w:t xml:space="preserve">Создание 7 муниципальных модельных библиотек.</w:t>
      </w:r>
      <w:r>
        <w:rPr>
          <w:rFonts w:ascii="PT Astra Serif" w:hAnsi="PT Astra Serif"/>
          <w:sz w:val="24"/>
          <w:szCs w:val="24"/>
        </w:rPr>
      </w:r>
      <w:r>
        <w:rPr>
          <w:rFonts w:ascii="PT Astra Serif" w:hAnsi="PT Astra Serif"/>
          <w:sz w:val="24"/>
          <w:szCs w:val="24"/>
        </w:rPr>
      </w:r>
    </w:p>
    <w:p>
      <w:pPr>
        <w:pStyle w:val="1152"/>
        <w:numPr>
          <w:ilvl w:val="0"/>
          <w:numId w:val="53"/>
        </w:numPr>
        <w:ind w:left="0" w:firstLine="709"/>
        <w:jc w:val="both"/>
        <w:spacing w:after="0" w:line="240" w:lineRule="auto"/>
        <w:tabs>
          <w:tab w:val="left" w:pos="284" w:leader="none"/>
          <w:tab w:val="left" w:pos="851" w:leader="none"/>
          <w:tab w:val="left" w:pos="993" w:leader="none"/>
        </w:tabs>
        <w:rPr>
          <w:rFonts w:ascii="PT Astra Serif" w:hAnsi="PT Astra Serif"/>
          <w:sz w:val="24"/>
          <w:szCs w:val="24"/>
        </w:rPr>
      </w:pPr>
      <w:r>
        <w:rPr>
          <w:rFonts w:ascii="PT Astra Serif" w:hAnsi="PT Astra Serif"/>
          <w:sz w:val="24"/>
          <w:szCs w:val="24"/>
        </w:rPr>
        <w:t xml:space="preserve">Проведение капитального ремонта музея в ЗАТО Северск (2</w:t>
      </w:r>
      <w:r>
        <w:rPr>
          <w:rFonts w:ascii="PT Astra Serif" w:hAnsi="PT Astra Serif"/>
          <w:sz w:val="24"/>
          <w:szCs w:val="24"/>
        </w:rPr>
        <w:t xml:space="preserve">-й</w:t>
      </w:r>
      <w:r>
        <w:rPr>
          <w:rFonts w:ascii="PT Astra Serif" w:hAnsi="PT Astra Serif"/>
          <w:sz w:val="24"/>
          <w:szCs w:val="24"/>
        </w:rPr>
        <w:t xml:space="preserve"> этап). </w:t>
      </w:r>
      <w:r>
        <w:rPr>
          <w:rFonts w:ascii="PT Astra Serif" w:hAnsi="PT Astra Serif"/>
          <w:sz w:val="24"/>
          <w:szCs w:val="24"/>
        </w:rPr>
      </w:r>
      <w:r>
        <w:rPr>
          <w:rFonts w:ascii="PT Astra Serif" w:hAnsi="PT Astra Serif"/>
          <w:sz w:val="24"/>
          <w:szCs w:val="24"/>
        </w:rPr>
      </w:r>
    </w:p>
    <w:p>
      <w:pPr>
        <w:pStyle w:val="1152"/>
        <w:numPr>
          <w:ilvl w:val="0"/>
          <w:numId w:val="53"/>
        </w:numPr>
        <w:ind w:left="0" w:firstLine="709"/>
        <w:jc w:val="both"/>
        <w:spacing w:after="0" w:line="240" w:lineRule="auto"/>
        <w:tabs>
          <w:tab w:val="left" w:pos="284" w:leader="none"/>
          <w:tab w:val="left" w:pos="851" w:leader="none"/>
          <w:tab w:val="left" w:pos="993" w:leader="none"/>
        </w:tabs>
        <w:rPr>
          <w:rFonts w:ascii="PT Astra Serif" w:hAnsi="PT Astra Serif"/>
          <w:sz w:val="24"/>
          <w:szCs w:val="24"/>
        </w:rPr>
      </w:pPr>
      <w:r>
        <w:rPr>
          <w:rFonts w:ascii="PT Astra Serif" w:hAnsi="PT Astra Serif"/>
          <w:sz w:val="24"/>
          <w:szCs w:val="24"/>
        </w:rPr>
        <w:t xml:space="preserve">Проведение капитального ремонта ОГАУК «Театр драмы».</w:t>
      </w:r>
      <w:r>
        <w:rPr>
          <w:rFonts w:ascii="PT Astra Serif" w:hAnsi="PT Astra Serif"/>
          <w:sz w:val="24"/>
          <w:szCs w:val="24"/>
        </w:rPr>
      </w:r>
      <w:r>
        <w:rPr>
          <w:rFonts w:ascii="PT Astra Serif" w:hAnsi="PT Astra Serif"/>
          <w:sz w:val="24"/>
          <w:szCs w:val="24"/>
        </w:rPr>
      </w:r>
    </w:p>
    <w:p>
      <w:pPr>
        <w:pStyle w:val="1152"/>
        <w:numPr>
          <w:ilvl w:val="0"/>
          <w:numId w:val="53"/>
        </w:numPr>
        <w:ind w:left="0" w:firstLine="709"/>
        <w:jc w:val="both"/>
        <w:spacing w:after="0" w:line="240" w:lineRule="auto"/>
        <w:tabs>
          <w:tab w:val="left" w:pos="284" w:leader="none"/>
          <w:tab w:val="left" w:pos="851" w:leader="none"/>
          <w:tab w:val="left" w:pos="993" w:leader="none"/>
        </w:tabs>
        <w:rPr>
          <w:rFonts w:ascii="PT Astra Serif" w:hAnsi="PT Astra Serif"/>
          <w:sz w:val="24"/>
          <w:szCs w:val="24"/>
        </w:rPr>
      </w:pPr>
      <w:r>
        <w:rPr>
          <w:rFonts w:ascii="PT Astra Serif" w:hAnsi="PT Astra Serif"/>
          <w:sz w:val="24"/>
          <w:szCs w:val="24"/>
        </w:rPr>
        <w:t xml:space="preserve">Оснащение 4-х детских школ искусств музыкальными инструментами, оборудованием и учебными материалами.</w:t>
      </w:r>
      <w:r>
        <w:rPr>
          <w:rFonts w:ascii="PT Astra Serif" w:hAnsi="PT Astra Serif"/>
          <w:sz w:val="24"/>
          <w:szCs w:val="24"/>
        </w:rPr>
      </w:r>
      <w:r>
        <w:rPr>
          <w:rFonts w:ascii="PT Astra Serif" w:hAnsi="PT Astra Serif"/>
          <w:sz w:val="24"/>
          <w:szCs w:val="24"/>
        </w:rPr>
      </w:r>
    </w:p>
    <w:p>
      <w:pPr>
        <w:pStyle w:val="1152"/>
        <w:numPr>
          <w:ilvl w:val="0"/>
          <w:numId w:val="53"/>
        </w:numPr>
        <w:ind w:left="0" w:firstLine="709"/>
        <w:jc w:val="both"/>
        <w:spacing w:after="0" w:line="240" w:lineRule="auto"/>
        <w:tabs>
          <w:tab w:val="left" w:pos="284" w:leader="none"/>
          <w:tab w:val="left" w:pos="851" w:leader="none"/>
          <w:tab w:val="left" w:pos="993" w:leader="none"/>
        </w:tabs>
        <w:rPr>
          <w:rFonts w:ascii="PT Astra Serif" w:hAnsi="PT Astra Serif"/>
          <w:sz w:val="24"/>
          <w:szCs w:val="24"/>
        </w:rPr>
      </w:pPr>
      <w:r>
        <w:rPr>
          <w:rFonts w:ascii="PT Astra Serif" w:hAnsi="PT Astra Serif"/>
          <w:sz w:val="24"/>
          <w:szCs w:val="24"/>
        </w:rPr>
        <w:t xml:space="preserve">Оснащение МБУ «Музей г. Северска», МКУК «Краеведческий музей Шегарского района» музейным оборудованием.</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284" w:leader="none"/>
          <w:tab w:val="left" w:pos="426" w:leader="none"/>
        </w:tabs>
        <w:rPr>
          <w:rFonts w:ascii="PT Astra Serif" w:hAnsi="PT Astra Serif" w:eastAsia="Times New Roman"/>
          <w:i/>
          <w:sz w:val="24"/>
          <w:szCs w:val="24"/>
          <w:lang w:eastAsia="ru-RU"/>
        </w:rPr>
      </w:pPr>
      <w:r>
        <w:rPr>
          <w:rFonts w:ascii="PT Astra Serif" w:hAnsi="PT Astra Serif" w:eastAsia="Times New Roman"/>
          <w:i/>
          <w:sz w:val="24"/>
          <w:szCs w:val="24"/>
          <w:lang w:eastAsia="ru-RU"/>
        </w:rPr>
        <w:t xml:space="preserve">Региональный проект «Творческие люди»:</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numPr>
          <w:ilvl w:val="0"/>
          <w:numId w:val="22"/>
        </w:numPr>
        <w:ind w:left="0" w:firstLine="709"/>
        <w:jc w:val="both"/>
        <w:spacing w:after="0" w:line="240" w:lineRule="auto"/>
        <w:tabs>
          <w:tab w:val="left" w:pos="284" w:leader="none"/>
          <w:tab w:val="left" w:pos="993" w:leader="none"/>
        </w:tabs>
        <w:rPr>
          <w:rFonts w:ascii="PT Astra Serif" w:hAnsi="PT Astra Serif" w:eastAsia="Times New Roman"/>
          <w:sz w:val="24"/>
          <w:szCs w:val="24"/>
          <w:lang w:eastAsia="ru-RU"/>
        </w:rPr>
      </w:pPr>
      <w:r>
        <w:rPr>
          <w:rFonts w:ascii="PT Astra Serif" w:hAnsi="PT Astra Serif" w:eastAsia="Calibri"/>
          <w:sz w:val="24"/>
          <w:szCs w:val="24"/>
        </w:rPr>
        <w:t xml:space="preserve">Проведение Х</w:t>
      </w:r>
      <w:r>
        <w:rPr>
          <w:rFonts w:ascii="PT Astra Serif" w:hAnsi="PT Astra Serif" w:eastAsia="Calibri"/>
          <w:sz w:val="24"/>
          <w:szCs w:val="24"/>
          <w:lang w:val="en-US"/>
        </w:rPr>
        <w:t xml:space="preserve">I</w:t>
      </w:r>
      <w:r>
        <w:rPr>
          <w:rFonts w:ascii="PT Astra Serif" w:hAnsi="PT Astra Serif" w:eastAsia="Calibri"/>
          <w:sz w:val="24"/>
          <w:szCs w:val="24"/>
          <w:lang w:val="en-US"/>
        </w:rPr>
        <w:t xml:space="preserve">I</w:t>
      </w:r>
      <w:r>
        <w:rPr>
          <w:rFonts w:ascii="PT Astra Serif" w:hAnsi="PT Astra Serif" w:eastAsia="Calibri"/>
          <w:sz w:val="24"/>
          <w:szCs w:val="24"/>
        </w:rPr>
        <w:t xml:space="preserve"> Губернаторского фестиваля народного творчества с вручением премий и фестиваля казачьей культуры «Братина» в Кривошеинском районе.</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numPr>
          <w:ilvl w:val="0"/>
          <w:numId w:val="22"/>
        </w:numPr>
        <w:ind w:left="0" w:firstLine="709"/>
        <w:jc w:val="both"/>
        <w:spacing w:after="0" w:line="240" w:lineRule="auto"/>
        <w:tabs>
          <w:tab w:val="left" w:pos="284" w:leader="none"/>
          <w:tab w:val="left" w:pos="993" w:leader="none"/>
        </w:tabs>
        <w:rPr>
          <w:rFonts w:ascii="PT Astra Serif" w:hAnsi="PT Astra Serif" w:eastAsia="Calibri"/>
          <w:sz w:val="24"/>
          <w:szCs w:val="24"/>
        </w:rPr>
      </w:pPr>
      <w:r>
        <w:rPr>
          <w:rFonts w:ascii="PT Astra Serif" w:hAnsi="PT Astra Serif" w:eastAsia="Calibri"/>
          <w:sz w:val="24"/>
          <w:szCs w:val="24"/>
        </w:rPr>
        <w:t xml:space="preserve">Пр</w:t>
      </w:r>
      <w:r>
        <w:rPr>
          <w:rFonts w:ascii="PT Astra Serif" w:hAnsi="PT Astra Serif" w:eastAsia="Calibri"/>
          <w:sz w:val="24"/>
          <w:szCs w:val="24"/>
        </w:rPr>
        <w:t xml:space="preserve">охождение обучения 283 работников</w:t>
      </w:r>
      <w:r>
        <w:rPr>
          <w:rFonts w:ascii="PT Astra Serif" w:hAnsi="PT Astra Serif" w:eastAsia="Calibri"/>
          <w:sz w:val="24"/>
          <w:szCs w:val="24"/>
        </w:rPr>
        <w:t xml:space="preserve"> отрасли культуры на базе центров непрерывного образования, сформированных Минкультуры России.</w:t>
      </w:r>
      <w:r>
        <w:rPr>
          <w:rFonts w:ascii="PT Astra Serif" w:hAnsi="PT Astra Serif" w:eastAsia="Calibri"/>
          <w:sz w:val="24"/>
          <w:szCs w:val="24"/>
        </w:rPr>
      </w:r>
      <w:r>
        <w:rPr>
          <w:rFonts w:ascii="PT Astra Serif" w:hAnsi="PT Astra Serif" w:eastAsia="Calibri"/>
          <w:sz w:val="24"/>
          <w:szCs w:val="24"/>
        </w:rPr>
      </w:r>
    </w:p>
    <w:p>
      <w:pPr>
        <w:numPr>
          <w:ilvl w:val="0"/>
          <w:numId w:val="22"/>
        </w:numPr>
        <w:contextualSpacing/>
        <w:ind w:left="0" w:firstLine="709"/>
        <w:jc w:val="both"/>
        <w:spacing w:after="0" w:line="240" w:lineRule="auto"/>
        <w:tabs>
          <w:tab w:val="left" w:pos="284" w:leader="none"/>
          <w:tab w:val="left" w:pos="993" w:leader="none"/>
        </w:tabs>
        <w:rPr>
          <w:rFonts w:ascii="PT Astra Serif" w:hAnsi="PT Astra Serif" w:eastAsia="Calibri"/>
          <w:sz w:val="24"/>
          <w:szCs w:val="24"/>
        </w:rPr>
      </w:pPr>
      <w:r>
        <w:rPr>
          <w:rFonts w:ascii="PT Astra Serif" w:hAnsi="PT Astra Serif" w:eastAsia="Calibri"/>
          <w:sz w:val="24"/>
          <w:szCs w:val="24"/>
        </w:rPr>
        <w:t xml:space="preserve">Участие 313 волонтеров из Томской области в мероприятиях в рамках проекта «Волонтеры культуры».</w:t>
      </w:r>
      <w:r>
        <w:rPr>
          <w:rFonts w:ascii="PT Astra Serif" w:hAnsi="PT Astra Serif" w:eastAsia="Calibri"/>
          <w:sz w:val="24"/>
          <w:szCs w:val="24"/>
        </w:rPr>
      </w:r>
      <w:r>
        <w:rPr>
          <w:rFonts w:ascii="PT Astra Serif" w:hAnsi="PT Astra Serif" w:eastAsia="Calibri"/>
          <w:sz w:val="24"/>
          <w:szCs w:val="24"/>
        </w:rPr>
      </w:r>
    </w:p>
    <w:p>
      <w:pPr>
        <w:numPr>
          <w:ilvl w:val="0"/>
          <w:numId w:val="22"/>
        </w:numPr>
        <w:contextualSpacing/>
        <w:ind w:left="0" w:firstLine="709"/>
        <w:jc w:val="both"/>
        <w:spacing w:after="0" w:line="240" w:lineRule="auto"/>
        <w:tabs>
          <w:tab w:val="left" w:pos="284" w:leader="none"/>
          <w:tab w:val="left" w:pos="993" w:leader="none"/>
        </w:tabs>
        <w:rPr>
          <w:rFonts w:ascii="PT Astra Serif" w:hAnsi="PT Astra Serif" w:eastAsia="Calibri"/>
          <w:sz w:val="24"/>
          <w:szCs w:val="24"/>
        </w:rPr>
      </w:pPr>
      <w:r>
        <w:rPr>
          <w:rFonts w:ascii="PT Astra Serif" w:hAnsi="PT Astra Serif"/>
          <w:sz w:val="24"/>
          <w:szCs w:val="24"/>
        </w:rPr>
        <w:t xml:space="preserve">Н</w:t>
      </w:r>
      <w:r>
        <w:rPr>
          <w:rFonts w:ascii="PT Astra Serif" w:hAnsi="PT Astra Serif" w:eastAsia="Calibri"/>
          <w:sz w:val="24"/>
          <w:szCs w:val="24"/>
        </w:rPr>
        <w:t xml:space="preserve">аграждение 10 лучших работников сельских учреждений культуры и 8 лучших сельских учреждений культуры Томской области.</w:t>
      </w:r>
      <w:r>
        <w:rPr>
          <w:rFonts w:ascii="PT Astra Serif" w:hAnsi="PT Astra Serif" w:eastAsia="Calibri"/>
          <w:sz w:val="24"/>
          <w:szCs w:val="24"/>
        </w:rPr>
      </w:r>
      <w:r>
        <w:rPr>
          <w:rFonts w:ascii="PT Astra Serif" w:hAnsi="PT Astra Serif" w:eastAsia="Calibri"/>
          <w:sz w:val="24"/>
          <w:szCs w:val="24"/>
        </w:rPr>
      </w:r>
    </w:p>
    <w:p>
      <w:pPr>
        <w:contextualSpacing/>
        <w:ind w:firstLine="709"/>
        <w:spacing w:after="0" w:line="240" w:lineRule="auto"/>
        <w:tabs>
          <w:tab w:val="left" w:pos="284" w:leader="none"/>
          <w:tab w:val="left" w:pos="851" w:leader="none"/>
        </w:tabs>
        <w:rPr>
          <w:rFonts w:ascii="PT Astra Serif" w:hAnsi="PT Astra Serif" w:eastAsia="Calibri"/>
          <w:i/>
          <w:sz w:val="24"/>
          <w:szCs w:val="24"/>
        </w:rPr>
      </w:pPr>
      <w:r>
        <w:rPr>
          <w:rFonts w:ascii="PT Astra Serif" w:hAnsi="PT Astra Serif" w:eastAsia="Times New Roman"/>
          <w:i/>
          <w:sz w:val="24"/>
          <w:szCs w:val="24"/>
          <w:lang w:eastAsia="ru-RU"/>
        </w:rPr>
        <w:t xml:space="preserve">Региональный проект «Цифровая культура»:</w:t>
      </w:r>
      <w:r>
        <w:rPr>
          <w:rFonts w:ascii="PT Astra Serif" w:hAnsi="PT Astra Serif" w:eastAsia="Calibri"/>
          <w:i/>
          <w:sz w:val="24"/>
          <w:szCs w:val="24"/>
        </w:rPr>
      </w:r>
      <w:r>
        <w:rPr>
          <w:rFonts w:ascii="PT Astra Serif" w:hAnsi="PT Astra Serif" w:eastAsia="Calibri"/>
          <w:i/>
          <w:sz w:val="24"/>
          <w:szCs w:val="24"/>
        </w:rPr>
      </w:r>
    </w:p>
    <w:p>
      <w:pPr>
        <w:pStyle w:val="1152"/>
        <w:numPr>
          <w:ilvl w:val="3"/>
          <w:numId w:val="22"/>
        </w:numPr>
        <w:ind w:left="0" w:firstLine="709"/>
        <w:jc w:val="both"/>
        <w:spacing w:after="0" w:line="240" w:lineRule="auto"/>
        <w:tabs>
          <w:tab w:val="left" w:pos="284" w:leader="none"/>
          <w:tab w:val="left" w:pos="851" w:leader="none"/>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Продолжение работы по проведению онлайн-трансляций мероприятий, размещаемых на портале «Культура РФ».</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spacing w:after="0" w:line="240" w:lineRule="auto"/>
        <w:rPr>
          <w:rFonts w:ascii="PT Astra Serif" w:hAnsi="PT Astra Serif"/>
          <w:b/>
          <w:sz w:val="24"/>
          <w:szCs w:val="24"/>
        </w:rPr>
      </w:pPr>
      <w:r>
        <w:rPr>
          <w:rFonts w:ascii="PT Astra Serif" w:hAnsi="PT Astra Serif"/>
          <w:b/>
          <w:sz w:val="24"/>
          <w:szCs w:val="24"/>
        </w:rPr>
        <w:t xml:space="preserve">Национальный проект «Малое и среднее предпринимательство и поддержка индивидуальной предпринимательской инициативы»</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sz w:val="24"/>
          <w:szCs w:val="24"/>
        </w:rPr>
        <w:t xml:space="preserve">На достижение цели национального проекта в Томской области в 2023 году были направлены 3 региональных проекта</w:t>
      </w:r>
      <w:r>
        <w:rPr>
          <w:rFonts w:ascii="PT Astra Serif" w:hAnsi="PT Astra Serif" w:eastAsia="Times New Roman"/>
          <w:sz w:val="24"/>
          <w:szCs w:val="24"/>
          <w:lang w:eastAsia="ru-RU"/>
        </w:rPr>
        <w:t xml:space="preserve">. </w:t>
      </w:r>
      <w:r>
        <w:rPr>
          <w:rFonts w:ascii="PT Astra Serif" w:hAnsi="PT Astra Serif"/>
          <w:sz w:val="24"/>
          <w:szCs w:val="24"/>
        </w:rPr>
        <w:t xml:space="preserve">Фактический объем фин</w:t>
      </w:r>
      <w:r>
        <w:rPr>
          <w:rFonts w:ascii="PT Astra Serif" w:hAnsi="PT Astra Serif"/>
          <w:sz w:val="24"/>
          <w:szCs w:val="24"/>
        </w:rPr>
        <w:t xml:space="preserve">ансирования составил 153,7  млн</w:t>
      </w:r>
      <w:r>
        <w:rPr>
          <w:rFonts w:ascii="PT Astra Serif" w:hAnsi="PT Astra Serif"/>
          <w:sz w:val="24"/>
          <w:szCs w:val="24"/>
        </w:rPr>
        <w:t xml:space="preserve"> рублей.</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b/>
          <w:sz w:val="24"/>
          <w:szCs w:val="24"/>
        </w:rPr>
      </w:pPr>
      <w:r>
        <w:rPr>
          <w:rFonts w:ascii="PT Astra Serif" w:hAnsi="PT Astra Serif"/>
          <w:b/>
          <w:sz w:val="24"/>
          <w:szCs w:val="24"/>
        </w:rPr>
        <w:t xml:space="preserve">Итоги 2023 года:</w:t>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993" w:leader="none"/>
        </w:tabs>
        <w:rPr>
          <w:rFonts w:ascii="PT Astra Serif" w:hAnsi="PT Astra Serif" w:eastAsia="Times New Roman"/>
          <w:i/>
          <w:sz w:val="24"/>
          <w:szCs w:val="24"/>
          <w:lang w:eastAsia="ru-RU"/>
        </w:rPr>
      </w:pPr>
      <w:r>
        <w:rPr>
          <w:rFonts w:ascii="PT Astra Serif" w:hAnsi="PT Astra Serif" w:eastAsia="Times New Roman"/>
          <w:sz w:val="24"/>
          <w:szCs w:val="24"/>
          <w:lang w:eastAsia="ru-RU"/>
        </w:rPr>
        <w:t xml:space="preserve">В рамках</w:t>
      </w:r>
      <w:r>
        <w:rPr>
          <w:rFonts w:ascii="PT Astra Serif" w:hAnsi="PT Astra Serif" w:eastAsia="Times New Roman"/>
          <w:i/>
          <w:sz w:val="24"/>
          <w:szCs w:val="24"/>
          <w:lang w:eastAsia="ru-RU"/>
        </w:rPr>
        <w:t xml:space="preserve"> регионального проекта «Создание условий для легкого старта и комфортного ведения бизнеса»:</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890 физических лиц, заинтересованных в начале осуществления предпринимательской деятельности, получили государственную поддержку;</w:t>
      </w:r>
      <w:r>
        <w:rPr>
          <w:rFonts w:ascii="PT Astra Serif" w:hAnsi="PT Astra Serif" w:eastAsia="Calibri"/>
          <w:sz w:val="24"/>
          <w:szCs w:val="24"/>
        </w:rPr>
      </w:r>
      <w:r>
        <w:rPr>
          <w:rFonts w:ascii="PT Astra Serif" w:hAnsi="PT Astra Serif" w:eastAsia="Calibri"/>
          <w:sz w:val="24"/>
          <w:szCs w:val="24"/>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2726 человек, желающих вести бизнес, начинающих и действующих предпринимателей, получили услуги, направленные на вовлечение в предпринимательскую деятельность;</w:t>
      </w:r>
      <w:r>
        <w:rPr>
          <w:rFonts w:ascii="PT Astra Serif" w:hAnsi="PT Astra Serif" w:eastAsia="Calibri"/>
          <w:sz w:val="24"/>
          <w:szCs w:val="24"/>
        </w:rPr>
      </w:r>
      <w:r>
        <w:rPr>
          <w:rFonts w:ascii="PT Astra Serif" w:hAnsi="PT Astra Serif" w:eastAsia="Calibri"/>
          <w:sz w:val="24"/>
          <w:szCs w:val="24"/>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создано 138 субъектов малого и среднего предпринимательства физическими лицами, получившими государственную поддержку;</w:t>
      </w:r>
      <w:r>
        <w:rPr>
          <w:rFonts w:ascii="PT Astra Serif" w:hAnsi="PT Astra Serif" w:eastAsia="Calibri"/>
          <w:sz w:val="24"/>
          <w:szCs w:val="24"/>
        </w:rPr>
      </w:r>
      <w:r>
        <w:rPr>
          <w:rFonts w:ascii="PT Astra Serif" w:hAnsi="PT Astra Serif" w:eastAsia="Calibri"/>
          <w:sz w:val="24"/>
          <w:szCs w:val="24"/>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21 социальн</w:t>
      </w:r>
      <w:r>
        <w:rPr>
          <w:rFonts w:ascii="PT Astra Serif" w:hAnsi="PT Astra Serif" w:eastAsia="Calibri"/>
          <w:sz w:val="24"/>
          <w:szCs w:val="24"/>
        </w:rPr>
        <w:t xml:space="preserve">о</w:t>
      </w:r>
      <w:r>
        <w:rPr>
          <w:rFonts w:ascii="PT Astra Serif" w:hAnsi="PT Astra Serif" w:eastAsia="Calibri"/>
          <w:sz w:val="24"/>
          <w:szCs w:val="24"/>
        </w:rPr>
        <w:t xml:space="preserve">м</w:t>
      </w:r>
      <w:r>
        <w:rPr>
          <w:rFonts w:ascii="PT Astra Serif" w:hAnsi="PT Astra Serif" w:eastAsia="Calibri"/>
          <w:sz w:val="24"/>
          <w:szCs w:val="24"/>
        </w:rPr>
        <w:t xml:space="preserve">у</w:t>
      </w:r>
      <w:r>
        <w:rPr>
          <w:rFonts w:ascii="PT Astra Serif" w:hAnsi="PT Astra Serif" w:eastAsia="Calibri"/>
          <w:sz w:val="24"/>
          <w:szCs w:val="24"/>
        </w:rPr>
        <w:t xml:space="preserve"> предпринимател</w:t>
      </w:r>
      <w:r>
        <w:rPr>
          <w:rFonts w:ascii="PT Astra Serif" w:hAnsi="PT Astra Serif" w:eastAsia="Calibri"/>
          <w:sz w:val="24"/>
          <w:szCs w:val="24"/>
        </w:rPr>
        <w:t xml:space="preserve">ю</w:t>
      </w:r>
      <w:r>
        <w:rPr>
          <w:rFonts w:ascii="PT Astra Serif" w:hAnsi="PT Astra Serif" w:eastAsia="Calibri"/>
          <w:sz w:val="24"/>
          <w:szCs w:val="24"/>
        </w:rPr>
        <w:t xml:space="preserve"> и 9 молодым предпринимателям до 25 лет оказана поддержка в виде грантов на сумму 14,1 млн рублей;</w:t>
      </w:r>
      <w:r>
        <w:rPr>
          <w:rFonts w:ascii="PT Astra Serif" w:hAnsi="PT Astra Serif" w:eastAsia="Calibri"/>
          <w:sz w:val="24"/>
          <w:szCs w:val="24"/>
        </w:rPr>
      </w:r>
      <w:r>
        <w:rPr>
          <w:rFonts w:ascii="PT Astra Serif" w:hAnsi="PT Astra Serif" w:eastAsia="Calibri"/>
          <w:sz w:val="24"/>
          <w:szCs w:val="24"/>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начинающим субъектам МСП предоставлено 4 поручительства, что обеспечило объем финансов</w:t>
      </w:r>
      <w:r>
        <w:rPr>
          <w:rFonts w:ascii="PT Astra Serif" w:hAnsi="PT Astra Serif" w:eastAsia="Calibri"/>
          <w:sz w:val="24"/>
          <w:szCs w:val="24"/>
        </w:rPr>
        <w:t xml:space="preserve">ой поддержки в размере 65,1 млн</w:t>
      </w:r>
      <w:r>
        <w:rPr>
          <w:rFonts w:ascii="PT Astra Serif" w:hAnsi="PT Astra Serif" w:eastAsia="Calibri"/>
          <w:sz w:val="24"/>
          <w:szCs w:val="24"/>
        </w:rPr>
        <w:t xml:space="preserve"> рублей;</w:t>
      </w:r>
      <w:r>
        <w:rPr>
          <w:rFonts w:ascii="PT Astra Serif" w:hAnsi="PT Astra Serif" w:eastAsia="Calibri"/>
          <w:sz w:val="24"/>
          <w:szCs w:val="24"/>
        </w:rPr>
      </w:r>
      <w:r>
        <w:rPr>
          <w:rFonts w:ascii="PT Astra Serif" w:hAnsi="PT Astra Serif" w:eastAsia="Calibri"/>
          <w:sz w:val="24"/>
          <w:szCs w:val="24"/>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39 начинающим предпринимателям предоставлены льготные микрозаймы государственными микрофинансовыми организациями Томской области на общую сумму 27,86 млн рублей;</w:t>
      </w:r>
      <w:r>
        <w:rPr>
          <w:rFonts w:ascii="PT Astra Serif" w:hAnsi="PT Astra Serif" w:eastAsia="Calibri"/>
          <w:sz w:val="24"/>
          <w:szCs w:val="24"/>
        </w:rPr>
      </w:r>
      <w:r>
        <w:rPr>
          <w:rFonts w:ascii="PT Astra Serif" w:hAnsi="PT Astra Serif" w:eastAsia="Calibri"/>
          <w:sz w:val="24"/>
          <w:szCs w:val="24"/>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6 начинающим предпринимателям предоставлены в пользование на правах аренды производственные и офисные помещения в бизнес-инкубаторах;</w:t>
      </w:r>
      <w:r>
        <w:rPr>
          <w:rFonts w:ascii="PT Astra Serif" w:hAnsi="PT Astra Serif" w:eastAsia="Calibri"/>
          <w:sz w:val="24"/>
          <w:szCs w:val="24"/>
        </w:rPr>
      </w:r>
      <w:r>
        <w:rPr>
          <w:rFonts w:ascii="PT Astra Serif" w:hAnsi="PT Astra Serif" w:eastAsia="Calibri"/>
          <w:sz w:val="24"/>
          <w:szCs w:val="24"/>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около 90 начинающих предпринимателей приняли участи в обучающих программах и семинарах;</w:t>
      </w:r>
      <w:r>
        <w:rPr>
          <w:rFonts w:ascii="PT Astra Serif" w:hAnsi="PT Astra Serif" w:eastAsia="Calibri"/>
          <w:sz w:val="24"/>
          <w:szCs w:val="24"/>
        </w:rPr>
      </w:r>
      <w:r>
        <w:rPr>
          <w:rFonts w:ascii="PT Astra Serif" w:hAnsi="PT Astra Serif" w:eastAsia="Calibri"/>
          <w:sz w:val="24"/>
          <w:szCs w:val="24"/>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более 150 предпринимателей приняли участие в Форуме ко Дню российского предпринимательства и форуме «Мой бизнес – 2023» (г.</w:t>
      </w:r>
      <w:r>
        <w:rPr>
          <w:rFonts w:ascii="PT Astra Serif" w:hAnsi="PT Astra Serif" w:eastAsia="Calibri"/>
          <w:sz w:val="24"/>
          <w:szCs w:val="24"/>
        </w:rPr>
        <w:t xml:space="preserve"> </w:t>
      </w:r>
      <w:r>
        <w:rPr>
          <w:rFonts w:ascii="PT Astra Serif" w:hAnsi="PT Astra Serif" w:eastAsia="Calibri"/>
          <w:sz w:val="24"/>
          <w:szCs w:val="24"/>
        </w:rPr>
        <w:t xml:space="preserve">Стрежевой);</w:t>
      </w:r>
      <w:r>
        <w:rPr>
          <w:rFonts w:ascii="PT Astra Serif" w:hAnsi="PT Astra Serif" w:eastAsia="Calibri"/>
          <w:sz w:val="24"/>
          <w:szCs w:val="24"/>
        </w:rPr>
      </w:r>
      <w:r>
        <w:rPr>
          <w:rFonts w:ascii="PT Astra Serif" w:hAnsi="PT Astra Serif" w:eastAsia="Calibri"/>
          <w:sz w:val="24"/>
          <w:szCs w:val="24"/>
        </w:rPr>
      </w:r>
    </w:p>
    <w:p>
      <w:pPr>
        <w:numPr>
          <w:ilvl w:val="0"/>
          <w:numId w:val="24"/>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15 субъектов МСП приняли участие в российских выставках.</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993" w:leader="none"/>
        </w:tabs>
        <w:rPr>
          <w:rFonts w:ascii="PT Astra Serif" w:hAnsi="PT Astra Serif" w:eastAsia="Times New Roman"/>
          <w:i/>
          <w:sz w:val="24"/>
          <w:szCs w:val="24"/>
          <w:lang w:eastAsia="ru-RU"/>
        </w:rPr>
      </w:pPr>
      <w:r>
        <w:rPr>
          <w:rFonts w:ascii="PT Astra Serif" w:hAnsi="PT Astra Serif" w:eastAsia="Times New Roman"/>
          <w:sz w:val="24"/>
          <w:szCs w:val="24"/>
          <w:lang w:eastAsia="ru-RU"/>
        </w:rPr>
        <w:t xml:space="preserve">В рамках</w:t>
      </w:r>
      <w:r>
        <w:rPr>
          <w:rFonts w:ascii="PT Astra Serif" w:hAnsi="PT Astra Serif" w:eastAsia="Times New Roman"/>
          <w:i/>
          <w:sz w:val="24"/>
          <w:szCs w:val="24"/>
          <w:lang w:eastAsia="ru-RU"/>
        </w:rPr>
        <w:t xml:space="preserve"> регионального проекта «Создание благоприятных условий для осуществления деятельности самозанятыми гражданами»:</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numPr>
          <w:ilvl w:val="0"/>
          <w:numId w:val="23"/>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409 самозанятых граждан получили государственную поддержку;</w:t>
      </w:r>
      <w:r>
        <w:rPr>
          <w:rFonts w:ascii="PT Astra Serif" w:hAnsi="PT Astra Serif" w:eastAsia="Calibri"/>
          <w:sz w:val="24"/>
          <w:szCs w:val="24"/>
        </w:rPr>
      </w:r>
      <w:r>
        <w:rPr>
          <w:rFonts w:ascii="PT Astra Serif" w:hAnsi="PT Astra Serif" w:eastAsia="Calibri"/>
          <w:sz w:val="24"/>
          <w:szCs w:val="24"/>
        </w:rPr>
      </w:r>
    </w:p>
    <w:p>
      <w:pPr>
        <w:numPr>
          <w:ilvl w:val="0"/>
          <w:numId w:val="23"/>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295 самозанятых граждан получили услуги, в том числе прошли программы обучения;</w:t>
      </w:r>
      <w:r>
        <w:rPr>
          <w:rFonts w:ascii="PT Astra Serif" w:hAnsi="PT Astra Serif" w:eastAsia="Calibri"/>
          <w:sz w:val="24"/>
          <w:szCs w:val="24"/>
        </w:rPr>
      </w:r>
      <w:r>
        <w:rPr>
          <w:rFonts w:ascii="PT Astra Serif" w:hAnsi="PT Astra Serif" w:eastAsia="Calibri"/>
          <w:sz w:val="24"/>
          <w:szCs w:val="24"/>
        </w:rPr>
      </w:r>
    </w:p>
    <w:p>
      <w:pPr>
        <w:numPr>
          <w:ilvl w:val="0"/>
          <w:numId w:val="23"/>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16 льготных микроза</w:t>
      </w:r>
      <w:r>
        <w:rPr>
          <w:rFonts w:ascii="PT Astra Serif" w:hAnsi="PT Astra Serif" w:eastAsia="Calibri"/>
          <w:sz w:val="24"/>
          <w:szCs w:val="24"/>
        </w:rPr>
        <w:t xml:space="preserve">ймов на общую сумму более 6 млн</w:t>
      </w:r>
      <w:r>
        <w:rPr>
          <w:rFonts w:ascii="PT Astra Serif" w:hAnsi="PT Astra Serif" w:eastAsia="Calibri"/>
          <w:sz w:val="24"/>
          <w:szCs w:val="24"/>
        </w:rPr>
        <w:t xml:space="preserve"> рублей предоставлено самозанятым гражданам микрофинансовыми организациями Томской области;</w:t>
      </w:r>
      <w:r>
        <w:rPr>
          <w:rFonts w:ascii="PT Astra Serif" w:hAnsi="PT Astra Serif" w:eastAsia="Calibri"/>
          <w:sz w:val="24"/>
          <w:szCs w:val="24"/>
        </w:rPr>
      </w:r>
      <w:r>
        <w:rPr>
          <w:rFonts w:ascii="PT Astra Serif" w:hAnsi="PT Astra Serif" w:eastAsia="Calibri"/>
          <w:sz w:val="24"/>
          <w:szCs w:val="24"/>
        </w:rPr>
      </w:r>
    </w:p>
    <w:p>
      <w:pPr>
        <w:numPr>
          <w:ilvl w:val="0"/>
          <w:numId w:val="23"/>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более 210 самозанятых граждан из 10 муниципальных образований Томской области приняли участие в 15 мастер-классах;</w:t>
      </w:r>
      <w:r>
        <w:rPr>
          <w:rFonts w:ascii="PT Astra Serif" w:hAnsi="PT Astra Serif" w:eastAsia="Calibri"/>
          <w:sz w:val="24"/>
          <w:szCs w:val="24"/>
        </w:rPr>
      </w:r>
      <w:r>
        <w:rPr>
          <w:rFonts w:ascii="PT Astra Serif" w:hAnsi="PT Astra Serif" w:eastAsia="Calibri"/>
          <w:sz w:val="24"/>
          <w:szCs w:val="24"/>
        </w:rPr>
      </w:r>
    </w:p>
    <w:p>
      <w:pPr>
        <w:numPr>
          <w:ilvl w:val="0"/>
          <w:numId w:val="23"/>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более 50 самозанятых граждан приняли участи в форуме «Мой бизнес – 2023»;</w:t>
      </w:r>
      <w:r>
        <w:rPr>
          <w:rFonts w:ascii="PT Astra Serif" w:hAnsi="PT Astra Serif" w:eastAsia="Calibri"/>
          <w:sz w:val="24"/>
          <w:szCs w:val="24"/>
        </w:rPr>
      </w:r>
      <w:r>
        <w:rPr>
          <w:rFonts w:ascii="PT Astra Serif" w:hAnsi="PT Astra Serif" w:eastAsia="Calibri"/>
          <w:sz w:val="24"/>
          <w:szCs w:val="24"/>
        </w:rPr>
      </w:r>
    </w:p>
    <w:p>
      <w:pPr>
        <w:numPr>
          <w:ilvl w:val="0"/>
          <w:numId w:val="23"/>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более 60 самозанятых граждан приняли участие в фестивалях для физических лиц, применяющих специальный налоговый режим «Налог на профессиональный доход»;</w:t>
      </w:r>
      <w:r>
        <w:rPr>
          <w:rFonts w:ascii="PT Astra Serif" w:hAnsi="PT Astra Serif" w:eastAsia="Calibri"/>
          <w:sz w:val="24"/>
          <w:szCs w:val="24"/>
        </w:rPr>
      </w:r>
      <w:r>
        <w:rPr>
          <w:rFonts w:ascii="PT Astra Serif" w:hAnsi="PT Astra Serif" w:eastAsia="Calibri"/>
          <w:sz w:val="24"/>
          <w:szCs w:val="24"/>
        </w:rPr>
      </w:r>
    </w:p>
    <w:p>
      <w:pPr>
        <w:numPr>
          <w:ilvl w:val="0"/>
          <w:numId w:val="23"/>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более 20 самозанятых граждан прошли индивидуальное обучение, направленное на повышение профессиональных компетенций в сфере их деятельности;</w:t>
      </w:r>
      <w:r>
        <w:rPr>
          <w:rFonts w:ascii="PT Astra Serif" w:hAnsi="PT Astra Serif" w:eastAsia="Calibri"/>
          <w:sz w:val="24"/>
          <w:szCs w:val="24"/>
        </w:rPr>
      </w:r>
      <w:r>
        <w:rPr>
          <w:rFonts w:ascii="PT Astra Serif" w:hAnsi="PT Astra Serif" w:eastAsia="Calibri"/>
          <w:sz w:val="24"/>
          <w:szCs w:val="24"/>
        </w:rPr>
      </w:r>
    </w:p>
    <w:p>
      <w:pPr>
        <w:numPr>
          <w:ilvl w:val="0"/>
          <w:numId w:val="23"/>
        </w:numPr>
        <w:contextualSpacing/>
        <w:ind w:left="0" w:firstLine="709"/>
        <w:jc w:val="both"/>
        <w:spacing w:after="0" w:line="240" w:lineRule="auto"/>
        <w:tabs>
          <w:tab w:val="left" w:pos="993" w:leader="none"/>
        </w:tabs>
        <w:rPr>
          <w:rFonts w:ascii="PT Astra Serif" w:hAnsi="PT Astra Serif" w:eastAsia="Calibri"/>
          <w:sz w:val="24"/>
          <w:szCs w:val="24"/>
        </w:rPr>
      </w:pPr>
      <w:r>
        <w:rPr>
          <w:rFonts w:ascii="PT Astra Serif" w:hAnsi="PT Astra Serif" w:eastAsia="Calibri"/>
          <w:sz w:val="24"/>
          <w:szCs w:val="24"/>
        </w:rPr>
        <w:t xml:space="preserve">более 20 самозанятым гражданам оказано содействие в размещении на электронных торговых площадках. </w:t>
      </w:r>
      <w:r>
        <w:rPr>
          <w:rFonts w:ascii="PT Astra Serif" w:hAnsi="PT Astra Serif" w:eastAsia="Calibri"/>
          <w:sz w:val="24"/>
          <w:szCs w:val="24"/>
        </w:rPr>
      </w:r>
      <w:r>
        <w:rPr>
          <w:rFonts w:ascii="PT Astra Serif" w:hAnsi="PT Astra Serif" w:eastAsia="Calibri"/>
          <w:sz w:val="24"/>
          <w:szCs w:val="24"/>
        </w:rPr>
      </w:r>
    </w:p>
    <w:p>
      <w:pPr>
        <w:contextualSpacing/>
        <w:ind w:firstLine="709"/>
        <w:jc w:val="both"/>
        <w:spacing w:after="0" w:line="240" w:lineRule="auto"/>
        <w:tabs>
          <w:tab w:val="left" w:pos="851" w:leader="none"/>
          <w:tab w:val="left" w:pos="993" w:leader="none"/>
        </w:tabs>
        <w:rPr>
          <w:rFonts w:ascii="PT Astra Serif" w:hAnsi="PT Astra Serif" w:eastAsia="Calibri"/>
          <w:sz w:val="24"/>
          <w:szCs w:val="24"/>
        </w:rPr>
      </w:pPr>
      <w:r>
        <w:rPr>
          <w:rFonts w:ascii="PT Astra Serif" w:hAnsi="PT Astra Serif" w:eastAsia="Times New Roman"/>
          <w:sz w:val="24"/>
          <w:szCs w:val="24"/>
          <w:lang w:eastAsia="ru-RU"/>
        </w:rPr>
        <w:t xml:space="preserve">В рамках</w:t>
      </w:r>
      <w:r>
        <w:rPr>
          <w:rFonts w:ascii="PT Astra Serif" w:hAnsi="PT Astra Serif" w:eastAsia="Times New Roman"/>
          <w:i/>
          <w:sz w:val="24"/>
          <w:szCs w:val="24"/>
          <w:lang w:eastAsia="ru-RU"/>
        </w:rPr>
        <w:t xml:space="preserve"> регионального проекта «Акселерация субъектов малого и среднего предпринимательства»:</w:t>
      </w:r>
      <w:r>
        <w:rPr>
          <w:rFonts w:ascii="PT Astra Serif" w:hAnsi="PT Astra Serif" w:eastAsia="Calibri"/>
          <w:sz w:val="24"/>
          <w:szCs w:val="24"/>
        </w:rPr>
      </w:r>
      <w:r>
        <w:rPr>
          <w:rFonts w:ascii="PT Astra Serif" w:hAnsi="PT Astra Serif" w:eastAsia="Calibri"/>
          <w:sz w:val="24"/>
          <w:szCs w:val="24"/>
        </w:rPr>
      </w:r>
    </w:p>
    <w:p>
      <w:pPr>
        <w:numPr>
          <w:ilvl w:val="0"/>
          <w:numId w:val="23"/>
        </w:numPr>
        <w:contextualSpacing/>
        <w:ind w:left="0" w:firstLine="709"/>
        <w:jc w:val="both"/>
        <w:spacing w:after="0" w:line="240" w:lineRule="auto"/>
        <w:tabs>
          <w:tab w:val="left" w:pos="709" w:leader="none"/>
          <w:tab w:val="left" w:pos="993" w:leader="none"/>
        </w:tabs>
        <w:rPr>
          <w:rFonts w:ascii="PT Astra Serif" w:hAnsi="PT Astra Serif"/>
          <w:bCs/>
          <w:sz w:val="24"/>
          <w:szCs w:val="24"/>
        </w:rPr>
      </w:pPr>
      <w:r>
        <w:rPr>
          <w:rFonts w:ascii="PT Astra Serif" w:hAnsi="PT Astra Serif"/>
          <w:bCs/>
          <w:sz w:val="24"/>
          <w:szCs w:val="24"/>
        </w:rPr>
        <w:t xml:space="preserve">613 комплексных услуг по 30 направлениям деятельности оказано субъектам МСП организациями инфраструктуры поддержки предпринимательства Томской области;</w:t>
      </w:r>
      <w:r>
        <w:rPr>
          <w:rFonts w:ascii="PT Astra Serif" w:hAnsi="PT Astra Serif"/>
          <w:bCs/>
          <w:sz w:val="24"/>
          <w:szCs w:val="24"/>
        </w:rPr>
      </w:r>
      <w:r>
        <w:rPr>
          <w:rFonts w:ascii="PT Astra Serif" w:hAnsi="PT Astra Serif"/>
          <w:bCs/>
          <w:sz w:val="24"/>
          <w:szCs w:val="24"/>
        </w:rPr>
      </w:r>
    </w:p>
    <w:p>
      <w:pPr>
        <w:numPr>
          <w:ilvl w:val="0"/>
          <w:numId w:val="23"/>
        </w:numPr>
        <w:contextualSpacing/>
        <w:ind w:left="0" w:firstLine="709"/>
        <w:jc w:val="both"/>
        <w:spacing w:after="0" w:line="240" w:lineRule="auto"/>
        <w:tabs>
          <w:tab w:val="left" w:pos="709" w:leader="none"/>
          <w:tab w:val="left" w:pos="993" w:leader="none"/>
        </w:tabs>
        <w:rPr>
          <w:rFonts w:ascii="PT Astra Serif" w:hAnsi="PT Astra Serif"/>
          <w:bCs/>
          <w:sz w:val="24"/>
          <w:szCs w:val="24"/>
        </w:rPr>
      </w:pPr>
      <w:r>
        <w:rPr>
          <w:rFonts w:ascii="PT Astra Serif" w:hAnsi="PT Astra Serif"/>
          <w:bCs/>
          <w:sz w:val="24"/>
          <w:szCs w:val="24"/>
        </w:rPr>
        <w:t xml:space="preserve">586 действующих договоров микрозаймов, заключенных микрокредитными компаниями Томской области с субъектами МСП и самозанятыми гражданами;</w:t>
      </w:r>
      <w:r>
        <w:rPr>
          <w:rFonts w:ascii="PT Astra Serif" w:hAnsi="PT Astra Serif"/>
          <w:bCs/>
          <w:sz w:val="24"/>
          <w:szCs w:val="24"/>
        </w:rPr>
      </w:r>
      <w:r>
        <w:rPr>
          <w:rFonts w:ascii="PT Astra Serif" w:hAnsi="PT Astra Serif"/>
          <w:bCs/>
          <w:sz w:val="24"/>
          <w:szCs w:val="24"/>
        </w:rPr>
      </w:r>
    </w:p>
    <w:p>
      <w:pPr>
        <w:numPr>
          <w:ilvl w:val="0"/>
          <w:numId w:val="23"/>
        </w:numPr>
        <w:contextualSpacing/>
        <w:ind w:left="0" w:firstLine="709"/>
        <w:jc w:val="both"/>
        <w:spacing w:after="0" w:line="240" w:lineRule="auto"/>
        <w:tabs>
          <w:tab w:val="left" w:pos="709" w:leader="none"/>
          <w:tab w:val="left" w:pos="993" w:leader="none"/>
        </w:tabs>
        <w:rPr>
          <w:rFonts w:ascii="PT Astra Serif" w:hAnsi="PT Astra Serif"/>
          <w:bCs/>
          <w:sz w:val="24"/>
          <w:szCs w:val="24"/>
        </w:rPr>
      </w:pPr>
      <w:r>
        <w:rPr>
          <w:rFonts w:ascii="PT Astra Serif" w:hAnsi="PT Astra Serif"/>
          <w:bCs/>
          <w:sz w:val="24"/>
          <w:szCs w:val="24"/>
        </w:rPr>
        <w:t xml:space="preserve">113 поручительств ООО «Гарантийный фонд Томской области» предоставлено субъектам МСП, что обеспечило объем финансовой поддержки в сумме </w:t>
      </w:r>
      <w:r>
        <w:rPr>
          <w:rFonts w:ascii="PT Astra Serif" w:hAnsi="PT Astra Serif"/>
          <w:bCs/>
          <w:sz w:val="24"/>
          <w:szCs w:val="24"/>
        </w:rPr>
        <w:t xml:space="preserve">2 413,7</w:t>
      </w:r>
      <w:r>
        <w:rPr>
          <w:rFonts w:ascii="PT Astra Serif" w:hAnsi="PT Astra Serif"/>
          <w:bCs/>
          <w:sz w:val="24"/>
          <w:szCs w:val="24"/>
        </w:rPr>
        <w:t xml:space="preserve"> </w:t>
      </w:r>
      <w:r>
        <w:rPr>
          <w:rFonts w:ascii="PT Astra Serif" w:hAnsi="PT Astra Serif"/>
          <w:bCs/>
          <w:sz w:val="24"/>
          <w:szCs w:val="24"/>
        </w:rPr>
        <w:t xml:space="preserve">млн</w:t>
      </w:r>
      <w:r>
        <w:rPr>
          <w:rFonts w:ascii="PT Astra Serif" w:hAnsi="PT Astra Serif"/>
          <w:bCs/>
          <w:sz w:val="24"/>
          <w:szCs w:val="24"/>
        </w:rPr>
        <w:t xml:space="preserve"> </w:t>
      </w:r>
      <w:r>
        <w:rPr>
          <w:rFonts w:ascii="PT Astra Serif" w:hAnsi="PT Astra Serif"/>
          <w:bCs/>
          <w:sz w:val="24"/>
          <w:szCs w:val="24"/>
        </w:rPr>
        <w:t xml:space="preserve">рублей;</w:t>
      </w:r>
      <w:r>
        <w:rPr>
          <w:rFonts w:ascii="PT Astra Serif" w:hAnsi="PT Astra Serif"/>
          <w:bCs/>
          <w:sz w:val="24"/>
          <w:szCs w:val="24"/>
        </w:rPr>
      </w:r>
      <w:r>
        <w:rPr>
          <w:rFonts w:ascii="PT Astra Serif" w:hAnsi="PT Astra Serif"/>
          <w:bCs/>
          <w:sz w:val="24"/>
          <w:szCs w:val="24"/>
        </w:rPr>
      </w:r>
    </w:p>
    <w:p>
      <w:pPr>
        <w:numPr>
          <w:ilvl w:val="0"/>
          <w:numId w:val="23"/>
        </w:numPr>
        <w:contextualSpacing/>
        <w:ind w:left="0" w:firstLine="709"/>
        <w:jc w:val="both"/>
        <w:spacing w:after="0" w:line="240" w:lineRule="auto"/>
        <w:tabs>
          <w:tab w:val="left" w:pos="709" w:leader="none"/>
          <w:tab w:val="left" w:pos="993" w:leader="none"/>
        </w:tabs>
        <w:rPr>
          <w:rFonts w:ascii="PT Astra Serif" w:hAnsi="PT Astra Serif"/>
          <w:bCs/>
          <w:sz w:val="24"/>
          <w:szCs w:val="24"/>
        </w:rPr>
      </w:pPr>
      <w:r>
        <w:rPr>
          <w:rFonts w:ascii="PT Astra Serif" w:hAnsi="PT Astra Serif"/>
          <w:bCs/>
          <w:sz w:val="24"/>
          <w:szCs w:val="24"/>
        </w:rPr>
        <w:t xml:space="preserve">16 субъектов МСП </w:t>
      </w:r>
      <w:r>
        <w:rPr>
          <w:rFonts w:ascii="PT Astra Serif" w:hAnsi="PT Astra Serif" w:eastAsia="Calibri"/>
          <w:sz w:val="24"/>
          <w:szCs w:val="24"/>
        </w:rPr>
        <w:t xml:space="preserve">–</w:t>
      </w:r>
      <w:r>
        <w:rPr>
          <w:rFonts w:ascii="PT Astra Serif" w:hAnsi="PT Astra Serif"/>
          <w:bCs/>
          <w:sz w:val="24"/>
          <w:szCs w:val="24"/>
        </w:rPr>
        <w:t xml:space="preserve"> экспортеров заключили экспортные контракты при поддержке Центра поддержки экспорта Томской области. Ежегодный объем экспорта субъектов МСП, получивших поддержку Центра поддержки экспорта Томской области, составил 6,6</w:t>
      </w:r>
      <w:r>
        <w:rPr>
          <w:rFonts w:ascii="PT Astra Serif" w:hAnsi="PT Astra Serif"/>
          <w:bCs/>
          <w:sz w:val="24"/>
          <w:szCs w:val="24"/>
        </w:rPr>
        <w:t xml:space="preserve"> мл</w:t>
      </w:r>
      <w:r>
        <w:rPr>
          <w:rFonts w:ascii="PT Astra Serif" w:hAnsi="PT Astra Serif"/>
          <w:bCs/>
          <w:sz w:val="24"/>
          <w:szCs w:val="24"/>
        </w:rPr>
        <w:t xml:space="preserve">. долларов США.</w:t>
      </w:r>
      <w:r>
        <w:rPr>
          <w:rFonts w:ascii="PT Astra Serif" w:hAnsi="PT Astra Serif"/>
          <w:bCs/>
          <w:sz w:val="24"/>
          <w:szCs w:val="24"/>
        </w:rPr>
      </w:r>
      <w:r>
        <w:rPr>
          <w:rFonts w:ascii="PT Astra Serif" w:hAnsi="PT Astra Serif"/>
          <w:bCs/>
          <w:sz w:val="24"/>
          <w:szCs w:val="24"/>
        </w:rPr>
      </w:r>
    </w:p>
    <w:p>
      <w:pPr>
        <w:contextualSpacing/>
        <w:ind w:left="709"/>
        <w:jc w:val="both"/>
        <w:spacing w:after="0" w:line="240" w:lineRule="auto"/>
        <w:tabs>
          <w:tab w:val="left" w:pos="709" w:leader="none"/>
          <w:tab w:val="left" w:pos="993" w:leader="none"/>
        </w:tabs>
        <w:rPr>
          <w:rFonts w:ascii="PT Astra Serif" w:hAnsi="PT Astra Serif" w:eastAsia="Calibri"/>
          <w:strike/>
          <w:sz w:val="24"/>
          <w:szCs w:val="24"/>
        </w:rPr>
      </w:pPr>
      <w:r>
        <w:rPr>
          <w:rFonts w:ascii="PT Astra Serif" w:hAnsi="PT Astra Serif" w:eastAsia="Calibri"/>
          <w:strike/>
          <w:sz w:val="24"/>
          <w:szCs w:val="24"/>
        </w:rPr>
      </w:r>
      <w:r>
        <w:rPr>
          <w:rFonts w:ascii="PT Astra Serif" w:hAnsi="PT Astra Serif" w:eastAsia="Calibri"/>
          <w:strike/>
          <w:sz w:val="24"/>
          <w:szCs w:val="24"/>
        </w:rPr>
      </w:r>
      <w:r>
        <w:rPr>
          <w:rFonts w:ascii="PT Astra Serif" w:hAnsi="PT Astra Serif" w:eastAsia="Calibri"/>
          <w:strike/>
          <w:sz w:val="24"/>
          <w:szCs w:val="24"/>
        </w:rPr>
      </w:r>
    </w:p>
    <w:p>
      <w:pPr>
        <w:ind w:firstLine="709"/>
        <w:jc w:val="both"/>
        <w:spacing w:after="0" w:line="240" w:lineRule="auto"/>
        <w:tabs>
          <w:tab w:val="left" w:pos="284" w:leader="none"/>
          <w:tab w:val="left" w:pos="426" w:leader="none"/>
        </w:tabs>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Перспективные задачи на 2024 год:</w:t>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ind w:firstLine="709"/>
        <w:jc w:val="both"/>
        <w:spacing w:after="0" w:line="240" w:lineRule="auto"/>
        <w:tabs>
          <w:tab w:val="left" w:pos="284" w:leader="none"/>
          <w:tab w:val="left" w:pos="426" w:leader="none"/>
          <w:tab w:val="left" w:pos="966" w:leader="none"/>
        </w:tabs>
        <w:rPr>
          <w:rFonts w:ascii="PT Astra Serif" w:hAnsi="PT Astra Serif" w:eastAsia="Times New Roman"/>
          <w:i/>
          <w:sz w:val="24"/>
          <w:szCs w:val="24"/>
          <w:lang w:eastAsia="ru-RU"/>
        </w:rPr>
      </w:pPr>
      <w:r>
        <w:rPr>
          <w:rFonts w:ascii="PT Astra Serif" w:hAnsi="PT Astra Serif" w:eastAsia="Times New Roman"/>
          <w:i/>
          <w:sz w:val="24"/>
          <w:szCs w:val="24"/>
          <w:lang w:eastAsia="ru-RU"/>
        </w:rPr>
        <w:t xml:space="preserve">Региональный проект «Создание условий для легкого старта и комфортного ведения бизнеса»:</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pStyle w:val="1152"/>
        <w:numPr>
          <w:ilvl w:val="0"/>
          <w:numId w:val="69"/>
        </w:numPr>
        <w:ind w:left="0" w:firstLine="709"/>
        <w:jc w:val="both"/>
        <w:spacing w:after="0" w:line="240" w:lineRule="auto"/>
        <w:tabs>
          <w:tab w:val="left" w:pos="851" w:leader="none"/>
          <w:tab w:val="left" w:pos="966" w:leader="none"/>
        </w:tabs>
        <w:rPr>
          <w:rFonts w:ascii="PT Astra Serif" w:hAnsi="PT Astra Serif"/>
          <w:sz w:val="24"/>
          <w:szCs w:val="24"/>
        </w:rPr>
      </w:pPr>
      <w:r>
        <w:rPr>
          <w:rFonts w:ascii="PT Astra Serif" w:hAnsi="PT Astra Serif"/>
          <w:sz w:val="24"/>
          <w:szCs w:val="24"/>
        </w:rPr>
        <w:t xml:space="preserve">Оказание комплекса информационно-консультационных и образовательных услуг в оффлайн</w:t>
      </w:r>
      <w:r>
        <w:rPr>
          <w:rFonts w:ascii="PT Astra Serif" w:hAnsi="PT Astra Serif"/>
          <w:sz w:val="24"/>
          <w:szCs w:val="24"/>
        </w:rPr>
        <w:t xml:space="preserve">-</w:t>
      </w:r>
      <w:r>
        <w:rPr>
          <w:rFonts w:ascii="PT Astra Serif" w:hAnsi="PT Astra Serif"/>
          <w:sz w:val="24"/>
          <w:szCs w:val="24"/>
        </w:rPr>
        <w:t xml:space="preserve"> и онлайн</w:t>
      </w:r>
      <w:r>
        <w:rPr>
          <w:rFonts w:ascii="PT Astra Serif" w:hAnsi="PT Astra Serif"/>
          <w:sz w:val="24"/>
          <w:szCs w:val="24"/>
        </w:rPr>
        <w:t xml:space="preserve">-</w:t>
      </w:r>
      <w:r>
        <w:rPr>
          <w:rFonts w:ascii="PT Astra Serif" w:hAnsi="PT Astra Serif"/>
          <w:sz w:val="24"/>
          <w:szCs w:val="24"/>
        </w:rPr>
        <w:t xml:space="preserve">форматах гражданам, желающим вести бизнес, и начинающим предпринимателям.</w:t>
      </w:r>
      <w:r>
        <w:rPr>
          <w:rFonts w:ascii="PT Astra Serif" w:hAnsi="PT Astra Serif"/>
          <w:sz w:val="24"/>
          <w:szCs w:val="24"/>
        </w:rPr>
      </w:r>
      <w:r>
        <w:rPr>
          <w:rFonts w:ascii="PT Astra Serif" w:hAnsi="PT Astra Serif"/>
          <w:sz w:val="24"/>
          <w:szCs w:val="24"/>
        </w:rPr>
      </w:r>
    </w:p>
    <w:p>
      <w:pPr>
        <w:pStyle w:val="1152"/>
        <w:numPr>
          <w:ilvl w:val="0"/>
          <w:numId w:val="69"/>
        </w:numPr>
        <w:ind w:left="0" w:firstLine="709"/>
        <w:jc w:val="both"/>
        <w:spacing w:after="0" w:line="240" w:lineRule="auto"/>
        <w:tabs>
          <w:tab w:val="left" w:pos="851" w:leader="none"/>
          <w:tab w:val="left" w:pos="966" w:leader="none"/>
        </w:tabs>
        <w:rPr>
          <w:rFonts w:ascii="PT Astra Serif" w:hAnsi="PT Astra Serif"/>
          <w:sz w:val="24"/>
          <w:szCs w:val="24"/>
        </w:rPr>
      </w:pPr>
      <w:r>
        <w:rPr>
          <w:rFonts w:ascii="PT Astra Serif" w:hAnsi="PT Astra Serif"/>
          <w:sz w:val="24"/>
          <w:szCs w:val="24"/>
        </w:rPr>
        <w:t xml:space="preserve">Предоставление поручительств и независимых гарантий ООО «Гарантийный фонд» начинающим предпринимателям.</w:t>
      </w:r>
      <w:r>
        <w:rPr>
          <w:rFonts w:ascii="PT Astra Serif" w:hAnsi="PT Astra Serif"/>
          <w:sz w:val="24"/>
          <w:szCs w:val="24"/>
        </w:rPr>
      </w:r>
      <w:r>
        <w:rPr>
          <w:rFonts w:ascii="PT Astra Serif" w:hAnsi="PT Astra Serif"/>
          <w:sz w:val="24"/>
          <w:szCs w:val="24"/>
        </w:rPr>
      </w:r>
    </w:p>
    <w:p>
      <w:pPr>
        <w:pStyle w:val="1152"/>
        <w:numPr>
          <w:ilvl w:val="0"/>
          <w:numId w:val="69"/>
        </w:numPr>
        <w:ind w:left="0" w:firstLine="709"/>
        <w:jc w:val="both"/>
        <w:spacing w:after="0" w:line="240" w:lineRule="auto"/>
        <w:tabs>
          <w:tab w:val="left" w:pos="851" w:leader="none"/>
          <w:tab w:val="left" w:pos="966" w:leader="none"/>
        </w:tabs>
        <w:rPr>
          <w:rFonts w:ascii="PT Astra Serif" w:hAnsi="PT Astra Serif"/>
          <w:sz w:val="24"/>
          <w:szCs w:val="24"/>
        </w:rPr>
      </w:pPr>
      <w:r>
        <w:rPr>
          <w:rFonts w:ascii="PT Astra Serif" w:hAnsi="PT Astra Serif"/>
          <w:sz w:val="24"/>
          <w:szCs w:val="24"/>
        </w:rPr>
        <w:t xml:space="preserve">Оказание поддержки молодым (до 25 лет) и социальным предпринимателям.</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284" w:leader="none"/>
          <w:tab w:val="left" w:pos="426" w:leader="none"/>
          <w:tab w:val="left" w:pos="966" w:leader="none"/>
        </w:tabs>
        <w:rPr>
          <w:rFonts w:ascii="PT Astra Serif" w:hAnsi="PT Astra Serif" w:eastAsia="Times New Roman"/>
          <w:i/>
          <w:sz w:val="24"/>
          <w:szCs w:val="24"/>
          <w:lang w:eastAsia="ru-RU"/>
        </w:rPr>
      </w:pPr>
      <w:r>
        <w:rPr>
          <w:rFonts w:ascii="PT Astra Serif" w:hAnsi="PT Astra Serif" w:eastAsia="Times New Roman"/>
          <w:i/>
          <w:sz w:val="24"/>
          <w:szCs w:val="24"/>
          <w:lang w:eastAsia="ru-RU"/>
        </w:rPr>
        <w:t xml:space="preserve">Региональный проект «Создание благоприятных условий для осуществления деятельности самозанятыми гражданами»:</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pStyle w:val="1152"/>
        <w:ind w:left="0" w:firstLine="709"/>
        <w:jc w:val="both"/>
        <w:spacing w:after="0" w:line="240" w:lineRule="auto"/>
        <w:tabs>
          <w:tab w:val="left" w:pos="966" w:leader="none"/>
        </w:tabs>
        <w:rPr>
          <w:rFonts w:ascii="PT Astra Serif" w:hAnsi="PT Astra Serif"/>
          <w:sz w:val="24"/>
          <w:szCs w:val="24"/>
        </w:rPr>
      </w:pPr>
      <w:r>
        <w:rPr>
          <w:rFonts w:ascii="PT Astra Serif" w:hAnsi="PT Astra Serif"/>
          <w:sz w:val="24"/>
          <w:szCs w:val="24"/>
        </w:rPr>
        <w:t xml:space="preserve">1. Предоставление микрокредитными компаниями Томской области льготных микрозаймов самозанятым гражданам.</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tabs>
          <w:tab w:val="left" w:pos="966" w:leader="none"/>
        </w:tabs>
        <w:rPr>
          <w:rFonts w:ascii="PT Astra Serif" w:hAnsi="PT Astra Serif"/>
          <w:sz w:val="24"/>
          <w:szCs w:val="24"/>
        </w:rPr>
      </w:pPr>
      <w:r>
        <w:rPr>
          <w:rFonts w:ascii="PT Astra Serif" w:hAnsi="PT Astra Serif"/>
          <w:sz w:val="24"/>
          <w:szCs w:val="24"/>
        </w:rPr>
        <w:t xml:space="preserve">2. Предоставление услуг, в том числе программ обучения, для самозанятых граждан.</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tabs>
          <w:tab w:val="left" w:pos="284" w:leader="none"/>
          <w:tab w:val="left" w:pos="851" w:leader="none"/>
          <w:tab w:val="left" w:pos="966" w:leader="none"/>
        </w:tabs>
        <w:rPr>
          <w:rFonts w:ascii="PT Astra Serif" w:hAnsi="PT Astra Serif" w:eastAsia="Times New Roman"/>
          <w:i/>
          <w:sz w:val="24"/>
          <w:szCs w:val="24"/>
          <w:lang w:eastAsia="ru-RU"/>
        </w:rPr>
      </w:pPr>
      <w:r>
        <w:rPr>
          <w:rFonts w:ascii="PT Astra Serif" w:hAnsi="PT Astra Serif" w:eastAsia="Times New Roman"/>
          <w:i/>
          <w:sz w:val="24"/>
          <w:szCs w:val="24"/>
          <w:lang w:eastAsia="ru-RU"/>
        </w:rPr>
        <w:t xml:space="preserve">Региональный проект «Акселерация субъектов малого и среднего предпринимательства»:</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1. Предоставление комплексных услуг субъектам МСП Томской области.</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2. Поддержка субъектов МСП-экспортеров Центром поддержки экспорта Томской области. </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3. Организация массовых публичных мероприятий для субъектов МСП и самозанятых граждан.</w:t>
      </w:r>
      <w:r>
        <w:rPr>
          <w:rFonts w:ascii="PT Astra Serif" w:hAnsi="PT Astra Serif"/>
          <w:sz w:val="24"/>
          <w:szCs w:val="24"/>
        </w:rPr>
      </w:r>
      <w:r>
        <w:rPr>
          <w:rFonts w:ascii="PT Astra Serif" w:hAnsi="PT Astra Serif"/>
          <w:sz w:val="24"/>
          <w:szCs w:val="24"/>
        </w:rPr>
      </w:r>
    </w:p>
    <w:p>
      <w:pPr>
        <w:pStyle w:val="1152"/>
        <w:ind w:left="0" w:firstLine="709"/>
        <w:jc w:val="both"/>
        <w:spacing w:after="0" w:line="240" w:lineRule="auto"/>
        <w:rPr>
          <w:rFonts w:ascii="PT Astra Serif" w:hAnsi="PT Astra Serif"/>
          <w:sz w:val="24"/>
          <w:szCs w:val="24"/>
        </w:rPr>
      </w:pPr>
      <w:r>
        <w:rPr>
          <w:rFonts w:ascii="PT Astra Serif" w:hAnsi="PT Astra Serif"/>
          <w:sz w:val="24"/>
          <w:szCs w:val="24"/>
        </w:rPr>
        <w:t xml:space="preserve">4. Организация обучения, стажировок, участия в выставочно-ярморочных мероприятиях  субъектов МСП.</w:t>
      </w:r>
      <w:r>
        <w:rPr>
          <w:rFonts w:ascii="PT Astra Serif" w:hAnsi="PT Astra Serif"/>
          <w:sz w:val="24"/>
          <w:szCs w:val="24"/>
        </w:rPr>
      </w:r>
      <w:r>
        <w:rPr>
          <w:rFonts w:ascii="PT Astra Serif" w:hAnsi="PT Astra Serif"/>
          <w:sz w:val="24"/>
          <w:szCs w:val="24"/>
        </w:rPr>
      </w:r>
    </w:p>
    <w:p>
      <w:pPr>
        <w:ind w:firstLine="709"/>
        <w:spacing w:after="0" w:line="240" w:lineRule="auto"/>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ind w:firstLine="709"/>
        <w:spacing w:after="0" w:line="240" w:lineRule="auto"/>
        <w:rPr>
          <w:rFonts w:ascii="PT Astra Serif" w:hAnsi="PT Astra Serif"/>
          <w:b/>
          <w:sz w:val="24"/>
          <w:szCs w:val="24"/>
        </w:rPr>
      </w:pPr>
      <w:r>
        <w:rPr>
          <w:rFonts w:ascii="PT Astra Serif" w:hAnsi="PT Astra Serif"/>
          <w:b/>
          <w:sz w:val="24"/>
          <w:szCs w:val="24"/>
        </w:rPr>
        <w:t xml:space="preserve">Национальный проект «Международная кооперация и экспорт»</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На достижение цели национального проекта в Томской области в 2023 году были направлены 2 региональных проекта. Фактический объем финансирования в 2023 году</w:t>
      </w:r>
      <w:r>
        <w:rPr>
          <w:rFonts w:ascii="PT Astra Serif" w:hAnsi="PT Astra Serif" w:eastAsia="Calibri"/>
          <w:sz w:val="24"/>
          <w:szCs w:val="24"/>
        </w:rPr>
        <w:t xml:space="preserve"> </w:t>
      </w:r>
      <w:r>
        <w:rPr>
          <w:rFonts w:ascii="PT Astra Serif" w:hAnsi="PT Astra Serif"/>
          <w:sz w:val="24"/>
          <w:szCs w:val="24"/>
        </w:rPr>
        <w:t xml:space="preserve">составил 8,6 млн</w:t>
      </w:r>
      <w:r>
        <w:rPr>
          <w:rFonts w:ascii="PT Astra Serif" w:hAnsi="PT Astra Serif"/>
          <w:sz w:val="24"/>
          <w:szCs w:val="24"/>
        </w:rPr>
        <w:t xml:space="preserve"> рублей.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b/>
          <w:sz w:val="24"/>
          <w:szCs w:val="24"/>
        </w:rPr>
      </w:pPr>
      <w:r>
        <w:rPr>
          <w:rFonts w:ascii="PT Astra Serif" w:hAnsi="PT Astra Serif"/>
          <w:b/>
          <w:sz w:val="24"/>
          <w:szCs w:val="24"/>
        </w:rPr>
        <w:t xml:space="preserve">Итоги 2023 года:</w:t>
      </w:r>
      <w:r>
        <w:rPr>
          <w:rFonts w:ascii="PT Astra Serif" w:hAnsi="PT Astra Serif"/>
          <w:b/>
          <w:sz w:val="24"/>
          <w:szCs w:val="24"/>
        </w:rPr>
      </w:r>
      <w:r>
        <w:rPr>
          <w:rFonts w:ascii="PT Astra Serif" w:hAnsi="PT Astra Serif"/>
          <w:b/>
          <w:sz w:val="24"/>
          <w:szCs w:val="24"/>
        </w:rPr>
      </w:r>
    </w:p>
    <w:p>
      <w:pPr>
        <w:contextualSpacing/>
        <w:ind w:firstLine="709"/>
        <w:jc w:val="both"/>
        <w:spacing w:after="0" w:line="240" w:lineRule="auto"/>
        <w:tabs>
          <w:tab w:val="left" w:pos="1418"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рамках</w:t>
      </w:r>
      <w:r>
        <w:rPr>
          <w:rFonts w:ascii="PT Astra Serif" w:hAnsi="PT Astra Serif" w:eastAsia="Times New Roman"/>
          <w:i/>
          <w:sz w:val="24"/>
          <w:szCs w:val="24"/>
          <w:lang w:eastAsia="ru-RU"/>
        </w:rPr>
        <w:t xml:space="preserve"> регионального проекта</w:t>
      </w:r>
      <w:r>
        <w:rPr>
          <w:rFonts w:ascii="PT Astra Serif" w:hAnsi="PT Astra Serif" w:eastAsia="Times New Roman"/>
          <w:sz w:val="24"/>
          <w:szCs w:val="24"/>
          <w:lang w:eastAsia="ru-RU"/>
        </w:rPr>
        <w:t xml:space="preserve"> </w:t>
      </w:r>
      <w:r>
        <w:rPr>
          <w:rFonts w:ascii="PT Astra Serif" w:hAnsi="PT Astra Serif" w:eastAsia="Times New Roman"/>
          <w:i/>
          <w:sz w:val="24"/>
          <w:szCs w:val="24"/>
          <w:lang w:eastAsia="ru-RU"/>
        </w:rPr>
        <w:t xml:space="preserve">«Системные меры развития международной кооперации и экспорта</w:t>
      </w:r>
      <w:r>
        <w:rPr>
          <w:rFonts w:ascii="PT Astra Serif" w:hAnsi="PT Astra Serif" w:eastAsia="Times New Roman"/>
          <w:sz w:val="24"/>
          <w:szCs w:val="24"/>
          <w:lang w:eastAsia="ru-RU"/>
        </w:rPr>
        <w:t xml:space="preserve">» финансирование в 2023 году не предусмотрено:</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numPr>
          <w:ilvl w:val="0"/>
          <w:numId w:val="31"/>
        </w:numPr>
        <w:ind w:left="0" w:firstLine="709"/>
        <w:jc w:val="both"/>
        <w:spacing w:after="0" w:line="240" w:lineRule="auto"/>
        <w:tabs>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внедрено 15 инструментов Регионального экспортного стандарта 2.0;</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numPr>
          <w:ilvl w:val="0"/>
          <w:numId w:val="31"/>
        </w:numPr>
        <w:ind w:left="0" w:firstLine="709"/>
        <w:jc w:val="both"/>
        <w:spacing w:after="0" w:line="240" w:lineRule="auto"/>
        <w:tabs>
          <w:tab w:val="left" w:pos="567" w:leader="none"/>
          <w:tab w:val="left" w:pos="709" w:leader="none"/>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управленческая команда Томской области завершила обучение по программе «Экспорт регионов 2.0», проводимой Школой экспорта АО «РЭЦ»</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и заняла первое место по результатам защиты региональной экспортной программы;</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numPr>
          <w:ilvl w:val="0"/>
          <w:numId w:val="31"/>
        </w:numPr>
        <w:ind w:left="0" w:firstLine="709"/>
        <w:jc w:val="both"/>
        <w:spacing w:after="0" w:line="240" w:lineRule="auto"/>
        <w:tabs>
          <w:tab w:val="left" w:pos="567" w:leader="none"/>
          <w:tab w:val="left" w:pos="709" w:leader="none"/>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представители региона приняли участие в межрегиональных форумах России и Узбекистана, Кыргызстана и Китая, бизнес-форуме «Россия</w:t>
      </w:r>
      <w:r>
        <w:rPr>
          <w:rFonts w:ascii="PT Astra Serif" w:hAnsi="PT Astra Serif" w:eastAsia="Times New Roman"/>
          <w:sz w:val="24"/>
          <w:szCs w:val="24"/>
          <w:lang w:eastAsia="ru-RU"/>
        </w:rPr>
        <w:t xml:space="preserve"> </w:t>
      </w:r>
      <w:r>
        <w:rPr>
          <w:rFonts w:ascii="PT Astra Serif" w:hAnsi="PT Astra Serif"/>
          <w:sz w:val="24"/>
          <w:szCs w:val="24"/>
        </w:rPr>
        <w:t xml:space="preserve">– </w:t>
      </w:r>
      <w:r>
        <w:rPr>
          <w:rFonts w:ascii="PT Astra Serif" w:hAnsi="PT Astra Serif" w:eastAsia="Times New Roman"/>
          <w:sz w:val="24"/>
          <w:szCs w:val="24"/>
          <w:lang w:eastAsia="ru-RU"/>
        </w:rPr>
        <w:t xml:space="preserve">Вьетнам», форуме «Россия </w:t>
      </w:r>
      <w:r>
        <w:rPr>
          <w:rFonts w:ascii="PT Astra Serif" w:hAnsi="PT Astra Serif"/>
          <w:sz w:val="24"/>
          <w:szCs w:val="24"/>
        </w:rPr>
        <w:t xml:space="preserve">– </w:t>
      </w:r>
      <w:r>
        <w:rPr>
          <w:rFonts w:ascii="PT Astra Serif" w:hAnsi="PT Astra Serif" w:eastAsia="Times New Roman"/>
          <w:sz w:val="24"/>
          <w:szCs w:val="24"/>
          <w:lang w:eastAsia="ru-RU"/>
        </w:rPr>
        <w:t xml:space="preserve">Африка», ПМЭФ-2023;</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contextualSpacing/>
        <w:ind w:firstLine="709"/>
        <w:jc w:val="both"/>
        <w:spacing w:after="0" w:line="240" w:lineRule="auto"/>
        <w:tabs>
          <w:tab w:val="left" w:pos="1418"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Центром поддержки экспорта Томской области: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numPr>
          <w:ilvl w:val="0"/>
          <w:numId w:val="31"/>
        </w:numPr>
        <w:ind w:left="0" w:firstLine="709"/>
        <w:jc w:val="both"/>
        <w:spacing w:after="0" w:line="240" w:lineRule="auto"/>
        <w:tabs>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организовано 4 бизнес-миссии в Узбекистан, Казахстан, Киргизию и Малайзию;</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numPr>
          <w:ilvl w:val="0"/>
          <w:numId w:val="31"/>
        </w:numPr>
        <w:ind w:left="0" w:firstLine="709"/>
        <w:jc w:val="both"/>
        <w:spacing w:after="0" w:line="240" w:lineRule="auto"/>
        <w:tabs>
          <w:tab w:val="left" w:pos="567" w:leader="none"/>
          <w:tab w:val="left" w:pos="709" w:leader="none"/>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обеспечено участие томских компаний в международных выставках в Бразилии, Казахстане, Узбекистане, Объединенных Арабских Эмиратах, Алжире;</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numPr>
          <w:ilvl w:val="0"/>
          <w:numId w:val="31"/>
        </w:numPr>
        <w:ind w:left="0" w:firstLine="709"/>
        <w:jc w:val="both"/>
        <w:spacing w:after="0" w:line="240" w:lineRule="auto"/>
        <w:tabs>
          <w:tab w:val="left" w:pos="567" w:leader="none"/>
          <w:tab w:val="left" w:pos="709" w:leader="none"/>
          <w:tab w:val="left" w:pos="993"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организовано 3 реверсные бизнес-миссии иностранных покупателей в Томскую область из Казахстана, Киргизии, Таджикистана.</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contextualSpacing/>
        <w:ind w:firstLine="709"/>
        <w:jc w:val="both"/>
        <w:spacing w:after="0" w:line="240" w:lineRule="auto"/>
        <w:tabs>
          <w:tab w:val="left" w:pos="993" w:leader="none"/>
          <w:tab w:val="left" w:pos="1418" w:leader="none"/>
        </w:tabs>
        <w:rPr>
          <w:rFonts w:ascii="PT Astra Serif" w:hAnsi="PT Astra Serif"/>
          <w:sz w:val="24"/>
          <w:szCs w:val="24"/>
        </w:rPr>
      </w:pPr>
      <w:r>
        <w:rPr>
          <w:rFonts w:ascii="PT Astra Serif" w:hAnsi="PT Astra Serif"/>
          <w:sz w:val="24"/>
          <w:szCs w:val="24"/>
        </w:rPr>
        <w:t xml:space="preserve">В рамках </w:t>
      </w:r>
      <w:r>
        <w:rPr>
          <w:rFonts w:ascii="PT Astra Serif" w:hAnsi="PT Astra Serif"/>
          <w:i/>
          <w:sz w:val="24"/>
          <w:szCs w:val="24"/>
        </w:rPr>
        <w:t xml:space="preserve">регионального проекта «Экспорт продукции АПК»</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pStyle w:val="1152"/>
        <w:numPr>
          <w:ilvl w:val="0"/>
          <w:numId w:val="31"/>
        </w:numPr>
        <w:ind w:left="0" w:firstLine="709"/>
        <w:jc w:val="both"/>
        <w:spacing w:after="0" w:line="240" w:lineRule="auto"/>
        <w:tabs>
          <w:tab w:val="left" w:pos="567" w:leader="none"/>
          <w:tab w:val="left" w:pos="709" w:leader="none"/>
          <w:tab w:val="left" w:pos="993" w:leader="none"/>
          <w:tab w:val="left" w:pos="1418"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выдана субсидия 23 сельхозтоваропроизводителям на стимулирование увеличения производства масличных культур;</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52"/>
        <w:numPr>
          <w:ilvl w:val="0"/>
          <w:numId w:val="31"/>
        </w:numPr>
        <w:ind w:left="0" w:firstLine="709"/>
        <w:jc w:val="both"/>
        <w:spacing w:after="0" w:line="240" w:lineRule="auto"/>
        <w:tabs>
          <w:tab w:val="left" w:pos="567" w:leader="none"/>
          <w:tab w:val="left" w:pos="709" w:leader="none"/>
          <w:tab w:val="left" w:pos="993" w:leader="none"/>
          <w:tab w:val="left" w:pos="1418"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объем экспорта продукции АПК (в сопо</w:t>
      </w:r>
      <w:r>
        <w:rPr>
          <w:rFonts w:ascii="PT Astra Serif" w:hAnsi="PT Astra Serif" w:eastAsia="Times New Roman"/>
          <w:sz w:val="24"/>
          <w:szCs w:val="24"/>
          <w:lang w:eastAsia="ru-RU"/>
        </w:rPr>
        <w:t xml:space="preserve">ставимых ценах) составил 86 млн</w:t>
      </w:r>
      <w:r>
        <w:rPr>
          <w:rFonts w:ascii="PT Astra Serif" w:hAnsi="PT Astra Serif" w:eastAsia="Times New Roman"/>
          <w:sz w:val="24"/>
          <w:szCs w:val="24"/>
          <w:lang w:eastAsia="ru-RU"/>
        </w:rPr>
        <w:t xml:space="preserve"> долларов.</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contextualSpacing/>
        <w:ind w:firstLine="709"/>
        <w:jc w:val="both"/>
        <w:spacing w:after="0" w:line="240" w:lineRule="auto"/>
        <w:tabs>
          <w:tab w:val="left" w:pos="284" w:leader="none"/>
          <w:tab w:val="left" w:pos="1418"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contextualSpacing/>
        <w:ind w:firstLine="709"/>
        <w:jc w:val="both"/>
        <w:spacing w:after="0" w:line="240" w:lineRule="auto"/>
        <w:tabs>
          <w:tab w:val="left" w:pos="284" w:leader="none"/>
          <w:tab w:val="left" w:pos="993" w:leader="none"/>
          <w:tab w:val="left" w:pos="1418" w:leader="none"/>
        </w:tabs>
        <w:rPr>
          <w:rFonts w:ascii="PT Astra Serif" w:hAnsi="PT Astra Serif"/>
          <w:b/>
          <w:sz w:val="24"/>
          <w:szCs w:val="24"/>
        </w:rPr>
      </w:pPr>
      <w:r>
        <w:rPr>
          <w:rFonts w:ascii="PT Astra Serif" w:hAnsi="PT Astra Serif"/>
          <w:b/>
          <w:sz w:val="24"/>
          <w:szCs w:val="24"/>
        </w:rPr>
        <w:t xml:space="preserve">Перспективные задачи на 2024 год:</w:t>
      </w:r>
      <w:r>
        <w:rPr>
          <w:rFonts w:ascii="PT Astra Serif" w:hAnsi="PT Astra Serif"/>
          <w:b/>
          <w:sz w:val="24"/>
          <w:szCs w:val="24"/>
        </w:rPr>
      </w:r>
      <w:r>
        <w:rPr>
          <w:rFonts w:ascii="PT Astra Serif" w:hAnsi="PT Astra Serif"/>
          <w:b/>
          <w:sz w:val="24"/>
          <w:szCs w:val="24"/>
        </w:rPr>
      </w:r>
    </w:p>
    <w:p>
      <w:pPr>
        <w:contextualSpacing/>
        <w:ind w:firstLine="709"/>
        <w:jc w:val="both"/>
        <w:spacing w:after="0" w:line="240" w:lineRule="auto"/>
        <w:tabs>
          <w:tab w:val="left" w:pos="284" w:leader="none"/>
          <w:tab w:val="left" w:pos="993" w:leader="none"/>
          <w:tab w:val="left" w:pos="1418" w:leader="none"/>
        </w:tabs>
        <w:rPr>
          <w:rFonts w:ascii="PT Astra Serif" w:hAnsi="PT Astra Serif"/>
          <w:i/>
          <w:sz w:val="24"/>
          <w:szCs w:val="24"/>
        </w:rPr>
      </w:pPr>
      <w:r>
        <w:rPr>
          <w:rFonts w:ascii="PT Astra Serif" w:hAnsi="PT Astra Serif"/>
          <w:i/>
          <w:sz w:val="24"/>
          <w:szCs w:val="24"/>
        </w:rPr>
        <w:t xml:space="preserve">Региональный проект «Системные меры развития международной кооперации и экспорта»:</w:t>
      </w:r>
      <w:r>
        <w:rPr>
          <w:rFonts w:ascii="PT Astra Serif" w:hAnsi="PT Astra Serif"/>
          <w:i/>
          <w:sz w:val="24"/>
          <w:szCs w:val="24"/>
        </w:rPr>
      </w:r>
      <w:r>
        <w:rPr>
          <w:rFonts w:ascii="PT Astra Serif" w:hAnsi="PT Astra Serif"/>
          <w:i/>
          <w:sz w:val="24"/>
          <w:szCs w:val="24"/>
        </w:rPr>
      </w:r>
    </w:p>
    <w:p>
      <w:pPr>
        <w:pStyle w:val="1152"/>
        <w:numPr>
          <w:ilvl w:val="0"/>
          <w:numId w:val="32"/>
        </w:numPr>
        <w:ind w:left="0" w:firstLine="709"/>
        <w:jc w:val="both"/>
        <w:spacing w:after="0" w:line="240" w:lineRule="auto"/>
        <w:tabs>
          <w:tab w:val="left" w:pos="709" w:leader="none"/>
          <w:tab w:val="left" w:pos="851" w:leader="none"/>
          <w:tab w:val="left" w:pos="993" w:leader="none"/>
          <w:tab w:val="left" w:pos="1418" w:leader="none"/>
          <w:tab w:val="left" w:pos="1560" w:leader="none"/>
        </w:tabs>
        <w:rPr>
          <w:rFonts w:ascii="PT Astra Serif" w:hAnsi="PT Astra Serif"/>
          <w:sz w:val="24"/>
          <w:szCs w:val="24"/>
        </w:rPr>
      </w:pPr>
      <w:r>
        <w:rPr>
          <w:rFonts w:ascii="PT Astra Serif" w:hAnsi="PT Astra Serif"/>
          <w:sz w:val="24"/>
          <w:szCs w:val="24"/>
        </w:rPr>
        <w:t xml:space="preserve">Принятие региональной программы «Развитие экспорта в Томской области до 2030 года».</w:t>
      </w:r>
      <w:r>
        <w:rPr>
          <w:rFonts w:ascii="PT Astra Serif" w:hAnsi="PT Astra Serif"/>
          <w:sz w:val="24"/>
          <w:szCs w:val="24"/>
        </w:rPr>
      </w:r>
      <w:r>
        <w:rPr>
          <w:rFonts w:ascii="PT Astra Serif" w:hAnsi="PT Astra Serif"/>
          <w:sz w:val="24"/>
          <w:szCs w:val="24"/>
        </w:rPr>
      </w:r>
    </w:p>
    <w:p>
      <w:pPr>
        <w:pStyle w:val="1152"/>
        <w:numPr>
          <w:ilvl w:val="0"/>
          <w:numId w:val="32"/>
        </w:numPr>
        <w:ind w:left="0" w:firstLine="709"/>
        <w:jc w:val="both"/>
        <w:spacing w:after="0" w:line="240" w:lineRule="auto"/>
        <w:tabs>
          <w:tab w:val="left" w:pos="709" w:leader="none"/>
          <w:tab w:val="left" w:pos="851" w:leader="none"/>
          <w:tab w:val="left" w:pos="993" w:leader="none"/>
          <w:tab w:val="left" w:pos="1560" w:leader="none"/>
        </w:tabs>
        <w:rPr>
          <w:rFonts w:ascii="PT Astra Serif" w:hAnsi="PT Astra Serif"/>
          <w:sz w:val="24"/>
          <w:szCs w:val="24"/>
        </w:rPr>
      </w:pPr>
      <w:r>
        <w:rPr>
          <w:rFonts w:ascii="PT Astra Serif" w:hAnsi="PT Astra Serif"/>
          <w:sz w:val="24"/>
          <w:szCs w:val="24"/>
        </w:rPr>
        <w:t xml:space="preserve">Организация не менее 5 зарубежных бизнес-миссий.</w:t>
      </w:r>
      <w:r>
        <w:rPr>
          <w:rFonts w:ascii="PT Astra Serif" w:hAnsi="PT Astra Serif"/>
          <w:sz w:val="24"/>
          <w:szCs w:val="24"/>
        </w:rPr>
      </w:r>
      <w:r>
        <w:rPr>
          <w:rFonts w:ascii="PT Astra Serif" w:hAnsi="PT Astra Serif"/>
          <w:sz w:val="24"/>
          <w:szCs w:val="24"/>
        </w:rPr>
      </w:r>
    </w:p>
    <w:p>
      <w:pPr>
        <w:pStyle w:val="1152"/>
        <w:numPr>
          <w:ilvl w:val="0"/>
          <w:numId w:val="32"/>
        </w:numPr>
        <w:ind w:left="0" w:firstLine="709"/>
        <w:jc w:val="both"/>
        <w:spacing w:after="0" w:line="240" w:lineRule="auto"/>
        <w:tabs>
          <w:tab w:val="left" w:pos="851" w:leader="none"/>
          <w:tab w:val="left" w:pos="993" w:leader="none"/>
          <w:tab w:val="left" w:pos="1418" w:leader="none"/>
          <w:tab w:val="left" w:pos="1560" w:leader="none"/>
        </w:tabs>
        <w:rPr>
          <w:rFonts w:ascii="PT Astra Serif" w:hAnsi="PT Astra Serif"/>
          <w:sz w:val="24"/>
          <w:szCs w:val="24"/>
        </w:rPr>
      </w:pPr>
      <w:r>
        <w:rPr>
          <w:rFonts w:ascii="PT Astra Serif" w:hAnsi="PT Astra Serif"/>
          <w:sz w:val="24"/>
          <w:szCs w:val="24"/>
        </w:rPr>
        <w:t xml:space="preserve">Участие не менее чем в 3 международных выстав</w:t>
      </w:r>
      <w:r>
        <w:rPr>
          <w:rFonts w:ascii="PT Astra Serif" w:hAnsi="PT Astra Serif"/>
          <w:sz w:val="24"/>
          <w:szCs w:val="24"/>
        </w:rPr>
        <w:t xml:space="preserve">ках</w:t>
      </w:r>
      <w:r>
        <w:rPr>
          <w:rFonts w:ascii="PT Astra Serif" w:hAnsi="PT Astra Serif"/>
          <w:sz w:val="24"/>
          <w:szCs w:val="24"/>
        </w:rPr>
        <w:t xml:space="preserve"> с региональным стендом.</w:t>
      </w:r>
      <w:r>
        <w:rPr>
          <w:rFonts w:ascii="PT Astra Serif" w:hAnsi="PT Astra Serif"/>
          <w:sz w:val="24"/>
          <w:szCs w:val="24"/>
        </w:rPr>
      </w:r>
      <w:r>
        <w:rPr>
          <w:rFonts w:ascii="PT Astra Serif" w:hAnsi="PT Astra Serif"/>
          <w:sz w:val="24"/>
          <w:szCs w:val="24"/>
        </w:rPr>
      </w:r>
    </w:p>
    <w:p>
      <w:pPr>
        <w:pStyle w:val="1152"/>
        <w:numPr>
          <w:ilvl w:val="0"/>
          <w:numId w:val="32"/>
        </w:numPr>
        <w:ind w:left="0" w:firstLine="709"/>
        <w:jc w:val="both"/>
        <w:spacing w:after="0" w:line="240" w:lineRule="auto"/>
        <w:tabs>
          <w:tab w:val="left" w:pos="709" w:leader="none"/>
          <w:tab w:val="left" w:pos="851" w:leader="none"/>
          <w:tab w:val="left" w:pos="993" w:leader="none"/>
          <w:tab w:val="left" w:pos="1418" w:leader="none"/>
          <w:tab w:val="left" w:pos="1560" w:leader="none"/>
        </w:tabs>
        <w:rPr>
          <w:rFonts w:ascii="PT Astra Serif" w:hAnsi="PT Astra Serif"/>
          <w:sz w:val="24"/>
          <w:szCs w:val="24"/>
        </w:rPr>
      </w:pPr>
      <w:r>
        <w:rPr>
          <w:rFonts w:ascii="PT Astra Serif" w:hAnsi="PT Astra Serif"/>
          <w:sz w:val="24"/>
          <w:szCs w:val="24"/>
        </w:rPr>
        <w:t xml:space="preserve">Размещение не менее 2 компаний на маркетплейсах. </w:t>
      </w:r>
      <w:r>
        <w:rPr>
          <w:rFonts w:ascii="PT Astra Serif" w:hAnsi="PT Astra Serif"/>
          <w:sz w:val="24"/>
          <w:szCs w:val="24"/>
        </w:rPr>
      </w:r>
      <w:r>
        <w:rPr>
          <w:rFonts w:ascii="PT Astra Serif" w:hAnsi="PT Astra Serif"/>
          <w:sz w:val="24"/>
          <w:szCs w:val="24"/>
        </w:rPr>
      </w:r>
    </w:p>
    <w:p>
      <w:pPr>
        <w:pStyle w:val="1152"/>
        <w:numPr>
          <w:ilvl w:val="0"/>
          <w:numId w:val="32"/>
        </w:numPr>
        <w:ind w:left="0" w:firstLine="709"/>
        <w:jc w:val="both"/>
        <w:spacing w:after="0" w:line="240" w:lineRule="auto"/>
        <w:tabs>
          <w:tab w:val="left" w:pos="709" w:leader="none"/>
          <w:tab w:val="left" w:pos="851" w:leader="none"/>
          <w:tab w:val="left" w:pos="993" w:leader="none"/>
          <w:tab w:val="left" w:pos="1560" w:leader="none"/>
        </w:tabs>
        <w:rPr>
          <w:rFonts w:ascii="PT Astra Serif" w:hAnsi="PT Astra Serif"/>
          <w:sz w:val="24"/>
          <w:szCs w:val="24"/>
        </w:rPr>
      </w:pPr>
      <w:r>
        <w:rPr>
          <w:rFonts w:ascii="PT Astra Serif" w:hAnsi="PT Astra Serif"/>
          <w:sz w:val="24"/>
          <w:szCs w:val="24"/>
        </w:rPr>
        <w:t xml:space="preserve">Популяризация «Экспортного каталога Томской области».</w:t>
      </w:r>
      <w:r>
        <w:rPr>
          <w:rFonts w:ascii="PT Astra Serif" w:hAnsi="PT Astra Serif"/>
          <w:sz w:val="24"/>
          <w:szCs w:val="24"/>
        </w:rPr>
      </w:r>
      <w:r>
        <w:rPr>
          <w:rFonts w:ascii="PT Astra Serif" w:hAnsi="PT Astra Serif"/>
          <w:sz w:val="24"/>
          <w:szCs w:val="24"/>
        </w:rPr>
      </w:r>
    </w:p>
    <w:p>
      <w:pPr>
        <w:pStyle w:val="1152"/>
        <w:numPr>
          <w:ilvl w:val="0"/>
          <w:numId w:val="32"/>
        </w:numPr>
        <w:ind w:left="0" w:firstLine="709"/>
        <w:jc w:val="both"/>
        <w:spacing w:after="0" w:line="240" w:lineRule="auto"/>
        <w:tabs>
          <w:tab w:val="left" w:pos="709" w:leader="none"/>
          <w:tab w:val="left" w:pos="851" w:leader="none"/>
          <w:tab w:val="left" w:pos="993" w:leader="none"/>
          <w:tab w:val="left" w:pos="1418" w:leader="none"/>
          <w:tab w:val="left" w:pos="1560" w:leader="none"/>
        </w:tabs>
        <w:rPr>
          <w:rFonts w:ascii="PT Astra Serif" w:hAnsi="PT Astra Serif"/>
          <w:sz w:val="24"/>
          <w:szCs w:val="24"/>
        </w:rPr>
      </w:pPr>
      <w:r>
        <w:rPr>
          <w:rFonts w:ascii="PT Astra Serif" w:hAnsi="PT Astra Serif"/>
          <w:sz w:val="24"/>
          <w:szCs w:val="24"/>
        </w:rPr>
        <w:t xml:space="preserve">Обучение основам экспортной деятельности не менее 30 компаний.</w:t>
      </w:r>
      <w:r>
        <w:rPr>
          <w:rFonts w:ascii="PT Astra Serif" w:hAnsi="PT Astra Serif"/>
          <w:sz w:val="24"/>
          <w:szCs w:val="24"/>
        </w:rPr>
      </w:r>
      <w:r>
        <w:rPr>
          <w:rFonts w:ascii="PT Astra Serif" w:hAnsi="PT Astra Serif"/>
          <w:sz w:val="24"/>
          <w:szCs w:val="24"/>
        </w:rPr>
      </w:r>
    </w:p>
    <w:p>
      <w:pPr>
        <w:pStyle w:val="1152"/>
        <w:numPr>
          <w:ilvl w:val="0"/>
          <w:numId w:val="32"/>
        </w:numPr>
        <w:ind w:left="0" w:firstLine="709"/>
        <w:jc w:val="both"/>
        <w:spacing w:after="0" w:line="240" w:lineRule="auto"/>
        <w:tabs>
          <w:tab w:val="left" w:pos="709" w:leader="none"/>
          <w:tab w:val="left" w:pos="851" w:leader="none"/>
          <w:tab w:val="left" w:pos="993" w:leader="none"/>
          <w:tab w:val="left" w:pos="1560" w:leader="none"/>
        </w:tabs>
        <w:rPr>
          <w:rFonts w:ascii="PT Astra Serif" w:hAnsi="PT Astra Serif"/>
          <w:sz w:val="24"/>
          <w:szCs w:val="24"/>
        </w:rPr>
      </w:pPr>
      <w:r>
        <w:rPr>
          <w:rFonts w:ascii="PT Astra Serif" w:hAnsi="PT Astra Serif"/>
          <w:sz w:val="24"/>
          <w:szCs w:val="24"/>
        </w:rPr>
        <w:t xml:space="preserve">Обеспечение участия не менее 5 компаний в акселерационных программах.</w:t>
      </w:r>
      <w:r>
        <w:rPr>
          <w:rFonts w:ascii="PT Astra Serif" w:hAnsi="PT Astra Serif"/>
          <w:sz w:val="24"/>
          <w:szCs w:val="24"/>
        </w:rPr>
      </w:r>
      <w:r>
        <w:rPr>
          <w:rFonts w:ascii="PT Astra Serif" w:hAnsi="PT Astra Serif"/>
          <w:sz w:val="24"/>
          <w:szCs w:val="24"/>
        </w:rPr>
      </w:r>
    </w:p>
    <w:p>
      <w:pPr>
        <w:ind w:firstLine="709"/>
        <w:spacing w:after="0" w:line="240" w:lineRule="auto"/>
        <w:tabs>
          <w:tab w:val="left" w:pos="993" w:leader="none"/>
          <w:tab w:val="left" w:pos="1560" w:leader="none"/>
        </w:tabs>
        <w:rPr>
          <w:rFonts w:ascii="PT Astra Serif" w:hAnsi="PT Astra Serif"/>
          <w:sz w:val="24"/>
          <w:szCs w:val="24"/>
        </w:rPr>
      </w:pPr>
      <w:r>
        <w:rPr>
          <w:rFonts w:ascii="PT Astra Serif" w:hAnsi="PT Astra Serif"/>
          <w:i/>
          <w:sz w:val="24"/>
          <w:szCs w:val="24"/>
        </w:rPr>
        <w:t xml:space="preserve">Региональный проект «Экспорт продукции АПК»:</w:t>
      </w:r>
      <w:r>
        <w:rPr>
          <w:rFonts w:ascii="PT Astra Serif" w:hAnsi="PT Astra Serif"/>
          <w:sz w:val="24"/>
          <w:szCs w:val="24"/>
        </w:rPr>
      </w:r>
      <w:r>
        <w:rPr>
          <w:rFonts w:ascii="PT Astra Serif" w:hAnsi="PT Astra Serif"/>
          <w:sz w:val="24"/>
          <w:szCs w:val="24"/>
        </w:rPr>
      </w:r>
    </w:p>
    <w:p>
      <w:pPr>
        <w:pStyle w:val="1152"/>
        <w:numPr>
          <w:ilvl w:val="0"/>
          <w:numId w:val="34"/>
        </w:numPr>
        <w:ind w:left="0" w:firstLine="709"/>
        <w:jc w:val="both"/>
        <w:spacing w:after="0" w:line="240" w:lineRule="auto"/>
        <w:tabs>
          <w:tab w:val="left" w:pos="284" w:leader="none"/>
          <w:tab w:val="left" w:pos="851" w:leader="none"/>
          <w:tab w:val="left" w:pos="993" w:leader="none"/>
          <w:tab w:val="left" w:pos="1418" w:leader="none"/>
          <w:tab w:val="left" w:pos="2127" w:leader="none"/>
        </w:tabs>
        <w:rPr>
          <w:rFonts w:ascii="PT Astra Serif" w:hAnsi="PT Astra Serif"/>
          <w:sz w:val="24"/>
          <w:szCs w:val="24"/>
        </w:rPr>
      </w:pPr>
      <w:r>
        <w:rPr>
          <w:rFonts w:ascii="PT Astra Serif" w:hAnsi="PT Astra Serif"/>
          <w:sz w:val="24"/>
          <w:szCs w:val="24"/>
        </w:rPr>
        <w:t xml:space="preserve">Расширение области аккредитации Томской облветлаборатории (ОГАУ</w:t>
      </w:r>
      <w:r>
        <w:rPr>
          <w:rFonts w:ascii="PT Astra Serif" w:hAnsi="PT Astra Serif"/>
          <w:sz w:val="24"/>
          <w:szCs w:val="24"/>
        </w:rPr>
        <w:t xml:space="preserve"> </w:t>
      </w:r>
      <w:r>
        <w:rPr>
          <w:rFonts w:ascii="PT Astra Serif" w:hAnsi="PT Astra Serif"/>
          <w:sz w:val="24"/>
          <w:szCs w:val="24"/>
        </w:rPr>
        <w:t xml:space="preserve">«Томская облветлаборатория»).</w:t>
      </w:r>
      <w:r>
        <w:rPr>
          <w:rFonts w:ascii="PT Astra Serif" w:hAnsi="PT Astra Serif"/>
          <w:sz w:val="24"/>
          <w:szCs w:val="24"/>
        </w:rPr>
      </w:r>
      <w:r>
        <w:rPr>
          <w:rFonts w:ascii="PT Astra Serif" w:hAnsi="PT Astra Serif"/>
          <w:sz w:val="24"/>
          <w:szCs w:val="24"/>
        </w:rPr>
      </w:r>
    </w:p>
    <w:p>
      <w:pPr>
        <w:pStyle w:val="1152"/>
        <w:numPr>
          <w:ilvl w:val="0"/>
          <w:numId w:val="34"/>
        </w:numPr>
        <w:ind w:left="0" w:firstLine="709"/>
        <w:jc w:val="both"/>
        <w:spacing w:after="0" w:line="240" w:lineRule="auto"/>
        <w:tabs>
          <w:tab w:val="left" w:pos="284" w:leader="none"/>
          <w:tab w:val="left" w:pos="709" w:leader="none"/>
          <w:tab w:val="left" w:pos="851" w:leader="none"/>
          <w:tab w:val="left" w:pos="993" w:leader="none"/>
          <w:tab w:val="left" w:pos="1418" w:leader="none"/>
        </w:tabs>
        <w:rPr>
          <w:rFonts w:ascii="PT Astra Serif" w:hAnsi="PT Astra Serif"/>
          <w:sz w:val="24"/>
          <w:szCs w:val="24"/>
        </w:rPr>
      </w:pPr>
      <w:r>
        <w:rPr>
          <w:rFonts w:ascii="PT Astra Serif" w:hAnsi="PT Astra Serif"/>
          <w:sz w:val="24"/>
          <w:szCs w:val="24"/>
        </w:rPr>
        <w:t xml:space="preserve">Аккредитация ветеринарных лабораторий ОГАУ «Асиновское райветуправление» и ОГАУ «Кожевниковское райветуправление». </w:t>
      </w:r>
      <w:r>
        <w:rPr>
          <w:rFonts w:ascii="PT Astra Serif" w:hAnsi="PT Astra Serif"/>
          <w:sz w:val="24"/>
          <w:szCs w:val="24"/>
        </w:rPr>
      </w:r>
      <w:r>
        <w:rPr>
          <w:rFonts w:ascii="PT Astra Serif" w:hAnsi="PT Astra Serif"/>
          <w:sz w:val="24"/>
          <w:szCs w:val="24"/>
        </w:rPr>
      </w:r>
    </w:p>
    <w:p>
      <w:pPr>
        <w:contextualSpacing/>
        <w:ind w:firstLine="709"/>
        <w:jc w:val="both"/>
        <w:spacing w:after="0" w:line="240" w:lineRule="auto"/>
        <w:tabs>
          <w:tab w:val="left" w:pos="284" w:leader="none"/>
          <w:tab w:val="left" w:pos="851" w:leader="none"/>
        </w:tabs>
        <w:rPr>
          <w:rFonts w:ascii="PT Astra Serif" w:hAnsi="PT Astra Serif"/>
          <w:bCs/>
          <w:sz w:val="24"/>
          <w:szCs w:val="24"/>
        </w:rPr>
      </w:pPr>
      <w:r>
        <w:rPr>
          <w:rFonts w:ascii="PT Astra Serif" w:hAnsi="PT Astra Serif"/>
          <w:bCs/>
          <w:sz w:val="24"/>
          <w:szCs w:val="24"/>
        </w:rPr>
      </w:r>
      <w:r>
        <w:rPr>
          <w:rFonts w:ascii="PT Astra Serif" w:hAnsi="PT Astra Serif"/>
          <w:bCs/>
          <w:sz w:val="24"/>
          <w:szCs w:val="24"/>
        </w:rPr>
      </w:r>
      <w:r>
        <w:rPr>
          <w:rFonts w:ascii="PT Astra Serif" w:hAnsi="PT Astra Serif"/>
          <w:bCs/>
          <w:sz w:val="24"/>
          <w:szCs w:val="24"/>
        </w:rPr>
      </w:r>
    </w:p>
    <w:p>
      <w:pPr>
        <w:contextualSpacing/>
        <w:ind w:firstLine="709"/>
        <w:jc w:val="both"/>
        <w:spacing w:after="0" w:line="240" w:lineRule="auto"/>
        <w:tabs>
          <w:tab w:val="left" w:pos="284" w:leader="none"/>
          <w:tab w:val="left" w:pos="851" w:leader="none"/>
        </w:tabs>
        <w:rPr>
          <w:rFonts w:ascii="PT Astra Serif" w:hAnsi="PT Astra Serif"/>
          <w:bCs/>
          <w:sz w:val="24"/>
          <w:szCs w:val="24"/>
        </w:rPr>
      </w:pPr>
      <w:r>
        <w:rPr>
          <w:rFonts w:ascii="PT Astra Serif" w:hAnsi="PT Astra Serif"/>
          <w:bCs/>
          <w:sz w:val="24"/>
          <w:szCs w:val="24"/>
        </w:rPr>
      </w:r>
      <w:r>
        <w:rPr>
          <w:rFonts w:ascii="PT Astra Serif" w:hAnsi="PT Astra Serif"/>
          <w:bCs/>
          <w:sz w:val="24"/>
          <w:szCs w:val="24"/>
        </w:rPr>
      </w:r>
      <w:r>
        <w:rPr>
          <w:rFonts w:ascii="PT Astra Serif" w:hAnsi="PT Astra Serif"/>
          <w:bCs/>
          <w:sz w:val="24"/>
          <w:szCs w:val="24"/>
        </w:rPr>
      </w:r>
    </w:p>
    <w:p>
      <w:pPr>
        <w:ind w:firstLine="709"/>
        <w:spacing w:after="0" w:line="240" w:lineRule="auto"/>
        <w:rPr>
          <w:rFonts w:ascii="PT Astra Serif" w:hAnsi="PT Astra Serif"/>
          <w:b/>
          <w:sz w:val="24"/>
          <w:szCs w:val="24"/>
        </w:rPr>
      </w:pPr>
      <w:r>
        <w:rPr>
          <w:rFonts w:ascii="PT Astra Serif" w:hAnsi="PT Astra Serif"/>
          <w:b/>
          <w:sz w:val="24"/>
          <w:szCs w:val="24"/>
        </w:rPr>
        <w:t xml:space="preserve">Национальный проект «Туризм и индустрия гостеприимства»</w:t>
      </w:r>
      <w:r>
        <w:rPr>
          <w:rFonts w:ascii="PT Astra Serif" w:hAnsi="PT Astra Serif"/>
          <w:b/>
          <w:sz w:val="24"/>
          <w:szCs w:val="24"/>
        </w:rPr>
      </w:r>
      <w:r>
        <w:rPr>
          <w:rFonts w:ascii="PT Astra Serif" w:hAnsi="PT Astra Serif"/>
          <w:b/>
          <w:sz w:val="24"/>
          <w:szCs w:val="24"/>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sz w:val="24"/>
          <w:szCs w:val="24"/>
        </w:rPr>
        <w:t xml:space="preserve">На достижение цели национального проекта в Томской области в 2023 году были направлены 2 региональных проекта</w:t>
      </w:r>
      <w:r>
        <w:rPr>
          <w:rFonts w:ascii="PT Astra Serif" w:hAnsi="PT Astra Serif" w:eastAsia="Times New Roman"/>
          <w:sz w:val="24"/>
          <w:szCs w:val="24"/>
          <w:lang w:eastAsia="ru-RU"/>
        </w:rPr>
        <w:t xml:space="preserve">. </w:t>
      </w:r>
      <w:r>
        <w:rPr>
          <w:rFonts w:ascii="PT Astra Serif" w:hAnsi="PT Astra Serif"/>
          <w:sz w:val="24"/>
          <w:szCs w:val="24"/>
        </w:rPr>
        <w:t xml:space="preserve">Фактический объем фи</w:t>
      </w:r>
      <w:r>
        <w:rPr>
          <w:rFonts w:ascii="PT Astra Serif" w:hAnsi="PT Astra Serif"/>
          <w:sz w:val="24"/>
          <w:szCs w:val="24"/>
        </w:rPr>
        <w:t xml:space="preserve">нансирования составил 25,7  млн</w:t>
      </w:r>
      <w:r>
        <w:rPr>
          <w:rFonts w:ascii="PT Astra Serif" w:hAnsi="PT Astra Serif"/>
          <w:sz w:val="24"/>
          <w:szCs w:val="24"/>
        </w:rPr>
        <w:t xml:space="preserve"> рублей.</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567" w:leader="none"/>
          <w:tab w:val="left" w:pos="709" w:leader="none"/>
          <w:tab w:val="left" w:pos="851" w:leader="none"/>
        </w:tabs>
        <w:rPr>
          <w:rFonts w:ascii="PT Astra Serif" w:hAnsi="PT Astra Serif"/>
          <w:b/>
          <w:sz w:val="24"/>
          <w:szCs w:val="24"/>
        </w:rPr>
      </w:pPr>
      <w:r>
        <w:rPr>
          <w:rFonts w:ascii="PT Astra Serif" w:hAnsi="PT Astra Serif"/>
          <w:b/>
          <w:sz w:val="24"/>
          <w:szCs w:val="24"/>
        </w:rPr>
        <w:t xml:space="preserve">Итоги 2023 года:</w:t>
      </w:r>
      <w:r>
        <w:rPr>
          <w:rFonts w:ascii="PT Astra Serif" w:hAnsi="PT Astra Serif"/>
          <w:b/>
          <w:sz w:val="24"/>
          <w:szCs w:val="24"/>
        </w:rPr>
      </w:r>
      <w:r>
        <w:rPr>
          <w:rFonts w:ascii="PT Astra Serif" w:hAnsi="PT Astra Serif"/>
          <w:b/>
          <w:sz w:val="24"/>
          <w:szCs w:val="24"/>
        </w:rPr>
      </w:r>
    </w:p>
    <w:p>
      <w:pPr>
        <w:pStyle w:val="1152"/>
        <w:ind w:left="567"/>
        <w:jc w:val="both"/>
        <w:spacing w:after="0" w:line="240" w:lineRule="auto"/>
        <w:tabs>
          <w:tab w:val="left" w:pos="0" w:leader="none"/>
          <w:tab w:val="left" w:pos="709" w:leader="none"/>
          <w:tab w:val="left" w:pos="851" w:leader="none"/>
        </w:tabs>
        <w:rPr>
          <w:rFonts w:ascii="PT Astra Serif" w:hAnsi="PT Astra Serif" w:eastAsia="Times New Roman"/>
          <w:i/>
          <w:sz w:val="24"/>
          <w:szCs w:val="24"/>
          <w:lang w:eastAsia="ru-RU"/>
        </w:rPr>
      </w:pPr>
      <w:r>
        <w:rPr>
          <w:rFonts w:ascii="PT Astra Serif" w:hAnsi="PT Astra Serif" w:eastAsia="Times New Roman"/>
          <w:sz w:val="24"/>
          <w:szCs w:val="24"/>
          <w:lang w:eastAsia="ru-RU"/>
        </w:rPr>
        <w:t xml:space="preserve">В рамках</w:t>
      </w:r>
      <w:r>
        <w:rPr>
          <w:rFonts w:ascii="PT Astra Serif" w:hAnsi="PT Astra Serif" w:eastAsia="Times New Roman"/>
          <w:i/>
          <w:sz w:val="24"/>
          <w:szCs w:val="24"/>
          <w:lang w:eastAsia="ru-RU"/>
        </w:rPr>
        <w:t xml:space="preserve"> регионального проекта «Развитие туристической инфраструктуры»:</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numPr>
          <w:ilvl w:val="0"/>
          <w:numId w:val="33"/>
        </w:numPr>
        <w:contextualSpacing/>
        <w:ind w:left="0" w:firstLine="709"/>
        <w:jc w:val="both"/>
        <w:spacing w:after="0" w:line="240" w:lineRule="auto"/>
        <w:tabs>
          <w:tab w:val="left" w:pos="0" w:leader="none"/>
          <w:tab w:val="left" w:pos="709" w:leader="none"/>
          <w:tab w:val="left" w:pos="993" w:leader="none"/>
        </w:tabs>
        <w:rPr>
          <w:rFonts w:ascii="PT Astra Serif" w:hAnsi="PT Astra Serif" w:eastAsia="Calibri"/>
          <w:sz w:val="24"/>
          <w:szCs w:val="24"/>
        </w:rPr>
      </w:pPr>
      <w:r>
        <w:rPr>
          <w:rFonts w:ascii="PT Astra Serif" w:hAnsi="PT Astra Serif" w:eastAsia="Calibri"/>
          <w:sz w:val="24"/>
          <w:szCs w:val="24"/>
        </w:rPr>
        <w:t xml:space="preserve">приобретено оборудование для развития туристической инфраструктуры в рамках реализации общественных инициатив «Пункт проката катамаранов и водных аттракционов» в г. Стрежево</w:t>
      </w:r>
      <w:r>
        <w:rPr>
          <w:rFonts w:ascii="PT Astra Serif" w:hAnsi="PT Astra Serif" w:eastAsia="Calibri"/>
          <w:sz w:val="24"/>
          <w:szCs w:val="24"/>
        </w:rPr>
        <w:t xml:space="preserve">м</w:t>
      </w:r>
      <w:r>
        <w:rPr>
          <w:rFonts w:ascii="PT Astra Serif" w:hAnsi="PT Astra Serif" w:eastAsia="Calibri"/>
          <w:sz w:val="24"/>
          <w:szCs w:val="24"/>
        </w:rPr>
        <w:t xml:space="preserve"> и </w:t>
      </w:r>
      <w:r>
        <w:rPr>
          <w:rFonts w:ascii="PT Astra Serif" w:hAnsi="PT Astra Serif" w:eastAsia="Calibri"/>
          <w:bCs/>
          <w:sz w:val="24"/>
          <w:szCs w:val="24"/>
        </w:rPr>
        <w:t xml:space="preserve">«</w:t>
      </w:r>
      <w:r>
        <w:rPr>
          <w:rFonts w:ascii="PT Astra Serif" w:hAnsi="PT Astra Serif" w:eastAsia="Calibri"/>
          <w:sz w:val="24"/>
          <w:szCs w:val="24"/>
        </w:rPr>
        <w:t xml:space="preserve">Создание пляжной зоны на Базе «Дом рыболова» в Новопокровском сельском поселении (Кожевниковский район). </w:t>
      </w:r>
      <w:r>
        <w:rPr>
          <w:rFonts w:ascii="PT Astra Serif" w:hAnsi="PT Astra Serif" w:eastAsia="Calibri"/>
          <w:sz w:val="24"/>
          <w:szCs w:val="24"/>
        </w:rPr>
      </w:r>
      <w:r>
        <w:rPr>
          <w:rFonts w:ascii="PT Astra Serif" w:hAnsi="PT Astra Serif" w:eastAsia="Calibri"/>
          <w:sz w:val="24"/>
          <w:szCs w:val="24"/>
        </w:rPr>
      </w:r>
    </w:p>
    <w:p>
      <w:pPr>
        <w:pStyle w:val="1152"/>
        <w:ind w:left="0" w:firstLine="709"/>
        <w:jc w:val="both"/>
        <w:spacing w:after="0" w:line="240" w:lineRule="auto"/>
        <w:tabs>
          <w:tab w:val="left" w:pos="0" w:leader="none"/>
          <w:tab w:val="left" w:pos="709" w:leader="none"/>
          <w:tab w:val="left" w:pos="851" w:leader="none"/>
        </w:tabs>
        <w:rPr>
          <w:rFonts w:ascii="PT Astra Serif" w:hAnsi="PT Astra Serif" w:eastAsia="Times New Roman"/>
          <w:i/>
          <w:sz w:val="24"/>
          <w:szCs w:val="24"/>
          <w:lang w:eastAsia="ru-RU"/>
        </w:rPr>
      </w:pPr>
      <w:r>
        <w:rPr>
          <w:rFonts w:ascii="PT Astra Serif" w:hAnsi="PT Astra Serif" w:eastAsia="Times New Roman"/>
          <w:sz w:val="24"/>
          <w:szCs w:val="24"/>
          <w:lang w:eastAsia="ru-RU"/>
        </w:rPr>
        <w:t xml:space="preserve">В рамках</w:t>
      </w:r>
      <w:r>
        <w:rPr>
          <w:rFonts w:ascii="PT Astra Serif" w:hAnsi="PT Astra Serif" w:eastAsia="Times New Roman"/>
          <w:i/>
          <w:sz w:val="24"/>
          <w:szCs w:val="24"/>
          <w:lang w:eastAsia="ru-RU"/>
        </w:rPr>
        <w:t xml:space="preserve"> регионального проекта «Повышение доступности туристических продуктов»:</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numPr>
          <w:ilvl w:val="0"/>
          <w:numId w:val="33"/>
        </w:numPr>
        <w:contextualSpacing/>
        <w:ind w:left="0" w:firstLine="709"/>
        <w:jc w:val="both"/>
        <w:spacing w:after="0" w:line="240" w:lineRule="auto"/>
        <w:tabs>
          <w:tab w:val="left" w:pos="0" w:leader="none"/>
          <w:tab w:val="left" w:pos="709" w:leader="none"/>
          <w:tab w:val="left" w:pos="993" w:leader="none"/>
        </w:tabs>
        <w:rPr>
          <w:rFonts w:ascii="PT Astra Serif" w:hAnsi="PT Astra Serif" w:eastAsia="Calibri"/>
          <w:sz w:val="24"/>
          <w:szCs w:val="24"/>
        </w:rPr>
      </w:pPr>
      <w:r>
        <w:rPr>
          <w:rFonts w:ascii="PT Astra Serif" w:hAnsi="PT Astra Serif" w:eastAsia="Calibri"/>
          <w:sz w:val="24"/>
          <w:szCs w:val="24"/>
        </w:rPr>
        <w:t xml:space="preserve">обеспечена поддержка и продвижение событийного мероприятия Международного фестиваля народных ремесел «Праздник топора». </w:t>
      </w:r>
      <w:r>
        <w:rPr>
          <w:rFonts w:ascii="PT Astra Serif" w:hAnsi="PT Astra Serif" w:eastAsia="Calibri"/>
          <w:bCs/>
          <w:sz w:val="24"/>
          <w:szCs w:val="24"/>
        </w:rPr>
        <w:t xml:space="preserve">Количество зрителей, посетивших событийное мероприятие на территории Том</w:t>
      </w:r>
      <w:r>
        <w:rPr>
          <w:rFonts w:ascii="PT Astra Serif" w:hAnsi="PT Astra Serif" w:eastAsia="Calibri"/>
          <w:bCs/>
          <w:sz w:val="24"/>
          <w:szCs w:val="24"/>
        </w:rPr>
        <w:t xml:space="preserve">ской области, составило 152 300 </w:t>
      </w:r>
      <w:r>
        <w:rPr>
          <w:rFonts w:ascii="PT Astra Serif" w:hAnsi="PT Astra Serif" w:eastAsia="Calibri"/>
          <w:bCs/>
          <w:sz w:val="24"/>
          <w:szCs w:val="24"/>
        </w:rPr>
        <w:t xml:space="preserve">человек (план – 50 000 человек).</w:t>
      </w:r>
      <w:r>
        <w:rPr>
          <w:rFonts w:ascii="PT Astra Serif" w:hAnsi="PT Astra Serif" w:eastAsia="Calibri"/>
          <w:sz w:val="24"/>
          <w:szCs w:val="24"/>
        </w:rPr>
      </w:r>
      <w:r>
        <w:rPr>
          <w:rFonts w:ascii="PT Astra Serif" w:hAnsi="PT Astra Serif" w:eastAsia="Calibri"/>
          <w:sz w:val="24"/>
          <w:szCs w:val="24"/>
        </w:rPr>
      </w:r>
    </w:p>
    <w:p>
      <w:pPr>
        <w:contextualSpacing/>
        <w:ind w:left="567" w:firstLine="709"/>
        <w:jc w:val="both"/>
        <w:spacing w:after="0" w:line="240" w:lineRule="auto"/>
        <w:tabs>
          <w:tab w:val="left" w:pos="567" w:leader="none"/>
          <w:tab w:val="left" w:pos="851" w:leader="none"/>
          <w:tab w:val="left" w:pos="993" w:leader="none"/>
        </w:tabs>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tabs>
          <w:tab w:val="left" w:pos="284" w:leader="none"/>
          <w:tab w:val="left" w:pos="426" w:leader="none"/>
          <w:tab w:val="left" w:pos="567" w:leader="none"/>
          <w:tab w:val="left" w:pos="851" w:leader="none"/>
        </w:tabs>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Перспективные задачи на 2024 год:</w:t>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ind w:firstLine="709"/>
        <w:jc w:val="both"/>
        <w:spacing w:after="0" w:line="240" w:lineRule="auto"/>
        <w:tabs>
          <w:tab w:val="left" w:pos="284" w:leader="none"/>
          <w:tab w:val="left" w:pos="426" w:leader="none"/>
          <w:tab w:val="left" w:pos="567" w:leader="none"/>
          <w:tab w:val="left" w:pos="851" w:leader="none"/>
        </w:tabs>
        <w:rPr>
          <w:rFonts w:ascii="PT Astra Serif" w:hAnsi="PT Astra Serif" w:eastAsia="Times New Roman"/>
          <w:i/>
          <w:sz w:val="24"/>
          <w:szCs w:val="24"/>
          <w:lang w:eastAsia="ru-RU"/>
        </w:rPr>
      </w:pPr>
      <w:r>
        <w:rPr>
          <w:rFonts w:ascii="PT Astra Serif" w:hAnsi="PT Astra Serif" w:eastAsia="Times New Roman"/>
          <w:i/>
          <w:sz w:val="24"/>
          <w:szCs w:val="24"/>
          <w:lang w:eastAsia="ru-RU"/>
        </w:rPr>
        <w:t xml:space="preserve">Региональный проект «Развитие туристической инфраструктуры»</w:t>
      </w:r>
      <w:r>
        <w:rPr>
          <w:rFonts w:ascii="PT Astra Serif" w:hAnsi="PT Astra Serif" w:eastAsia="Times New Roman"/>
          <w:i/>
          <w:sz w:val="24"/>
          <w:szCs w:val="24"/>
          <w:lang w:eastAsia="ru-RU"/>
        </w:rPr>
      </w:r>
      <w:r>
        <w:rPr>
          <w:rFonts w:ascii="PT Astra Serif" w:hAnsi="PT Astra Serif" w:eastAsia="Times New Roman"/>
          <w:i/>
          <w:sz w:val="24"/>
          <w:szCs w:val="24"/>
          <w:lang w:eastAsia="ru-RU"/>
        </w:rPr>
      </w:r>
    </w:p>
    <w:p>
      <w:pPr>
        <w:pStyle w:val="1152"/>
        <w:numPr>
          <w:ilvl w:val="3"/>
          <w:numId w:val="32"/>
        </w:numPr>
        <w:ind w:left="0" w:firstLine="709"/>
        <w:jc w:val="both"/>
        <w:spacing w:after="0" w:line="240" w:lineRule="auto"/>
        <w:tabs>
          <w:tab w:val="left" w:pos="0" w:leader="none"/>
          <w:tab w:val="left" w:pos="567" w:leader="none"/>
          <w:tab w:val="left" w:pos="993" w:leader="none"/>
        </w:tabs>
        <w:rPr>
          <w:rFonts w:ascii="PT Astra Serif" w:hAnsi="PT Astra Serif"/>
          <w:bCs/>
          <w:sz w:val="24"/>
          <w:szCs w:val="24"/>
        </w:rPr>
      </w:pPr>
      <w:r>
        <w:rPr>
          <w:rFonts w:ascii="PT Astra Serif" w:hAnsi="PT Astra Serif"/>
          <w:bCs/>
          <w:sz w:val="24"/>
          <w:szCs w:val="24"/>
        </w:rPr>
        <w:t xml:space="preserve">Поддержка реализации проектов по развитию и обустройству общественной территории туристского центра города, а также обеспечение поддержки и продвижения событийных мероприятий.</w:t>
      </w:r>
      <w:r>
        <w:rPr>
          <w:rFonts w:ascii="PT Astra Serif" w:hAnsi="PT Astra Serif"/>
          <w:bCs/>
          <w:sz w:val="24"/>
          <w:szCs w:val="24"/>
        </w:rPr>
      </w:r>
      <w:r>
        <w:rPr>
          <w:rFonts w:ascii="PT Astra Serif" w:hAnsi="PT Astra Serif"/>
          <w:bCs/>
          <w:sz w:val="24"/>
          <w:szCs w:val="24"/>
        </w:rPr>
      </w:r>
    </w:p>
    <w:p>
      <w:pPr>
        <w:ind w:firstLine="709"/>
        <w:jc w:val="both"/>
        <w:spacing w:after="0" w:line="240" w:lineRule="auto"/>
        <w:tabs>
          <w:tab w:val="left" w:pos="993"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993" w:leader="none"/>
        </w:tabs>
        <w:rPr>
          <w:rFonts w:ascii="PT Astra Serif" w:hAnsi="PT Astra Serif"/>
          <w:b/>
          <w:sz w:val="24"/>
          <w:szCs w:val="24"/>
        </w:rPr>
      </w:pPr>
      <w:r>
        <w:rPr>
          <w:rFonts w:ascii="PT Astra Serif" w:hAnsi="PT Astra Serif"/>
          <w:sz w:val="24"/>
          <w:szCs w:val="24"/>
        </w:rPr>
        <w:t xml:space="preserve">В 2023 году утвержден новый н</w:t>
      </w:r>
      <w:r>
        <w:rPr>
          <w:rFonts w:ascii="PT Astra Serif" w:hAnsi="PT Astra Serif"/>
          <w:b/>
          <w:sz w:val="24"/>
          <w:szCs w:val="24"/>
        </w:rPr>
        <w:t xml:space="preserve">ациональный проект «Беспилотные авиационные системы».</w:t>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В целях развития беспилотных авиационных систем в отчетном году в регионе  создано юридическое лицо в форме АНО </w:t>
      </w:r>
      <w:r>
        <w:rPr>
          <w:rFonts w:ascii="PT Astra Serif" w:hAnsi="PT Astra Serif" w:eastAsia="Calibri"/>
          <w:sz w:val="24"/>
          <w:szCs w:val="24"/>
        </w:rPr>
        <w:t xml:space="preserve">–</w:t>
      </w:r>
      <w:r>
        <w:rPr>
          <w:rFonts w:ascii="PT Astra Serif" w:hAnsi="PT Astra Serif"/>
          <w:sz w:val="24"/>
          <w:szCs w:val="24"/>
        </w:rPr>
        <w:t xml:space="preserve"> Автономная некоммерческая организация «Научно-производственный центр беспилотных авиационных систем Томской области».   </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b/>
          <w:sz w:val="24"/>
          <w:szCs w:val="24"/>
        </w:rPr>
      </w:pPr>
      <w:r>
        <w:rPr>
          <w:rFonts w:ascii="PT Astra Serif" w:hAnsi="PT Astra Serif"/>
          <w:b/>
          <w:sz w:val="24"/>
          <w:szCs w:val="24"/>
        </w:rPr>
        <w:t xml:space="preserve">Перспективные задачи на 2024 год:</w:t>
      </w:r>
      <w:r>
        <w:rPr>
          <w:rFonts w:ascii="PT Astra Serif" w:hAnsi="PT Astra Serif"/>
          <w:b/>
          <w:sz w:val="24"/>
          <w:szCs w:val="24"/>
        </w:rPr>
      </w:r>
      <w:r>
        <w:rPr>
          <w:rFonts w:ascii="PT Astra Serif" w:hAnsi="PT Astra Serif"/>
          <w:b/>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i/>
          <w:sz w:val="24"/>
          <w:szCs w:val="24"/>
        </w:rPr>
        <w:t xml:space="preserve">Региональный проект</w:t>
      </w:r>
      <w:r>
        <w:rPr>
          <w:rFonts w:ascii="PT Astra Serif" w:hAnsi="PT Astra Serif"/>
          <w:sz w:val="24"/>
          <w:szCs w:val="24"/>
        </w:rPr>
        <w:t xml:space="preserve"> </w:t>
      </w:r>
      <w:r>
        <w:rPr>
          <w:rFonts w:ascii="PT Astra Serif" w:hAnsi="PT Astra Serif"/>
          <w:i/>
          <w:sz w:val="24"/>
          <w:szCs w:val="24"/>
        </w:rPr>
        <w:t xml:space="preserve">«Разработка, стандартизация и серийное производство беспилотных авиационных систем и их комплектующих»:</w:t>
      </w:r>
      <w:r>
        <w:rPr>
          <w:rFonts w:ascii="PT Astra Serif" w:hAnsi="PT Astra Serif"/>
          <w:i/>
          <w:sz w:val="24"/>
          <w:szCs w:val="24"/>
        </w:rPr>
      </w:r>
      <w:r>
        <w:rPr>
          <w:rFonts w:ascii="PT Astra Serif" w:hAnsi="PT Astra Serif"/>
          <w:i/>
          <w:sz w:val="24"/>
          <w:szCs w:val="24"/>
        </w:rPr>
      </w:r>
    </w:p>
    <w:p>
      <w:pPr>
        <w:pStyle w:val="1152"/>
        <w:numPr>
          <w:ilvl w:val="0"/>
          <w:numId w:val="61"/>
        </w:numPr>
        <w:ind w:left="0" w:firstLine="709"/>
        <w:jc w:val="both"/>
        <w:spacing w:after="0" w:line="240" w:lineRule="auto"/>
        <w:tabs>
          <w:tab w:val="left" w:pos="1134" w:leader="none"/>
        </w:tabs>
        <w:rPr>
          <w:rFonts w:ascii="PT Astra Serif" w:hAnsi="PT Astra Serif"/>
          <w:sz w:val="24"/>
          <w:szCs w:val="24"/>
        </w:rPr>
      </w:pPr>
      <w:r>
        <w:rPr>
          <w:rFonts w:ascii="PT Astra Serif" w:hAnsi="PT Astra Serif"/>
          <w:sz w:val="24"/>
          <w:szCs w:val="24"/>
        </w:rPr>
        <w:t xml:space="preserve">Осуществление организации и проведения научных исследований, способствующих развитию научного и инновационного потенциала Томской област</w:t>
      </w:r>
      <w:r>
        <w:rPr>
          <w:rFonts w:ascii="PT Astra Serif" w:hAnsi="PT Astra Serif"/>
          <w:sz w:val="24"/>
          <w:szCs w:val="24"/>
        </w:rPr>
        <w:t xml:space="preserve">и в области беспилотной авиации.</w:t>
      </w:r>
      <w:r>
        <w:rPr>
          <w:rFonts w:ascii="PT Astra Serif" w:hAnsi="PT Astra Serif"/>
          <w:sz w:val="24"/>
          <w:szCs w:val="24"/>
        </w:rPr>
      </w:r>
      <w:r>
        <w:rPr>
          <w:rFonts w:ascii="PT Astra Serif" w:hAnsi="PT Astra Serif"/>
          <w:sz w:val="24"/>
          <w:szCs w:val="24"/>
        </w:rPr>
      </w:r>
    </w:p>
    <w:p>
      <w:pPr>
        <w:pStyle w:val="1152"/>
        <w:numPr>
          <w:ilvl w:val="0"/>
          <w:numId w:val="61"/>
        </w:numPr>
        <w:ind w:left="0" w:firstLine="709"/>
        <w:jc w:val="both"/>
        <w:spacing w:after="0" w:line="240" w:lineRule="auto"/>
        <w:tabs>
          <w:tab w:val="left" w:pos="1134" w:leader="none"/>
        </w:tabs>
        <w:rPr>
          <w:rFonts w:ascii="PT Astra Serif" w:hAnsi="PT Astra Serif"/>
          <w:sz w:val="24"/>
          <w:szCs w:val="24"/>
        </w:rPr>
      </w:pPr>
      <w:r>
        <w:rPr>
          <w:rFonts w:ascii="PT Astra Serif" w:hAnsi="PT Astra Serif"/>
          <w:sz w:val="24"/>
          <w:szCs w:val="24"/>
        </w:rPr>
        <w:t xml:space="preserve">Формирование научных и производственных команд для выполнения работ по исследованиям и разработка</w:t>
      </w:r>
      <w:r>
        <w:rPr>
          <w:rFonts w:ascii="PT Astra Serif" w:hAnsi="PT Astra Serif"/>
          <w:sz w:val="24"/>
          <w:szCs w:val="24"/>
        </w:rPr>
        <w:t xml:space="preserve">м в области беспилотной авиации.</w:t>
      </w:r>
      <w:r>
        <w:rPr>
          <w:rFonts w:ascii="PT Astra Serif" w:hAnsi="PT Astra Serif"/>
          <w:sz w:val="24"/>
          <w:szCs w:val="24"/>
        </w:rPr>
      </w:r>
      <w:r>
        <w:rPr>
          <w:rFonts w:ascii="PT Astra Serif" w:hAnsi="PT Astra Serif"/>
          <w:sz w:val="24"/>
          <w:szCs w:val="24"/>
        </w:rPr>
      </w:r>
    </w:p>
    <w:p>
      <w:pPr>
        <w:pStyle w:val="1152"/>
        <w:numPr>
          <w:ilvl w:val="0"/>
          <w:numId w:val="61"/>
        </w:numPr>
        <w:ind w:left="0" w:firstLine="709"/>
        <w:jc w:val="both"/>
        <w:spacing w:after="0" w:line="240" w:lineRule="auto"/>
        <w:tabs>
          <w:tab w:val="left" w:pos="1134" w:leader="none"/>
        </w:tabs>
        <w:rPr>
          <w:rFonts w:ascii="PT Astra Serif" w:hAnsi="PT Astra Serif"/>
          <w:sz w:val="24"/>
          <w:szCs w:val="24"/>
        </w:rPr>
      </w:pPr>
      <w:r>
        <w:rPr>
          <w:rFonts w:ascii="PT Astra Serif" w:hAnsi="PT Astra Serif"/>
          <w:sz w:val="24"/>
          <w:szCs w:val="24"/>
        </w:rPr>
        <w:t xml:space="preserve">Нау</w:t>
      </w:r>
      <w:r>
        <w:rPr>
          <w:rFonts w:ascii="PT Astra Serif" w:hAnsi="PT Astra Serif"/>
          <w:sz w:val="24"/>
          <w:szCs w:val="24"/>
        </w:rPr>
        <w:t xml:space="preserve">чно и научно-техническое сопровождение внедрения научных процессов, разработок и достижений, новых технологий в области авиастроения, наземных и летных испытаний, опытного и серийного производства, и эксплуатации беспилотных авиационных систем и аппаратов.</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i/>
          <w:sz w:val="24"/>
          <w:szCs w:val="24"/>
        </w:rPr>
        <w:t xml:space="preserve">Региональный проект «Развитие инфраструктуры, обеспечение безопасности и формирование специализированной системы сертификации беспилотных авиационных систем»:</w:t>
      </w:r>
      <w:r>
        <w:rPr>
          <w:rFonts w:ascii="PT Astra Serif" w:hAnsi="PT Astra Serif"/>
          <w:i/>
          <w:sz w:val="24"/>
          <w:szCs w:val="24"/>
        </w:rPr>
      </w:r>
      <w:r>
        <w:rPr>
          <w:rFonts w:ascii="PT Astra Serif" w:hAnsi="PT Astra Serif"/>
          <w:i/>
          <w:sz w:val="24"/>
          <w:szCs w:val="24"/>
        </w:rPr>
      </w:r>
    </w:p>
    <w:p>
      <w:pPr>
        <w:pStyle w:val="1152"/>
        <w:numPr>
          <w:ilvl w:val="3"/>
          <w:numId w:val="12"/>
        </w:numPr>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Оснащение унифицированной инфраструктурой для наземного и технического обслуживания беспилотных воздушных судов:</w:t>
      </w:r>
      <w:r>
        <w:rPr>
          <w:rFonts w:ascii="PT Astra Serif" w:hAnsi="PT Astra Serif"/>
          <w:sz w:val="24"/>
          <w:szCs w:val="24"/>
        </w:rPr>
        <w:t xml:space="preserve"> строительство/реконструкция 2</w:t>
      </w:r>
      <w:r>
        <w:rPr>
          <w:rFonts w:ascii="PT Astra Serif" w:hAnsi="PT Astra Serif"/>
          <w:sz w:val="24"/>
          <w:szCs w:val="24"/>
        </w:rPr>
        <w:t xml:space="preserve"> </w:t>
      </w:r>
      <w:r>
        <w:rPr>
          <w:rFonts w:ascii="PT Astra Serif" w:hAnsi="PT Astra Serif"/>
          <w:sz w:val="24"/>
          <w:szCs w:val="24"/>
        </w:rPr>
        <w:t xml:space="preserve">посадочных площадок для беспилотных авиационных с</w:t>
      </w:r>
      <w:r>
        <w:rPr>
          <w:rFonts w:ascii="PT Astra Serif" w:hAnsi="PT Astra Serif"/>
          <w:sz w:val="24"/>
          <w:szCs w:val="24"/>
        </w:rPr>
        <w:t xml:space="preserve">истем в с. Каргасок и г. </w:t>
      </w:r>
      <w:r>
        <w:rPr>
          <w:rFonts w:ascii="PT Astra Serif" w:hAnsi="PT Astra Serif"/>
          <w:sz w:val="24"/>
          <w:szCs w:val="24"/>
        </w:rPr>
        <w:t xml:space="preserve">Кедровом</w:t>
      </w:r>
      <w:r>
        <w:rPr>
          <w:rFonts w:ascii="PT Astra Serif" w:hAnsi="PT Astra Serif"/>
          <w:sz w:val="24"/>
          <w:szCs w:val="24"/>
        </w:rPr>
        <w:t xml:space="preserve">.</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993" w:leader="none"/>
        </w:tabs>
        <w:rPr>
          <w:rFonts w:ascii="PT Astra Serif" w:hAnsi="PT Astra Serif"/>
          <w:i/>
          <w:sz w:val="24"/>
          <w:szCs w:val="24"/>
        </w:rPr>
      </w:pPr>
      <w:r>
        <w:rPr>
          <w:rFonts w:ascii="PT Astra Serif" w:hAnsi="PT Astra Serif"/>
          <w:i/>
          <w:sz w:val="24"/>
          <w:szCs w:val="24"/>
        </w:rPr>
        <w:t xml:space="preserve">Региональный проект «Стимулирование спроса на отечественные беспилотные авиационные системы»</w:t>
      </w:r>
      <w:r>
        <w:rPr>
          <w:rFonts w:ascii="PT Astra Serif" w:hAnsi="PT Astra Serif"/>
          <w:i/>
          <w:sz w:val="24"/>
          <w:szCs w:val="24"/>
        </w:rPr>
      </w:r>
      <w:r>
        <w:rPr>
          <w:rFonts w:ascii="PT Astra Serif" w:hAnsi="PT Astra Serif"/>
          <w:i/>
          <w:sz w:val="24"/>
          <w:szCs w:val="24"/>
        </w:rPr>
      </w:r>
    </w:p>
    <w:p>
      <w:pPr>
        <w:pStyle w:val="1152"/>
        <w:numPr>
          <w:ilvl w:val="6"/>
          <w:numId w:val="12"/>
        </w:numPr>
        <w:ind w:left="0" w:firstLine="709"/>
        <w:jc w:val="both"/>
        <w:spacing w:after="0" w:line="240" w:lineRule="auto"/>
        <w:tabs>
          <w:tab w:val="left" w:pos="993" w:leader="none"/>
        </w:tabs>
        <w:rPr>
          <w:rFonts w:ascii="PT Astra Serif" w:hAnsi="PT Astra Serif"/>
          <w:sz w:val="24"/>
          <w:szCs w:val="24"/>
        </w:rPr>
      </w:pPr>
      <w:r>
        <w:rPr>
          <w:rFonts w:ascii="PT Astra Serif" w:hAnsi="PT Astra Serif"/>
          <w:sz w:val="24"/>
          <w:szCs w:val="24"/>
        </w:rPr>
        <w:t xml:space="preserve">Оснащение образовательных организаций, реализующих основные общеобразовательные программы, за исключением образовател</w:t>
      </w:r>
      <w:r>
        <w:rPr>
          <w:rFonts w:ascii="PT Astra Serif" w:hAnsi="PT Astra Serif"/>
          <w:sz w:val="24"/>
          <w:szCs w:val="24"/>
        </w:rPr>
        <w:t xml:space="preserve">ьных программ дошкольного образования, образовательные программы среднего профессионального образования и дополнительные образовательные программы, оборудованием для реализации образовательных процессов по разработке, производству и эксплуатации БАС (план </w:t>
      </w:r>
      <w:r>
        <w:rPr>
          <w:rFonts w:ascii="PT Astra Serif" w:hAnsi="PT Astra Serif"/>
          <w:sz w:val="24"/>
          <w:szCs w:val="24"/>
        </w:rPr>
        <w:t xml:space="preserve">–</w:t>
      </w:r>
      <w:r>
        <w:rPr>
          <w:rFonts w:ascii="PT Astra Serif" w:hAnsi="PT Astra Serif"/>
          <w:sz w:val="24"/>
          <w:szCs w:val="24"/>
        </w:rPr>
        <w:t xml:space="preserve"> 19 школ и 1 колледж).</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sectPr>
          <w:footnotePr/>
          <w:endnotePr/>
          <w:type w:val="nextPage"/>
          <w:pgSz w:w="11906" w:h="16838" w:orient="portrait"/>
          <w:pgMar w:top="1134" w:right="850" w:bottom="1134" w:left="1701" w:header="708" w:footer="708" w:gutter="0"/>
          <w:cols w:num="1" w:sep="0" w:space="708" w:equalWidth="1"/>
          <w:docGrid w:linePitch="360"/>
        </w:sect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67"/>
        <w:outlineLvl w:val="1"/>
      </w:pPr>
      <w:r/>
      <w:bookmarkStart w:id="37" w:name="_Toc134630426"/>
      <w:r>
        <w:t xml:space="preserve">Приложение № 6</w:t>
      </w:r>
      <w:bookmarkEnd w:id="37"/>
      <w:r/>
      <w:r/>
    </w:p>
    <w:p>
      <w:pPr>
        <w:spacing w:after="0" w:line="240" w:lineRule="auto"/>
        <w:tabs>
          <w:tab w:val="left" w:pos="4962" w:leader="none"/>
        </w:tabs>
        <w:rPr>
          <w:rFonts w:ascii="PT Astra Serif" w:hAnsi="PT Astra Serif" w:eastAsia="Calibri"/>
          <w:b/>
          <w:sz w:val="24"/>
          <w:szCs w:val="24"/>
        </w:rPr>
      </w:pPr>
      <w:r>
        <w:rPr>
          <w:rFonts w:ascii="PT Astra Serif" w:hAnsi="PT Astra Serif" w:eastAsia="Calibri"/>
          <w:b/>
          <w:sz w:val="24"/>
          <w:szCs w:val="24"/>
        </w:rPr>
      </w:r>
      <w:r>
        <w:rPr>
          <w:rFonts w:ascii="PT Astra Serif" w:hAnsi="PT Astra Serif" w:eastAsia="Calibri"/>
          <w:b/>
          <w:sz w:val="24"/>
          <w:szCs w:val="24"/>
        </w:rPr>
      </w:r>
      <w:r>
        <w:rPr>
          <w:rFonts w:ascii="PT Astra Serif" w:hAnsi="PT Astra Serif" w:eastAsia="Calibri"/>
          <w:b/>
          <w:sz w:val="24"/>
          <w:szCs w:val="24"/>
        </w:rPr>
      </w:r>
    </w:p>
    <w:p>
      <w:pPr>
        <w:ind w:firstLine="709"/>
        <w:jc w:val="center"/>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eastAsia="Calibri"/>
          <w:b/>
          <w:sz w:val="24"/>
          <w:szCs w:val="24"/>
        </w:rPr>
        <w:t xml:space="preserve">Информация об исполнении консолидированных бюджетов муниципальных образований Томской области за 2023 год (на 1 января 2024 года)</w:t>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tbl>
      <w:tblPr>
        <w:tblW w:w="9578" w:type="dxa"/>
        <w:tblInd w:w="93" w:type="dxa"/>
        <w:tblLook w:val="04A0" w:firstRow="1" w:lastRow="0" w:firstColumn="1" w:lastColumn="0" w:noHBand="0" w:noVBand="1"/>
      </w:tblPr>
      <w:tblGrid>
        <w:gridCol w:w="516"/>
        <w:gridCol w:w="2901"/>
        <w:gridCol w:w="1559"/>
        <w:gridCol w:w="1540"/>
        <w:gridCol w:w="1503"/>
        <w:gridCol w:w="1559"/>
      </w:tblGrid>
      <w:tr>
        <w:tblPrEx/>
        <w:trPr>
          <w:trHeight w:val="300"/>
        </w:trPr>
        <w:tc>
          <w:tcPr>
            <w:shd w:val="clear" w:color="auto" w:fill="auto"/>
            <w:tcBorders>
              <w:top w:val="none" w:color="000000" w:sz="4" w:space="0"/>
              <w:left w:val="none" w:color="000000" w:sz="4" w:space="0"/>
              <w:bottom w:val="none" w:color="000000" w:sz="4" w:space="0"/>
              <w:right w:val="none" w:color="000000" w:sz="4" w:space="0"/>
            </w:tcBorders>
            <w:tcW w:w="516" w:type="dxa"/>
            <w:vAlign w:val="bottom"/>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none" w:color="000000" w:sz="4" w:space="0"/>
              <w:right w:val="none" w:color="000000" w:sz="4" w:space="0"/>
            </w:tcBorders>
            <w:tcW w:w="2901" w:type="dxa"/>
            <w:vAlign w:val="bottom"/>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none" w:color="000000" w:sz="4" w:space="0"/>
              <w:right w:val="none" w:color="000000" w:sz="4" w:space="0"/>
            </w:tcBorders>
            <w:tcW w:w="1559" w:type="dxa"/>
            <w:vAlign w:val="center"/>
            <w:textDirection w:val="lrTb"/>
            <w:noWrap w:val="false"/>
          </w:tcPr>
          <w:p>
            <w:pPr>
              <w:jc w:val="center"/>
              <w:spacing w:after="0" w:line="240" w:lineRule="auto"/>
              <w:rPr>
                <w:rFonts w:ascii="PT Astra Serif" w:hAnsi="PT Astra Serif" w:eastAsia="Times New Roman"/>
                <w:b/>
                <w:bCs/>
                <w:sz w:val="20"/>
                <w:szCs w:val="20"/>
                <w:lang w:eastAsia="ru-RU"/>
              </w:rPr>
            </w:pPr>
            <w:r>
              <w:rPr>
                <w:rFonts w:ascii="PT Astra Serif" w:hAnsi="PT Astra Serif" w:eastAsia="Times New Roman"/>
                <w:b/>
                <w:bCs/>
                <w:sz w:val="20"/>
                <w:szCs w:val="20"/>
                <w:lang w:eastAsia="ru-RU"/>
              </w:rPr>
            </w:r>
            <w:r>
              <w:rPr>
                <w:rFonts w:ascii="PT Astra Serif" w:hAnsi="PT Astra Serif" w:eastAsia="Times New Roman"/>
                <w:b/>
                <w:bCs/>
                <w:sz w:val="20"/>
                <w:szCs w:val="20"/>
                <w:lang w:eastAsia="ru-RU"/>
              </w:rPr>
            </w:r>
            <w:r>
              <w:rPr>
                <w:rFonts w:ascii="PT Astra Serif" w:hAnsi="PT Astra Serif" w:eastAsia="Times New Roman"/>
                <w:b/>
                <w:bCs/>
                <w:sz w:val="20"/>
                <w:szCs w:val="20"/>
                <w:lang w:eastAsia="ru-RU"/>
              </w:rPr>
            </w:r>
          </w:p>
        </w:tc>
        <w:tc>
          <w:tcPr>
            <w:shd w:val="clear" w:color="auto" w:fill="auto"/>
            <w:tcBorders>
              <w:top w:val="none" w:color="000000" w:sz="4" w:space="0"/>
              <w:left w:val="none" w:color="000000" w:sz="4" w:space="0"/>
              <w:bottom w:val="none" w:color="000000" w:sz="4" w:space="0"/>
              <w:right w:val="none" w:color="000000" w:sz="4" w:space="0"/>
            </w:tcBorders>
            <w:tcW w:w="1540" w:type="dxa"/>
            <w:vAlign w:val="bottom"/>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none" w:color="000000" w:sz="4" w:space="0"/>
              <w:right w:val="none" w:color="000000" w:sz="4" w:space="0"/>
            </w:tcBorders>
            <w:tcW w:w="1503" w:type="dxa"/>
            <w:vAlign w:val="bottom"/>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none" w:color="000000" w:sz="4" w:space="0"/>
              <w:right w:val="none" w:color="000000" w:sz="4" w:space="0"/>
            </w:tcBorders>
            <w:tcW w:w="1559" w:type="dxa"/>
            <w:vAlign w:val="bottom"/>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тыс. рублей</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360"/>
        </w:trPr>
        <w:tc>
          <w:tcPr>
            <w:shd w:val="clear" w:color="auto" w:fill="auto"/>
            <w:tcBorders>
              <w:top w:val="single" w:color="auto" w:sz="4" w:space="0"/>
              <w:left w:val="single" w:color="auto" w:sz="4" w:space="0"/>
              <w:bottom w:val="single" w:color="auto" w:sz="4" w:space="0"/>
              <w:right w:val="single" w:color="auto" w:sz="4" w:space="0"/>
            </w:tcBorders>
            <w:tcW w:w="516" w:type="dxa"/>
            <w:vAlign w:val="center"/>
            <w:vMerge w:val="restart"/>
            <w:textDirection w:val="lrTb"/>
            <w:noWrap w:val="false"/>
          </w:tcPr>
          <w:p>
            <w:pPr>
              <w:jc w:val="cente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 п</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п</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2901" w:type="dxa"/>
            <w:vAlign w:val="center"/>
            <w:vMerge w:val="restart"/>
            <w:textDirection w:val="lrTb"/>
            <w:noWrap w:val="false"/>
          </w:tcPr>
          <w:p>
            <w:pPr>
              <w:jc w:val="cente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Наименование муниципального образования</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gridSpan w:val="2"/>
            <w:shd w:val="clear" w:color="auto" w:fill="auto"/>
            <w:tcBorders>
              <w:top w:val="single" w:color="auto" w:sz="4" w:space="0"/>
              <w:left w:val="none" w:color="000000" w:sz="4" w:space="0"/>
              <w:bottom w:val="single" w:color="auto" w:sz="4" w:space="0"/>
              <w:right w:val="single" w:color="000000" w:sz="4" w:space="0"/>
            </w:tcBorders>
            <w:tcW w:w="3099" w:type="dxa"/>
            <w:vAlign w:val="center"/>
            <w:textDirection w:val="lrTb"/>
            <w:noWrap/>
          </w:tcPr>
          <w:p>
            <w:pPr>
              <w:jc w:val="center"/>
              <w:spacing w:after="0" w:line="240" w:lineRule="auto"/>
              <w:rPr>
                <w:rFonts w:ascii="PT Astra Serif" w:hAnsi="PT Astra Serif" w:eastAsia="Times New Roman"/>
                <w:b/>
                <w:bCs/>
                <w:sz w:val="20"/>
                <w:szCs w:val="20"/>
                <w:lang w:eastAsia="ru-RU"/>
              </w:rPr>
            </w:pPr>
            <w:r>
              <w:rPr>
                <w:rFonts w:ascii="PT Astra Serif" w:hAnsi="PT Astra Serif" w:eastAsia="Times New Roman"/>
                <w:b/>
                <w:bCs/>
                <w:sz w:val="20"/>
                <w:szCs w:val="20"/>
                <w:lang w:eastAsia="ru-RU"/>
              </w:rPr>
              <w:t xml:space="preserve">Доходы исполнено за 2023 год</w:t>
            </w:r>
            <w:r>
              <w:rPr>
                <w:rFonts w:ascii="PT Astra Serif" w:hAnsi="PT Astra Serif" w:eastAsia="Times New Roman"/>
                <w:b/>
                <w:bCs/>
                <w:sz w:val="20"/>
                <w:szCs w:val="20"/>
                <w:lang w:eastAsia="ru-RU"/>
              </w:rPr>
            </w:r>
            <w:r>
              <w:rPr>
                <w:rFonts w:ascii="PT Astra Serif" w:hAnsi="PT Astra Serif" w:eastAsia="Times New Roman"/>
                <w:b/>
                <w:bCs/>
                <w:sz w:val="20"/>
                <w:szCs w:val="20"/>
                <w:lang w:eastAsia="ru-RU"/>
              </w:rPr>
            </w:r>
          </w:p>
        </w:tc>
        <w:tc>
          <w:tcPr>
            <w:shd w:val="clear" w:color="auto" w:fill="auto"/>
            <w:tcBorders>
              <w:top w:val="single" w:color="auto" w:sz="4" w:space="0"/>
              <w:left w:val="single" w:color="auto" w:sz="4" w:space="0"/>
              <w:bottom w:val="single" w:color="000000" w:sz="4" w:space="0"/>
              <w:right w:val="single" w:color="auto" w:sz="4" w:space="0"/>
            </w:tcBorders>
            <w:tcW w:w="1503" w:type="dxa"/>
            <w:vAlign w:val="center"/>
            <w:vMerge w:val="restart"/>
            <w:textDirection w:val="lrTb"/>
            <w:noWrap w:val="false"/>
          </w:tcPr>
          <w:p>
            <w:pPr>
              <w:jc w:val="center"/>
              <w:spacing w:after="0" w:line="240" w:lineRule="auto"/>
              <w:rPr>
                <w:rFonts w:ascii="PT Astra Serif" w:hAnsi="PT Astra Serif" w:eastAsia="Times New Roman"/>
                <w:b/>
                <w:bCs/>
                <w:sz w:val="20"/>
                <w:szCs w:val="20"/>
                <w:lang w:eastAsia="ru-RU"/>
              </w:rPr>
            </w:pPr>
            <w:r>
              <w:rPr>
                <w:rFonts w:ascii="PT Astra Serif" w:hAnsi="PT Astra Serif" w:eastAsia="Times New Roman"/>
                <w:b/>
                <w:bCs/>
                <w:sz w:val="20"/>
                <w:szCs w:val="20"/>
                <w:lang w:eastAsia="ru-RU"/>
              </w:rPr>
              <w:t xml:space="preserve">Расходы исполнено за 2023 год</w:t>
            </w:r>
            <w:r>
              <w:rPr>
                <w:rFonts w:ascii="PT Astra Serif" w:hAnsi="PT Astra Serif" w:eastAsia="Times New Roman"/>
                <w:b/>
                <w:bCs/>
                <w:sz w:val="20"/>
                <w:szCs w:val="20"/>
                <w:lang w:eastAsia="ru-RU"/>
              </w:rPr>
            </w:r>
            <w:r>
              <w:rPr>
                <w:rFonts w:ascii="PT Astra Serif" w:hAnsi="PT Astra Serif" w:eastAsia="Times New Roman"/>
                <w:b/>
                <w:bCs/>
                <w:sz w:val="20"/>
                <w:szCs w:val="20"/>
                <w:lang w:eastAsia="ru-RU"/>
              </w:rPr>
            </w:r>
          </w:p>
        </w:tc>
        <w:tc>
          <w:tcPr>
            <w:shd w:val="clear" w:color="auto" w:fill="auto"/>
            <w:tcBorders>
              <w:top w:val="single" w:color="auto" w:sz="4" w:space="0"/>
              <w:left w:val="single" w:color="auto" w:sz="4" w:space="0"/>
              <w:bottom w:val="single" w:color="000000" w:sz="4" w:space="0"/>
              <w:right w:val="single" w:color="auto" w:sz="4" w:space="0"/>
            </w:tcBorders>
            <w:tcW w:w="1559" w:type="dxa"/>
            <w:vAlign w:val="center"/>
            <w:vMerge w:val="restart"/>
            <w:textDirection w:val="lrTb"/>
            <w:noWrap w:val="false"/>
          </w:tcPr>
          <w:p>
            <w:pPr>
              <w:jc w:val="cente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Дефицит (-), Профицит (+)</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1152"/>
        </w:trPr>
        <w:tc>
          <w:tcPr>
            <w:tcBorders>
              <w:top w:val="single" w:color="auto" w:sz="4" w:space="0"/>
              <w:left w:val="single" w:color="auto" w:sz="4" w:space="0"/>
              <w:bottom w:val="single" w:color="auto" w:sz="4" w:space="0"/>
              <w:right w:val="single" w:color="auto" w:sz="4" w:space="0"/>
            </w:tcBorders>
            <w:tcW w:w="516" w:type="dxa"/>
            <w:vAlign w:val="center"/>
            <w:vMerge w:val="continue"/>
            <w:textDirection w:val="lrTb"/>
            <w:noWrap w:val="false"/>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tcBorders>
              <w:top w:val="single" w:color="auto" w:sz="4" w:space="0"/>
              <w:left w:val="single" w:color="auto" w:sz="4" w:space="0"/>
              <w:bottom w:val="single" w:color="auto" w:sz="4" w:space="0"/>
              <w:right w:val="single" w:color="auto" w:sz="4" w:space="0"/>
            </w:tcBorders>
            <w:tcW w:w="2901" w:type="dxa"/>
            <w:vAlign w:val="center"/>
            <w:vMerge w:val="continue"/>
            <w:textDirection w:val="lrTb"/>
            <w:noWrap w:val="false"/>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Всего</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в том числе</w:t>
            </w:r>
            <w:r>
              <w:rPr>
                <w:rFonts w:ascii="PT Astra Serif" w:hAnsi="PT Astra Serif" w:eastAsia="Times New Roman"/>
                <w:sz w:val="20"/>
                <w:szCs w:val="20"/>
                <w:lang w:eastAsia="ru-RU"/>
              </w:rPr>
              <w:t xml:space="preserve"> налоговые и неналоговые доходы</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tcBorders>
              <w:top w:val="single" w:color="auto" w:sz="4" w:space="0"/>
              <w:left w:val="single" w:color="auto" w:sz="4" w:space="0"/>
              <w:bottom w:val="single" w:color="000000" w:sz="4" w:space="0"/>
              <w:right w:val="single" w:color="auto" w:sz="4" w:space="0"/>
            </w:tcBorders>
            <w:tcW w:w="1503" w:type="dxa"/>
            <w:vAlign w:val="center"/>
            <w:vMerge w:val="continue"/>
            <w:textDirection w:val="lrTb"/>
            <w:noWrap w:val="false"/>
          </w:tcPr>
          <w:p>
            <w:pPr>
              <w:spacing w:after="0" w:line="240" w:lineRule="auto"/>
              <w:rPr>
                <w:rFonts w:ascii="PT Astra Serif" w:hAnsi="PT Astra Serif" w:eastAsia="Times New Roman"/>
                <w:b/>
                <w:bCs/>
                <w:sz w:val="20"/>
                <w:szCs w:val="20"/>
                <w:lang w:eastAsia="ru-RU"/>
              </w:rPr>
            </w:pPr>
            <w:r>
              <w:rPr>
                <w:rFonts w:ascii="PT Astra Serif" w:hAnsi="PT Astra Serif" w:eastAsia="Times New Roman"/>
                <w:b/>
                <w:bCs/>
                <w:sz w:val="20"/>
                <w:szCs w:val="20"/>
                <w:lang w:eastAsia="ru-RU"/>
              </w:rPr>
            </w:r>
            <w:r>
              <w:rPr>
                <w:rFonts w:ascii="PT Astra Serif" w:hAnsi="PT Astra Serif" w:eastAsia="Times New Roman"/>
                <w:b/>
                <w:bCs/>
                <w:sz w:val="20"/>
                <w:szCs w:val="20"/>
                <w:lang w:eastAsia="ru-RU"/>
              </w:rPr>
            </w:r>
            <w:r>
              <w:rPr>
                <w:rFonts w:ascii="PT Astra Serif" w:hAnsi="PT Astra Serif" w:eastAsia="Times New Roman"/>
                <w:b/>
                <w:bCs/>
                <w:sz w:val="20"/>
                <w:szCs w:val="20"/>
                <w:lang w:eastAsia="ru-RU"/>
              </w:rPr>
            </w:r>
          </w:p>
        </w:tc>
        <w:tc>
          <w:tcPr>
            <w:tcBorders>
              <w:top w:val="single" w:color="auto" w:sz="4" w:space="0"/>
              <w:left w:val="single" w:color="auto" w:sz="4" w:space="0"/>
              <w:bottom w:val="single" w:color="000000" w:sz="4" w:space="0"/>
              <w:right w:val="single" w:color="auto" w:sz="4" w:space="0"/>
            </w:tcBorders>
            <w:tcW w:w="1559" w:type="dxa"/>
            <w:vAlign w:val="center"/>
            <w:vMerge w:val="continue"/>
            <w:textDirection w:val="lrTb"/>
            <w:noWrap w:val="false"/>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315"/>
        </w:trPr>
        <w:tc>
          <w:tcPr>
            <w:shd w:val="clear" w:color="auto" w:fill="auto"/>
            <w:tcBorders>
              <w:top w:val="none" w:color="000000" w:sz="4" w:space="0"/>
              <w:left w:val="single" w:color="auto" w:sz="4" w:space="0"/>
              <w:bottom w:val="single" w:color="auto" w:sz="4" w:space="0"/>
              <w:right w:val="single" w:color="auto" w:sz="4" w:space="0"/>
            </w:tcBorders>
            <w:tcW w:w="516"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2901"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МО </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Александровский район</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1 007 330,0</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222 336,1</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990 862,4</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16 467,6</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315"/>
        </w:trPr>
        <w:tc>
          <w:tcPr>
            <w:shd w:val="clear" w:color="auto" w:fill="auto"/>
            <w:tcBorders>
              <w:top w:val="none" w:color="000000" w:sz="4" w:space="0"/>
              <w:left w:val="single" w:color="auto" w:sz="4" w:space="0"/>
              <w:bottom w:val="single" w:color="auto" w:sz="4" w:space="0"/>
              <w:right w:val="single" w:color="auto" w:sz="4" w:space="0"/>
            </w:tcBorders>
            <w:tcW w:w="516"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2.</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2901"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МО </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Асиновский район</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2 013 979,9</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330 338,4</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2 009 476,9</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4 503,0</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315"/>
        </w:trPr>
        <w:tc>
          <w:tcPr>
            <w:shd w:val="clear" w:color="auto" w:fill="auto"/>
            <w:tcBorders>
              <w:top w:val="none" w:color="000000" w:sz="4" w:space="0"/>
              <w:left w:val="single" w:color="auto" w:sz="4" w:space="0"/>
              <w:bottom w:val="single" w:color="auto" w:sz="4" w:space="0"/>
              <w:right w:val="single" w:color="auto" w:sz="4" w:space="0"/>
            </w:tcBorders>
            <w:tcW w:w="516"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3.</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2901"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МО </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Бакчарский район</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868 657,4</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82 787,8</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874 712,5</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-6 055,1</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315"/>
        </w:trPr>
        <w:tc>
          <w:tcPr>
            <w:shd w:val="clear" w:color="auto" w:fill="auto"/>
            <w:tcBorders>
              <w:top w:val="none" w:color="000000" w:sz="4" w:space="0"/>
              <w:left w:val="single" w:color="auto" w:sz="4" w:space="0"/>
              <w:bottom w:val="single" w:color="auto" w:sz="4" w:space="0"/>
              <w:right w:val="single" w:color="auto" w:sz="4" w:space="0"/>
            </w:tcBorders>
            <w:tcW w:w="516"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4.</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2901"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МО </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Верхнекетский район</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1 301 410,4</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229 916,0</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1 385 423,3</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-84 012,9</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315"/>
        </w:trPr>
        <w:tc>
          <w:tcPr>
            <w:shd w:val="clear" w:color="auto" w:fill="auto"/>
            <w:tcBorders>
              <w:top w:val="none" w:color="000000" w:sz="4" w:space="0"/>
              <w:left w:val="single" w:color="auto" w:sz="4" w:space="0"/>
              <w:bottom w:val="single" w:color="auto" w:sz="4" w:space="0"/>
              <w:right w:val="single" w:color="auto" w:sz="4" w:space="0"/>
            </w:tcBorders>
            <w:tcW w:w="516"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5.</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2901"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МО </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Зырянский район</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974 857,8</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78 733,3</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976 793,3</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-1 935,5</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315"/>
        </w:trPr>
        <w:tc>
          <w:tcPr>
            <w:shd w:val="clear" w:color="auto" w:fill="auto"/>
            <w:tcBorders>
              <w:top w:val="none" w:color="000000" w:sz="4" w:space="0"/>
              <w:left w:val="single" w:color="auto" w:sz="4" w:space="0"/>
              <w:bottom w:val="single" w:color="auto" w:sz="4" w:space="0"/>
              <w:right w:val="single" w:color="auto" w:sz="4" w:space="0"/>
            </w:tcBorders>
            <w:tcW w:w="516"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6.</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2901"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МО </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Каргасокский район</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2 095 393,5</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675 205,8</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1 865 090,8</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230 302,7</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315"/>
        </w:trPr>
        <w:tc>
          <w:tcPr>
            <w:shd w:val="clear" w:color="auto" w:fill="auto"/>
            <w:tcBorders>
              <w:top w:val="none" w:color="000000" w:sz="4" w:space="0"/>
              <w:left w:val="single" w:color="auto" w:sz="4" w:space="0"/>
              <w:bottom w:val="single" w:color="auto" w:sz="4" w:space="0"/>
              <w:right w:val="single" w:color="auto" w:sz="4" w:space="0"/>
            </w:tcBorders>
            <w:tcW w:w="516"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7.</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2901"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МО </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Кожевниковский район</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1 061 746,1</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218 383,4</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1 063 568,3</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-1 822,2</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315"/>
        </w:trPr>
        <w:tc>
          <w:tcPr>
            <w:shd w:val="clear" w:color="auto" w:fill="auto"/>
            <w:tcBorders>
              <w:top w:val="none" w:color="000000" w:sz="4" w:space="0"/>
              <w:left w:val="single" w:color="auto" w:sz="4" w:space="0"/>
              <w:bottom w:val="single" w:color="auto" w:sz="4" w:space="0"/>
              <w:right w:val="single" w:color="auto" w:sz="4" w:space="0"/>
            </w:tcBorders>
            <w:tcW w:w="516"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8.</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2901"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МО  </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Колпашевский район</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2 405 741,9</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479 101,1</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2 372 028,7</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33 713,2</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315"/>
        </w:trPr>
        <w:tc>
          <w:tcPr>
            <w:shd w:val="clear" w:color="auto" w:fill="auto"/>
            <w:tcBorders>
              <w:top w:val="none" w:color="000000" w:sz="4" w:space="0"/>
              <w:left w:val="single" w:color="auto" w:sz="4" w:space="0"/>
              <w:bottom w:val="single" w:color="auto" w:sz="4" w:space="0"/>
              <w:right w:val="single" w:color="auto" w:sz="4" w:space="0"/>
            </w:tcBorders>
            <w:tcW w:w="516"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9.</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2901"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МО </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Кривошеинский район</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842 097,4</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143 811,9</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835 027,1</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7 070,3</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315"/>
        </w:trPr>
        <w:tc>
          <w:tcPr>
            <w:shd w:val="clear" w:color="auto" w:fill="auto"/>
            <w:tcBorders>
              <w:top w:val="none" w:color="000000" w:sz="4" w:space="0"/>
              <w:left w:val="single" w:color="auto" w:sz="4" w:space="0"/>
              <w:bottom w:val="single" w:color="auto" w:sz="4" w:space="0"/>
              <w:right w:val="single" w:color="auto" w:sz="4" w:space="0"/>
            </w:tcBorders>
            <w:tcW w:w="516"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10.</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2901"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МО </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Молчановский район</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968 317,7</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132 486,0</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978 217,0</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-9 899,3</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315"/>
        </w:trPr>
        <w:tc>
          <w:tcPr>
            <w:shd w:val="clear" w:color="auto" w:fill="auto"/>
            <w:tcBorders>
              <w:top w:val="none" w:color="000000" w:sz="4" w:space="0"/>
              <w:left w:val="single" w:color="auto" w:sz="4" w:space="0"/>
              <w:bottom w:val="single" w:color="auto" w:sz="4" w:space="0"/>
              <w:right w:val="single" w:color="auto" w:sz="4" w:space="0"/>
            </w:tcBorders>
            <w:tcW w:w="516"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11.</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2901"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МО </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Парабельский район</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1 206 067,5</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345 469,4</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1 183 392,8</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22 674,7</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315"/>
        </w:trPr>
        <w:tc>
          <w:tcPr>
            <w:shd w:val="clear" w:color="auto" w:fill="auto"/>
            <w:tcBorders>
              <w:top w:val="none" w:color="000000" w:sz="4" w:space="0"/>
              <w:left w:val="single" w:color="auto" w:sz="4" w:space="0"/>
              <w:bottom w:val="single" w:color="auto" w:sz="4" w:space="0"/>
              <w:right w:val="single" w:color="auto" w:sz="4" w:space="0"/>
            </w:tcBorders>
            <w:tcW w:w="516"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12.</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2901"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МО </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Первомайский район</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1 491 670,0</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181 436,0</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1 478 366,8</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13 303,2</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315"/>
        </w:trPr>
        <w:tc>
          <w:tcPr>
            <w:shd w:val="clear" w:color="auto" w:fill="auto"/>
            <w:tcBorders>
              <w:top w:val="none" w:color="000000" w:sz="4" w:space="0"/>
              <w:left w:val="single" w:color="auto" w:sz="4" w:space="0"/>
              <w:bottom w:val="single" w:color="auto" w:sz="4" w:space="0"/>
              <w:right w:val="single" w:color="auto" w:sz="4" w:space="0"/>
            </w:tcBorders>
            <w:tcW w:w="516"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13.</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2901"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МО </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Тегульдетский район</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519 161,0</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83 059,0</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512 003,8</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7 157,2</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315"/>
        </w:trPr>
        <w:tc>
          <w:tcPr>
            <w:shd w:val="clear" w:color="auto" w:fill="auto"/>
            <w:tcBorders>
              <w:top w:val="none" w:color="000000" w:sz="4" w:space="0"/>
              <w:left w:val="single" w:color="auto" w:sz="4" w:space="0"/>
              <w:bottom w:val="single" w:color="auto" w:sz="4" w:space="0"/>
              <w:right w:val="single" w:color="auto" w:sz="4" w:space="0"/>
            </w:tcBorders>
            <w:tcW w:w="516"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14.</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2901"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МО </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Томский район</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4 490 645,4</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1 153 242,0</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4 400 529,3</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90 116,1</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315"/>
        </w:trPr>
        <w:tc>
          <w:tcPr>
            <w:shd w:val="clear" w:color="auto" w:fill="auto"/>
            <w:tcBorders>
              <w:top w:val="none" w:color="000000" w:sz="4" w:space="0"/>
              <w:left w:val="single" w:color="auto" w:sz="4" w:space="0"/>
              <w:bottom w:val="single" w:color="auto" w:sz="4" w:space="0"/>
              <w:right w:val="single" w:color="auto" w:sz="4" w:space="0"/>
            </w:tcBorders>
            <w:tcW w:w="516"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15.</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2901"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МО </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Чаинский район</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850 888,2</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128 066,9</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859 143,5</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-8 255,3</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315"/>
        </w:trPr>
        <w:tc>
          <w:tcPr>
            <w:shd w:val="clear" w:color="auto" w:fill="auto"/>
            <w:tcBorders>
              <w:top w:val="none" w:color="000000" w:sz="4" w:space="0"/>
              <w:left w:val="single" w:color="auto" w:sz="4" w:space="0"/>
              <w:bottom w:val="single" w:color="auto" w:sz="4" w:space="0"/>
              <w:right w:val="single" w:color="auto" w:sz="4" w:space="0"/>
            </w:tcBorders>
            <w:tcW w:w="516"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16.</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2901"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МО </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Шегарский район</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825 774,7</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189 980,3</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838 652,1</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-12 877,4</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315"/>
        </w:trPr>
        <w:tc>
          <w:tcPr>
            <w:gridSpan w:val="2"/>
            <w:shd w:val="clear" w:color="auto" w:fill="auto"/>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spacing w:after="0" w:line="240" w:lineRule="auto"/>
              <w:rPr>
                <w:rFonts w:ascii="PT Astra Serif" w:hAnsi="PT Astra Serif" w:eastAsia="Times New Roman"/>
                <w:b/>
                <w:bCs/>
                <w:i/>
                <w:iCs/>
                <w:sz w:val="20"/>
                <w:szCs w:val="20"/>
                <w:lang w:eastAsia="ru-RU"/>
              </w:rPr>
            </w:pPr>
            <w:r>
              <w:rPr>
                <w:rFonts w:ascii="PT Astra Serif" w:hAnsi="PT Astra Serif" w:eastAsia="Times New Roman"/>
                <w:b/>
                <w:bCs/>
                <w:i/>
                <w:iCs/>
                <w:sz w:val="20"/>
                <w:szCs w:val="20"/>
                <w:lang w:eastAsia="ru-RU"/>
              </w:rPr>
              <w:t xml:space="preserve">Всего по муниципальным районам</w:t>
            </w:r>
            <w:r>
              <w:rPr>
                <w:rFonts w:ascii="PT Astra Serif" w:hAnsi="PT Astra Serif" w:eastAsia="Times New Roman"/>
                <w:b/>
                <w:bCs/>
                <w:i/>
                <w:iCs/>
                <w:sz w:val="20"/>
                <w:szCs w:val="20"/>
                <w:lang w:eastAsia="ru-RU"/>
              </w:rPr>
            </w:r>
            <w:r>
              <w:rPr>
                <w:rFonts w:ascii="PT Astra Serif" w:hAnsi="PT Astra Serif" w:eastAsia="Times New Roman"/>
                <w:b/>
                <w:bCs/>
                <w:i/>
                <w:iCs/>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spacing w:after="0" w:line="240" w:lineRule="auto"/>
              <w:rPr>
                <w:rFonts w:ascii="PT Astra Serif" w:hAnsi="PT Astra Serif" w:eastAsia="Times New Roman"/>
                <w:b/>
                <w:bCs/>
                <w:i/>
                <w:iCs/>
                <w:sz w:val="20"/>
                <w:szCs w:val="20"/>
                <w:lang w:eastAsia="ru-RU"/>
              </w:rPr>
            </w:pPr>
            <w:r>
              <w:rPr>
                <w:rFonts w:ascii="PT Astra Serif" w:hAnsi="PT Astra Serif" w:eastAsia="Times New Roman"/>
                <w:b/>
                <w:bCs/>
                <w:i/>
                <w:iCs/>
                <w:sz w:val="20"/>
                <w:szCs w:val="20"/>
                <w:lang w:eastAsia="ru-RU"/>
              </w:rPr>
              <w:t xml:space="preserve">22 923 738,9</w:t>
            </w:r>
            <w:r>
              <w:rPr>
                <w:rFonts w:ascii="PT Astra Serif" w:hAnsi="PT Astra Serif" w:eastAsia="Times New Roman"/>
                <w:b/>
                <w:bCs/>
                <w:i/>
                <w:iCs/>
                <w:sz w:val="20"/>
                <w:szCs w:val="20"/>
                <w:lang w:eastAsia="ru-RU"/>
              </w:rPr>
            </w:r>
            <w:r>
              <w:rPr>
                <w:rFonts w:ascii="PT Astra Serif" w:hAnsi="PT Astra Serif" w:eastAsia="Times New Roman"/>
                <w:b/>
                <w:bCs/>
                <w:i/>
                <w:iCs/>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right"/>
              <w:spacing w:after="0" w:line="240" w:lineRule="auto"/>
              <w:rPr>
                <w:rFonts w:ascii="PT Astra Serif" w:hAnsi="PT Astra Serif" w:eastAsia="Times New Roman"/>
                <w:b/>
                <w:bCs/>
                <w:i/>
                <w:iCs/>
                <w:sz w:val="20"/>
                <w:szCs w:val="20"/>
                <w:lang w:eastAsia="ru-RU"/>
              </w:rPr>
            </w:pPr>
            <w:r>
              <w:rPr>
                <w:rFonts w:ascii="PT Astra Serif" w:hAnsi="PT Astra Serif" w:eastAsia="Times New Roman"/>
                <w:b/>
                <w:bCs/>
                <w:i/>
                <w:iCs/>
                <w:sz w:val="20"/>
                <w:szCs w:val="20"/>
                <w:lang w:eastAsia="ru-RU"/>
              </w:rPr>
              <w:t xml:space="preserve">4 674 353,4</w:t>
            </w:r>
            <w:r>
              <w:rPr>
                <w:rFonts w:ascii="PT Astra Serif" w:hAnsi="PT Astra Serif" w:eastAsia="Times New Roman"/>
                <w:b/>
                <w:bCs/>
                <w:i/>
                <w:iCs/>
                <w:sz w:val="20"/>
                <w:szCs w:val="20"/>
                <w:lang w:eastAsia="ru-RU"/>
              </w:rPr>
            </w:r>
            <w:r>
              <w:rPr>
                <w:rFonts w:ascii="PT Astra Serif" w:hAnsi="PT Astra Serif" w:eastAsia="Times New Roman"/>
                <w:b/>
                <w:bCs/>
                <w:i/>
                <w:iCs/>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center"/>
            <w:textDirection w:val="lrTb"/>
            <w:noWrap w:val="false"/>
          </w:tcPr>
          <w:p>
            <w:pPr>
              <w:jc w:val="right"/>
              <w:spacing w:after="0" w:line="240" w:lineRule="auto"/>
              <w:rPr>
                <w:rFonts w:ascii="PT Astra Serif" w:hAnsi="PT Astra Serif" w:eastAsia="Times New Roman"/>
                <w:b/>
                <w:bCs/>
                <w:i/>
                <w:iCs/>
                <w:sz w:val="20"/>
                <w:szCs w:val="20"/>
                <w:lang w:eastAsia="ru-RU"/>
              </w:rPr>
            </w:pPr>
            <w:r>
              <w:rPr>
                <w:rFonts w:ascii="PT Astra Serif" w:hAnsi="PT Astra Serif" w:eastAsia="Times New Roman"/>
                <w:b/>
                <w:bCs/>
                <w:i/>
                <w:iCs/>
                <w:sz w:val="20"/>
                <w:szCs w:val="20"/>
                <w:lang w:eastAsia="ru-RU"/>
              </w:rPr>
              <w:t xml:space="preserve">22 623 288,6</w:t>
            </w:r>
            <w:r>
              <w:rPr>
                <w:rFonts w:ascii="PT Astra Serif" w:hAnsi="PT Astra Serif" w:eastAsia="Times New Roman"/>
                <w:b/>
                <w:bCs/>
                <w:i/>
                <w:iCs/>
                <w:sz w:val="20"/>
                <w:szCs w:val="20"/>
                <w:lang w:eastAsia="ru-RU"/>
              </w:rPr>
            </w:r>
            <w:r>
              <w:rPr>
                <w:rFonts w:ascii="PT Astra Serif" w:hAnsi="PT Astra Serif" w:eastAsia="Times New Roman"/>
                <w:b/>
                <w:bCs/>
                <w:i/>
                <w:iCs/>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spacing w:after="0" w:line="240" w:lineRule="auto"/>
              <w:rPr>
                <w:rFonts w:ascii="PT Astra Serif" w:hAnsi="PT Astra Serif" w:eastAsia="Times New Roman"/>
                <w:b/>
                <w:bCs/>
                <w:i/>
                <w:iCs/>
                <w:sz w:val="20"/>
                <w:szCs w:val="20"/>
                <w:lang w:eastAsia="ru-RU"/>
              </w:rPr>
            </w:pPr>
            <w:r>
              <w:rPr>
                <w:rFonts w:ascii="PT Astra Serif" w:hAnsi="PT Astra Serif" w:eastAsia="Times New Roman"/>
                <w:b/>
                <w:bCs/>
                <w:i/>
                <w:iCs/>
                <w:sz w:val="20"/>
                <w:szCs w:val="20"/>
                <w:lang w:eastAsia="ru-RU"/>
              </w:rPr>
              <w:t xml:space="preserve">300 450,3</w:t>
            </w:r>
            <w:r>
              <w:rPr>
                <w:rFonts w:ascii="PT Astra Serif" w:hAnsi="PT Astra Serif" w:eastAsia="Times New Roman"/>
                <w:b/>
                <w:bCs/>
                <w:i/>
                <w:iCs/>
                <w:sz w:val="20"/>
                <w:szCs w:val="20"/>
                <w:lang w:eastAsia="ru-RU"/>
              </w:rPr>
            </w:r>
            <w:r>
              <w:rPr>
                <w:rFonts w:ascii="PT Astra Serif" w:hAnsi="PT Astra Serif" w:eastAsia="Times New Roman"/>
                <w:b/>
                <w:bCs/>
                <w:i/>
                <w:iCs/>
                <w:sz w:val="20"/>
                <w:szCs w:val="20"/>
                <w:lang w:eastAsia="ru-RU"/>
              </w:rPr>
            </w:r>
          </w:p>
        </w:tc>
      </w:tr>
      <w:tr>
        <w:tblPrEx/>
        <w:trPr>
          <w:trHeight w:val="315"/>
        </w:trPr>
        <w:tc>
          <w:tcPr>
            <w:shd w:val="clear" w:color="auto" w:fill="auto"/>
            <w:tcBorders>
              <w:top w:val="none" w:color="000000" w:sz="4" w:space="0"/>
              <w:left w:val="single" w:color="auto" w:sz="4" w:space="0"/>
              <w:bottom w:val="single" w:color="auto" w:sz="4" w:space="0"/>
              <w:right w:val="single" w:color="auto" w:sz="4" w:space="0"/>
            </w:tcBorders>
            <w:tcW w:w="516"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17.</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2901"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МО </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Город Томск</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26 256 663,3</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bottom"/>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9 819 899,9</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bottom"/>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26 502 047,7</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-245 384,4</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315"/>
        </w:trPr>
        <w:tc>
          <w:tcPr>
            <w:shd w:val="clear" w:color="auto" w:fill="auto"/>
            <w:tcBorders>
              <w:top w:val="none" w:color="000000" w:sz="4" w:space="0"/>
              <w:left w:val="single" w:color="auto" w:sz="4" w:space="0"/>
              <w:bottom w:val="single" w:color="auto" w:sz="4" w:space="0"/>
              <w:right w:val="single" w:color="auto" w:sz="4" w:space="0"/>
            </w:tcBorders>
            <w:tcW w:w="516"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18.</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2901"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МО </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Город Стрежевой</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2 623 867,5</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bottom"/>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782 058,9</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bottom"/>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2 705 761,5</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-81 894,0</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315"/>
        </w:trPr>
        <w:tc>
          <w:tcPr>
            <w:shd w:val="clear" w:color="auto" w:fill="auto"/>
            <w:tcBorders>
              <w:top w:val="none" w:color="000000" w:sz="4" w:space="0"/>
              <w:left w:val="single" w:color="auto" w:sz="4" w:space="0"/>
              <w:bottom w:val="single" w:color="auto" w:sz="4" w:space="0"/>
              <w:right w:val="single" w:color="auto" w:sz="4" w:space="0"/>
            </w:tcBorders>
            <w:tcW w:w="516"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19.</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2901"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МО </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Город  Кедровый</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261 070,4</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bottom"/>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33 856,0</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bottom"/>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248 344,7</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12 725,7</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315"/>
        </w:trPr>
        <w:tc>
          <w:tcPr>
            <w:shd w:val="clear" w:color="auto" w:fill="auto"/>
            <w:tcBorders>
              <w:top w:val="none" w:color="000000" w:sz="4" w:space="0"/>
              <w:left w:val="single" w:color="auto" w:sz="4" w:space="0"/>
              <w:bottom w:val="single" w:color="auto" w:sz="4" w:space="0"/>
              <w:right w:val="single" w:color="auto" w:sz="4" w:space="0"/>
            </w:tcBorders>
            <w:tcW w:w="516"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20.</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2901" w:type="dxa"/>
            <w:vAlign w:val="center"/>
            <w:textDirection w:val="lrTb"/>
            <w:noWrap/>
          </w:tcPr>
          <w:p>
            <w:pPr>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 МО </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t xml:space="preserve">ЗАТО Северск</w:t>
            </w:r>
            <w:r>
              <w:rPr>
                <w:rFonts w:ascii="PT Astra Serif" w:hAnsi="PT Astra Serif" w:eastAsia="Times New Roman"/>
                <w:sz w:val="20"/>
                <w:szCs w:val="20"/>
                <w:lang w:eastAsia="ru-RU"/>
              </w:rPr>
              <w:t xml:space="preserve">»</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6 424 137,1</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bottom"/>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1 590 646,8</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bottom"/>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6 359 748,5</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sz w:val="20"/>
                <w:szCs w:val="20"/>
                <w:lang w:eastAsia="ru-RU"/>
              </w:rPr>
            </w:pPr>
            <w:r>
              <w:rPr>
                <w:rFonts w:ascii="PT Astra Serif" w:hAnsi="PT Astra Serif" w:eastAsia="Times New Roman"/>
                <w:sz w:val="20"/>
                <w:szCs w:val="20"/>
                <w:lang w:eastAsia="ru-RU"/>
              </w:rPr>
              <w:t xml:space="preserve">64 388,6</w:t>
            </w:r>
            <w:r>
              <w:rPr>
                <w:rFonts w:ascii="PT Astra Serif" w:hAnsi="PT Astra Serif" w:eastAsia="Times New Roman"/>
                <w:sz w:val="20"/>
                <w:szCs w:val="20"/>
                <w:lang w:eastAsia="ru-RU"/>
              </w:rPr>
            </w:r>
            <w:r>
              <w:rPr>
                <w:rFonts w:ascii="PT Astra Serif" w:hAnsi="PT Astra Serif" w:eastAsia="Times New Roman"/>
                <w:sz w:val="20"/>
                <w:szCs w:val="20"/>
                <w:lang w:eastAsia="ru-RU"/>
              </w:rPr>
            </w:r>
          </w:p>
        </w:tc>
      </w:tr>
      <w:tr>
        <w:tblPrEx/>
        <w:trPr>
          <w:trHeight w:val="285"/>
        </w:trPr>
        <w:tc>
          <w:tcPr>
            <w:gridSpan w:val="2"/>
            <w:shd w:val="clear" w:color="auto" w:fill="auto"/>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spacing w:after="0" w:line="240" w:lineRule="auto"/>
              <w:rPr>
                <w:rFonts w:ascii="PT Astra Serif" w:hAnsi="PT Astra Serif" w:eastAsia="Times New Roman"/>
                <w:b/>
                <w:bCs/>
                <w:i/>
                <w:iCs/>
                <w:sz w:val="20"/>
                <w:szCs w:val="20"/>
                <w:lang w:eastAsia="ru-RU"/>
              </w:rPr>
            </w:pPr>
            <w:r>
              <w:rPr>
                <w:rFonts w:ascii="PT Astra Serif" w:hAnsi="PT Astra Serif" w:eastAsia="Times New Roman"/>
                <w:b/>
                <w:bCs/>
                <w:i/>
                <w:iCs/>
                <w:sz w:val="20"/>
                <w:szCs w:val="20"/>
                <w:lang w:eastAsia="ru-RU"/>
              </w:rPr>
              <w:t xml:space="preserve">Всего по городским округам</w:t>
            </w:r>
            <w:r>
              <w:rPr>
                <w:rFonts w:ascii="PT Astra Serif" w:hAnsi="PT Astra Serif" w:eastAsia="Times New Roman"/>
                <w:b/>
                <w:bCs/>
                <w:i/>
                <w:iCs/>
                <w:sz w:val="20"/>
                <w:szCs w:val="20"/>
                <w:lang w:eastAsia="ru-RU"/>
              </w:rPr>
            </w:r>
            <w:r>
              <w:rPr>
                <w:rFonts w:ascii="PT Astra Serif" w:hAnsi="PT Astra Serif" w:eastAsia="Times New Roman"/>
                <w:b/>
                <w:bCs/>
                <w:i/>
                <w:iCs/>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spacing w:after="0" w:line="240" w:lineRule="auto"/>
              <w:rPr>
                <w:rFonts w:ascii="PT Astra Serif" w:hAnsi="PT Astra Serif" w:eastAsia="Times New Roman"/>
                <w:b/>
                <w:bCs/>
                <w:i/>
                <w:iCs/>
                <w:sz w:val="20"/>
                <w:szCs w:val="20"/>
                <w:lang w:eastAsia="ru-RU"/>
              </w:rPr>
            </w:pPr>
            <w:r>
              <w:rPr>
                <w:rFonts w:ascii="PT Astra Serif" w:hAnsi="PT Astra Serif" w:eastAsia="Times New Roman"/>
                <w:b/>
                <w:bCs/>
                <w:i/>
                <w:iCs/>
                <w:sz w:val="20"/>
                <w:szCs w:val="20"/>
                <w:lang w:eastAsia="ru-RU"/>
              </w:rPr>
              <w:t xml:space="preserve">35 565 738,3</w:t>
            </w:r>
            <w:r>
              <w:rPr>
                <w:rFonts w:ascii="PT Astra Serif" w:hAnsi="PT Astra Serif" w:eastAsia="Times New Roman"/>
                <w:b/>
                <w:bCs/>
                <w:i/>
                <w:iCs/>
                <w:sz w:val="20"/>
                <w:szCs w:val="20"/>
                <w:lang w:eastAsia="ru-RU"/>
              </w:rPr>
            </w:r>
            <w:r>
              <w:rPr>
                <w:rFonts w:ascii="PT Astra Serif" w:hAnsi="PT Astra Serif" w:eastAsia="Times New Roman"/>
                <w:b/>
                <w:bCs/>
                <w:i/>
                <w:iCs/>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right"/>
              <w:spacing w:after="0" w:line="240" w:lineRule="auto"/>
              <w:rPr>
                <w:rFonts w:ascii="PT Astra Serif" w:hAnsi="PT Astra Serif" w:eastAsia="Times New Roman"/>
                <w:b/>
                <w:bCs/>
                <w:i/>
                <w:iCs/>
                <w:sz w:val="20"/>
                <w:szCs w:val="20"/>
                <w:lang w:eastAsia="ru-RU"/>
              </w:rPr>
            </w:pPr>
            <w:r>
              <w:rPr>
                <w:rFonts w:ascii="PT Astra Serif" w:hAnsi="PT Astra Serif" w:eastAsia="Times New Roman"/>
                <w:b/>
                <w:bCs/>
                <w:i/>
                <w:iCs/>
                <w:sz w:val="20"/>
                <w:szCs w:val="20"/>
                <w:lang w:eastAsia="ru-RU"/>
              </w:rPr>
              <w:t xml:space="preserve">12 226 461,6</w:t>
            </w:r>
            <w:r>
              <w:rPr>
                <w:rFonts w:ascii="PT Astra Serif" w:hAnsi="PT Astra Serif" w:eastAsia="Times New Roman"/>
                <w:b/>
                <w:bCs/>
                <w:i/>
                <w:iCs/>
                <w:sz w:val="20"/>
                <w:szCs w:val="20"/>
                <w:lang w:eastAsia="ru-RU"/>
              </w:rPr>
            </w:r>
            <w:r>
              <w:rPr>
                <w:rFonts w:ascii="PT Astra Serif" w:hAnsi="PT Astra Serif" w:eastAsia="Times New Roman"/>
                <w:b/>
                <w:bCs/>
                <w:i/>
                <w:iCs/>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center"/>
            <w:textDirection w:val="lrTb"/>
            <w:noWrap w:val="false"/>
          </w:tcPr>
          <w:p>
            <w:pPr>
              <w:jc w:val="right"/>
              <w:spacing w:after="0" w:line="240" w:lineRule="auto"/>
              <w:rPr>
                <w:rFonts w:ascii="PT Astra Serif" w:hAnsi="PT Astra Serif" w:eastAsia="Times New Roman"/>
                <w:b/>
                <w:bCs/>
                <w:i/>
                <w:iCs/>
                <w:sz w:val="20"/>
                <w:szCs w:val="20"/>
                <w:lang w:eastAsia="ru-RU"/>
              </w:rPr>
            </w:pPr>
            <w:r>
              <w:rPr>
                <w:rFonts w:ascii="PT Astra Serif" w:hAnsi="PT Astra Serif" w:eastAsia="Times New Roman"/>
                <w:b/>
                <w:bCs/>
                <w:i/>
                <w:iCs/>
                <w:sz w:val="20"/>
                <w:szCs w:val="20"/>
                <w:lang w:eastAsia="ru-RU"/>
              </w:rPr>
              <w:t xml:space="preserve">35 815 902,4</w:t>
            </w:r>
            <w:r>
              <w:rPr>
                <w:rFonts w:ascii="PT Astra Serif" w:hAnsi="PT Astra Serif" w:eastAsia="Times New Roman"/>
                <w:b/>
                <w:bCs/>
                <w:i/>
                <w:iCs/>
                <w:sz w:val="20"/>
                <w:szCs w:val="20"/>
                <w:lang w:eastAsia="ru-RU"/>
              </w:rPr>
            </w:r>
            <w:r>
              <w:rPr>
                <w:rFonts w:ascii="PT Astra Serif" w:hAnsi="PT Astra Serif" w:eastAsia="Times New Roman"/>
                <w:b/>
                <w:bCs/>
                <w:i/>
                <w:iCs/>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right"/>
              <w:spacing w:after="0" w:line="240" w:lineRule="auto"/>
              <w:rPr>
                <w:rFonts w:ascii="PT Astra Serif" w:hAnsi="PT Astra Serif" w:eastAsia="Times New Roman"/>
                <w:b/>
                <w:bCs/>
                <w:i/>
                <w:iCs/>
                <w:sz w:val="20"/>
                <w:szCs w:val="20"/>
                <w:lang w:eastAsia="ru-RU"/>
              </w:rPr>
            </w:pPr>
            <w:r>
              <w:rPr>
                <w:rFonts w:ascii="PT Astra Serif" w:hAnsi="PT Astra Serif" w:eastAsia="Times New Roman"/>
                <w:b/>
                <w:bCs/>
                <w:i/>
                <w:iCs/>
                <w:sz w:val="20"/>
                <w:szCs w:val="20"/>
                <w:lang w:eastAsia="ru-RU"/>
              </w:rPr>
              <w:t xml:space="preserve">-250 164,1</w:t>
            </w:r>
            <w:r>
              <w:rPr>
                <w:rFonts w:ascii="PT Astra Serif" w:hAnsi="PT Astra Serif" w:eastAsia="Times New Roman"/>
                <w:b/>
                <w:bCs/>
                <w:i/>
                <w:iCs/>
                <w:sz w:val="20"/>
                <w:szCs w:val="20"/>
                <w:lang w:eastAsia="ru-RU"/>
              </w:rPr>
            </w:r>
            <w:r>
              <w:rPr>
                <w:rFonts w:ascii="PT Astra Serif" w:hAnsi="PT Astra Serif" w:eastAsia="Times New Roman"/>
                <w:b/>
                <w:bCs/>
                <w:i/>
                <w:iCs/>
                <w:sz w:val="20"/>
                <w:szCs w:val="20"/>
                <w:lang w:eastAsia="ru-RU"/>
              </w:rPr>
            </w:r>
          </w:p>
        </w:tc>
      </w:tr>
      <w:tr>
        <w:tblPrEx/>
        <w:trPr>
          <w:trHeight w:val="683"/>
        </w:trPr>
        <w:tc>
          <w:tcPr>
            <w:gridSpan w:val="2"/>
            <w:shd w:val="clear" w:color="auto" w:fill="auto"/>
            <w:tcBorders>
              <w:top w:val="single" w:color="auto" w:sz="4" w:space="0"/>
              <w:left w:val="single" w:color="auto" w:sz="4" w:space="0"/>
              <w:bottom w:val="single" w:color="auto" w:sz="4" w:space="0"/>
              <w:right w:val="single" w:color="auto" w:sz="4" w:space="0"/>
            </w:tcBorders>
            <w:tcW w:w="3417" w:type="dxa"/>
            <w:vAlign w:val="center"/>
            <w:textDirection w:val="lrTb"/>
            <w:noWrap w:val="false"/>
          </w:tcPr>
          <w:p>
            <w:pPr>
              <w:spacing w:after="0" w:line="240" w:lineRule="auto"/>
              <w:rPr>
                <w:rFonts w:ascii="PT Astra Serif" w:hAnsi="PT Astra Serif" w:eastAsia="Times New Roman"/>
                <w:b/>
                <w:bCs/>
                <w:sz w:val="20"/>
                <w:szCs w:val="20"/>
                <w:lang w:eastAsia="ru-RU"/>
              </w:rPr>
            </w:pPr>
            <w:r>
              <w:rPr>
                <w:rFonts w:ascii="PT Astra Serif" w:hAnsi="PT Astra Serif" w:eastAsia="Times New Roman"/>
                <w:b/>
                <w:bCs/>
                <w:sz w:val="20"/>
                <w:szCs w:val="20"/>
                <w:lang w:eastAsia="ru-RU"/>
              </w:rPr>
              <w:t xml:space="preserve">Итого по муниципальным образованиям</w:t>
            </w:r>
            <w:r>
              <w:rPr>
                <w:rFonts w:ascii="PT Astra Serif" w:hAnsi="PT Astra Serif" w:eastAsia="Times New Roman"/>
                <w:b/>
                <w:bCs/>
                <w:sz w:val="20"/>
                <w:szCs w:val="20"/>
                <w:lang w:eastAsia="ru-RU"/>
              </w:rPr>
            </w:r>
            <w:r>
              <w:rPr>
                <w:rFonts w:ascii="PT Astra Serif" w:hAnsi="PT Astra Serif" w:eastAsia="Times New Roman"/>
                <w:b/>
                <w:bCs/>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b/>
                <w:bCs/>
                <w:sz w:val="20"/>
                <w:szCs w:val="20"/>
                <w:lang w:eastAsia="ru-RU"/>
              </w:rPr>
            </w:pPr>
            <w:r>
              <w:rPr>
                <w:rFonts w:ascii="PT Astra Serif" w:hAnsi="PT Astra Serif" w:eastAsia="Times New Roman"/>
                <w:b/>
                <w:bCs/>
                <w:sz w:val="20"/>
                <w:szCs w:val="20"/>
                <w:lang w:eastAsia="ru-RU"/>
              </w:rPr>
              <w:t xml:space="preserve">58 489 477,2</w:t>
            </w:r>
            <w:r>
              <w:rPr>
                <w:rFonts w:ascii="PT Astra Serif" w:hAnsi="PT Astra Serif" w:eastAsia="Times New Roman"/>
                <w:b/>
                <w:bCs/>
                <w:sz w:val="20"/>
                <w:szCs w:val="20"/>
                <w:lang w:eastAsia="ru-RU"/>
              </w:rPr>
            </w:r>
            <w:r>
              <w:rPr>
                <w:rFonts w:ascii="PT Astra Serif" w:hAnsi="PT Astra Serif" w:eastAsia="Times New Roman"/>
                <w:b/>
                <w:bCs/>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tcPr>
          <w:p>
            <w:pPr>
              <w:jc w:val="right"/>
              <w:spacing w:after="0" w:line="240" w:lineRule="auto"/>
              <w:rPr>
                <w:rFonts w:ascii="PT Astra Serif" w:hAnsi="PT Astra Serif" w:eastAsia="Times New Roman"/>
                <w:b/>
                <w:bCs/>
                <w:sz w:val="20"/>
                <w:szCs w:val="20"/>
                <w:lang w:eastAsia="ru-RU"/>
              </w:rPr>
            </w:pPr>
            <w:r>
              <w:rPr>
                <w:rFonts w:ascii="PT Astra Serif" w:hAnsi="PT Astra Serif" w:eastAsia="Times New Roman"/>
                <w:b/>
                <w:bCs/>
                <w:sz w:val="20"/>
                <w:szCs w:val="20"/>
                <w:lang w:eastAsia="ru-RU"/>
              </w:rPr>
              <w:t xml:space="preserve">16 900 815,0</w:t>
            </w:r>
            <w:r>
              <w:rPr>
                <w:rFonts w:ascii="PT Astra Serif" w:hAnsi="PT Astra Serif" w:eastAsia="Times New Roman"/>
                <w:b/>
                <w:bCs/>
                <w:sz w:val="20"/>
                <w:szCs w:val="20"/>
                <w:lang w:eastAsia="ru-RU"/>
              </w:rPr>
            </w:r>
            <w:r>
              <w:rPr>
                <w:rFonts w:ascii="PT Astra Serif" w:hAnsi="PT Astra Serif" w:eastAsia="Times New Roman"/>
                <w:b/>
                <w:bCs/>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03" w:type="dxa"/>
            <w:vAlign w:val="center"/>
            <w:textDirection w:val="lrTb"/>
            <w:noWrap/>
          </w:tcPr>
          <w:p>
            <w:pPr>
              <w:jc w:val="right"/>
              <w:spacing w:after="0" w:line="240" w:lineRule="auto"/>
              <w:rPr>
                <w:rFonts w:ascii="PT Astra Serif" w:hAnsi="PT Astra Serif" w:eastAsia="Times New Roman"/>
                <w:b/>
                <w:bCs/>
                <w:sz w:val="20"/>
                <w:szCs w:val="20"/>
                <w:lang w:eastAsia="ru-RU"/>
              </w:rPr>
            </w:pPr>
            <w:r>
              <w:rPr>
                <w:rFonts w:ascii="PT Astra Serif" w:hAnsi="PT Astra Serif" w:eastAsia="Times New Roman"/>
                <w:b/>
                <w:bCs/>
                <w:sz w:val="20"/>
                <w:szCs w:val="20"/>
                <w:lang w:eastAsia="ru-RU"/>
              </w:rPr>
              <w:t xml:space="preserve">58 439 191,0</w:t>
            </w:r>
            <w:r>
              <w:rPr>
                <w:rFonts w:ascii="PT Astra Serif" w:hAnsi="PT Astra Serif" w:eastAsia="Times New Roman"/>
                <w:b/>
                <w:bCs/>
                <w:sz w:val="20"/>
                <w:szCs w:val="20"/>
                <w:lang w:eastAsia="ru-RU"/>
              </w:rPr>
            </w:r>
            <w:r>
              <w:rPr>
                <w:rFonts w:ascii="PT Astra Serif" w:hAnsi="PT Astra Serif" w:eastAsia="Times New Roman"/>
                <w:b/>
                <w:bCs/>
                <w:sz w:val="20"/>
                <w:szCs w:val="20"/>
                <w:lang w:eastAsia="ru-RU"/>
              </w:rP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right"/>
              <w:spacing w:after="0" w:line="240" w:lineRule="auto"/>
              <w:rPr>
                <w:rFonts w:ascii="PT Astra Serif" w:hAnsi="PT Astra Serif" w:eastAsia="Times New Roman"/>
                <w:b/>
                <w:bCs/>
                <w:sz w:val="20"/>
                <w:szCs w:val="20"/>
                <w:lang w:eastAsia="ru-RU"/>
              </w:rPr>
            </w:pPr>
            <w:r>
              <w:rPr>
                <w:rFonts w:ascii="PT Astra Serif" w:hAnsi="PT Astra Serif" w:eastAsia="Times New Roman"/>
                <w:b/>
                <w:bCs/>
                <w:sz w:val="20"/>
                <w:szCs w:val="20"/>
                <w:lang w:eastAsia="ru-RU"/>
              </w:rPr>
              <w:t xml:space="preserve">50 286,2</w:t>
            </w:r>
            <w:r>
              <w:rPr>
                <w:rFonts w:ascii="PT Astra Serif" w:hAnsi="PT Astra Serif" w:eastAsia="Times New Roman"/>
                <w:b/>
                <w:bCs/>
                <w:sz w:val="20"/>
                <w:szCs w:val="20"/>
                <w:lang w:eastAsia="ru-RU"/>
              </w:rPr>
            </w:r>
            <w:r>
              <w:rPr>
                <w:rFonts w:ascii="PT Astra Serif" w:hAnsi="PT Astra Serif" w:eastAsia="Times New Roman"/>
                <w:b/>
                <w:bCs/>
                <w:sz w:val="20"/>
                <w:szCs w:val="20"/>
                <w:lang w:eastAsia="ru-RU"/>
              </w:rPr>
            </w:r>
          </w:p>
        </w:tc>
      </w:tr>
    </w:tbl>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sectPr>
          <w:footnotePr/>
          <w:endnotePr/>
          <w:type w:val="nextPage"/>
          <w:pgSz w:w="11906" w:h="16838" w:orient="portrait"/>
          <w:pgMar w:top="1134" w:right="850" w:bottom="1134" w:left="1701" w:header="708" w:footer="708" w:gutter="0"/>
          <w:cols w:num="1" w:sep="0" w:space="708" w:equalWidth="1"/>
          <w:docGrid w:linePitch="360"/>
        </w:sect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67"/>
        <w:outlineLvl w:val="1"/>
      </w:pPr>
      <w:r/>
      <w:bookmarkStart w:id="38" w:name="_Toc134630427"/>
      <w:r>
        <w:t xml:space="preserve">Приложение № 7</w:t>
      </w:r>
      <w:bookmarkEnd w:id="38"/>
      <w:r/>
      <w:r/>
    </w:p>
    <w:p>
      <w:pPr>
        <w:ind w:left="426" w:firstLine="142"/>
        <w:jc w:val="center"/>
        <w:spacing w:after="0" w:line="240" w:lineRule="auto"/>
        <w:tabs>
          <w:tab w:val="left" w:pos="567" w:leader="none"/>
        </w:tabs>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p>
      <w:pPr>
        <w:ind w:left="420" w:firstLine="142"/>
        <w:jc w:val="center"/>
        <w:spacing w:after="0" w:line="240" w:lineRule="auto"/>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Мониторинг сохранения достигнутого соотношения по заработной плате отдельных категорий работников бюджетной сферы </w:t>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ind w:left="420" w:firstLine="142"/>
        <w:jc w:val="center"/>
        <w:spacing w:after="0" w:line="240" w:lineRule="auto"/>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в государственных и муниципальных учреждениях Томской области за 2023 год </w:t>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ind w:left="420" w:firstLine="142"/>
        <w:jc w:val="center"/>
        <w:spacing w:after="0" w:line="240" w:lineRule="auto"/>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r>
        <w:rPr>
          <w:rFonts w:ascii="PT Astra Serif" w:hAnsi="PT Astra Serif" w:eastAsia="Times New Roman" w:cs="Arial"/>
          <w:sz w:val="24"/>
          <w:szCs w:val="24"/>
          <w:lang w:eastAsia="ru-RU"/>
        </w:rPr>
      </w:r>
    </w:p>
    <w:tbl>
      <w:tblPr>
        <w:tblW w:w="14024" w:type="dxa"/>
        <w:tblInd w:w="540" w:type="dxa"/>
        <w:shd w:val="clear" w:color="auto" w:fill="ffffff"/>
        <w:tblCellMar>
          <w:left w:w="0" w:type="dxa"/>
          <w:right w:w="0" w:type="dxa"/>
        </w:tblCellMar>
        <w:tblLook w:val="04A0" w:firstRow="1" w:lastRow="0" w:firstColumn="1" w:lastColumn="0" w:noHBand="0" w:noVBand="1"/>
      </w:tblPr>
      <w:tblGrid>
        <w:gridCol w:w="869"/>
        <w:gridCol w:w="8761"/>
        <w:gridCol w:w="2268"/>
        <w:gridCol w:w="2126"/>
      </w:tblGrid>
      <w:tr>
        <w:tblPrEx/>
        <w:trPr>
          <w:trHeight w:val="905"/>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869" w:type="dxa"/>
            <w:textDirection w:val="lrTb"/>
            <w:noWrap w:val="false"/>
          </w:tcPr>
          <w:p>
            <w:pPr>
              <w:jc w:val="cente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 </w:t>
            </w:r>
            <w:r>
              <w:rPr>
                <w:rFonts w:ascii="PT Astra Serif" w:hAnsi="PT Astra Serif" w:eastAsia="Times New Roman"/>
                <w:sz w:val="22"/>
                <w:szCs w:val="22"/>
                <w:lang w:eastAsia="ru-RU"/>
              </w:rPr>
            </w:r>
            <w:r>
              <w:rPr>
                <w:rFonts w:ascii="PT Astra Serif" w:hAnsi="PT Astra Serif" w:eastAsia="Times New Roman"/>
                <w:sz w:val="22"/>
                <w:szCs w:val="22"/>
                <w:lang w:eastAsia="ru-RU"/>
              </w:rPr>
            </w:r>
          </w:p>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п/п</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8761" w:type="dxa"/>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Категории работников</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2268" w:type="dxa"/>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Средняя заработная плата работников, рублей</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2126" w:type="dxa"/>
            <w:textDirection w:val="lrTb"/>
            <w:noWrap w:val="false"/>
          </w:tcPr>
          <w:p>
            <w:pPr>
              <w:jc w:val="cente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Целевое значение*,</w:t>
            </w:r>
            <w:r>
              <w:rPr>
                <w:rFonts w:ascii="PT Astra Serif" w:hAnsi="PT Astra Serif" w:eastAsia="Times New Roman"/>
                <w:sz w:val="22"/>
                <w:szCs w:val="22"/>
                <w:lang w:eastAsia="ru-RU"/>
              </w:rPr>
            </w:r>
            <w:r>
              <w:rPr>
                <w:rFonts w:ascii="PT Astra Serif" w:hAnsi="PT Astra Serif" w:eastAsia="Times New Roman"/>
                <w:sz w:val="22"/>
                <w:szCs w:val="22"/>
                <w:lang w:eastAsia="ru-RU"/>
              </w:rPr>
            </w:r>
          </w:p>
          <w:p>
            <w:pPr>
              <w:jc w:val="cente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рублей</w:t>
            </w:r>
            <w:r>
              <w:rPr>
                <w:rFonts w:ascii="PT Astra Serif" w:hAnsi="PT Astra Serif" w:eastAsia="Times New Roman"/>
                <w:sz w:val="22"/>
                <w:szCs w:val="22"/>
                <w:lang w:eastAsia="ru-RU"/>
              </w:rPr>
            </w:r>
            <w:r>
              <w:rPr>
                <w:rFonts w:ascii="PT Astra Serif" w:hAnsi="PT Astra Serif" w:eastAsia="Times New Roman"/>
                <w:sz w:val="22"/>
                <w:szCs w:val="22"/>
                <w:lang w:eastAsia="ru-RU"/>
              </w:rPr>
            </w:r>
          </w:p>
        </w:tc>
      </w:tr>
      <w:tr>
        <w:tblPrEx/>
        <w:trPr>
          <w:trHeight w:val="369"/>
        </w:trPr>
        <w:tc>
          <w:tcPr>
            <w:shd w:val="clear" w:color="auto" w:fill="ffffff"/>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69"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1</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761" w:type="dxa"/>
            <w:vAlign w:val="center"/>
            <w:textDirection w:val="lrTb"/>
            <w:noWrap w:val="false"/>
          </w:tcPr>
          <w:p>
            <w:pP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Младший медперсонал</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268"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49 583,0</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126" w:type="dxa"/>
            <w:vAlign w:val="center"/>
            <w:textDirection w:val="lrTb"/>
            <w:noWrap/>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50 772,5</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r>
      <w:tr>
        <w:tblPrEx/>
        <w:trPr>
          <w:trHeight w:val="369"/>
        </w:trPr>
        <w:tc>
          <w:tcPr>
            <w:shd w:val="clear" w:color="auto" w:fill="ffffff"/>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69"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2</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761" w:type="dxa"/>
            <w:vAlign w:val="center"/>
            <w:textDirection w:val="lrTb"/>
            <w:noWrap w:val="false"/>
          </w:tcPr>
          <w:p>
            <w:pP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Средний медперсонал</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268"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51 149,0</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126" w:type="dxa"/>
            <w:vAlign w:val="center"/>
            <w:textDirection w:val="lrTb"/>
            <w:noWrap/>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50 772,5</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r>
      <w:tr>
        <w:tblPrEx/>
        <w:trPr>
          <w:trHeight w:val="369"/>
        </w:trPr>
        <w:tc>
          <w:tcPr>
            <w:shd w:val="clear" w:color="auto" w:fill="ffffff"/>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69"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3</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761" w:type="dxa"/>
            <w:vAlign w:val="center"/>
            <w:textDirection w:val="lrTb"/>
            <w:noWrap w:val="false"/>
          </w:tcPr>
          <w:p>
            <w:pP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Врачи и работники с высшим образованием</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268"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99 507,0</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126" w:type="dxa"/>
            <w:vAlign w:val="center"/>
            <w:textDirection w:val="lrTb"/>
            <w:noWrap/>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101 545,0</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r>
      <w:tr>
        <w:tblPrEx/>
        <w:trPr>
          <w:trHeight w:val="369"/>
        </w:trPr>
        <w:tc>
          <w:tcPr>
            <w:shd w:val="clear" w:color="auto" w:fill="ffffff"/>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69"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4</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761" w:type="dxa"/>
            <w:vAlign w:val="center"/>
            <w:textDirection w:val="lrTb"/>
            <w:noWrap w:val="false"/>
          </w:tcPr>
          <w:p>
            <w:pP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Педагогические работники учреждений дошкольного образования</w:t>
            </w:r>
            <w:r>
              <w:rPr>
                <w:rFonts w:ascii="PT Astra Serif" w:hAnsi="PT Astra Serif" w:eastAsia="Times New Roman"/>
                <w:sz w:val="22"/>
                <w:szCs w:val="22"/>
                <w:lang w:eastAsia="ru-RU"/>
              </w:rPr>
              <w:t xml:space="preserve"> **</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268"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48 188,3</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126" w:type="dxa"/>
            <w:vAlign w:val="center"/>
            <w:textDirection w:val="lrTb"/>
            <w:noWrap/>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48 233,9</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r>
      <w:tr>
        <w:tblPrEx/>
        <w:trPr>
          <w:trHeight w:val="369"/>
        </w:trPr>
        <w:tc>
          <w:tcPr>
            <w:shd w:val="clear" w:color="auto" w:fill="ffffff"/>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69"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5</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761" w:type="dxa"/>
            <w:vAlign w:val="center"/>
            <w:textDirection w:val="lrTb"/>
            <w:noWrap w:val="false"/>
          </w:tcPr>
          <w:p>
            <w:pP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Педагогические работники учреждений дополнительного образования детей</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268"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50 809,8</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126" w:type="dxa"/>
            <w:vAlign w:val="center"/>
            <w:textDirection w:val="lrTb"/>
            <w:noWrap/>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50 772,5</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r>
      <w:tr>
        <w:tblPrEx/>
        <w:trPr>
          <w:trHeight w:val="369"/>
        </w:trPr>
        <w:tc>
          <w:tcPr>
            <w:shd w:val="clear" w:color="auto" w:fill="ffffff"/>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69"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6</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761" w:type="dxa"/>
            <w:vAlign w:val="center"/>
            <w:textDirection w:val="lrTb"/>
            <w:noWrap w:val="false"/>
          </w:tcPr>
          <w:p>
            <w:pP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Педагогические работники учреждений общего образования</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268"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50 688,2</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126" w:type="dxa"/>
            <w:vAlign w:val="center"/>
            <w:textDirection w:val="lrTb"/>
            <w:noWrap/>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50 772,5</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r>
      <w:tr>
        <w:tblPrEx/>
        <w:trPr>
          <w:trHeight w:val="369"/>
        </w:trPr>
        <w:tc>
          <w:tcPr>
            <w:shd w:val="clear" w:color="auto" w:fill="ffffff"/>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69"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7</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761" w:type="dxa"/>
            <w:vAlign w:val="center"/>
            <w:textDirection w:val="lrTb"/>
            <w:noWrap w:val="false"/>
          </w:tcPr>
          <w:p>
            <w:pP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Преподаватели и мастера производственного обучения в профессиональных образовательных организациях</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268"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50 790,5</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126" w:type="dxa"/>
            <w:vAlign w:val="center"/>
            <w:textDirection w:val="lrTb"/>
            <w:noWrap/>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50 772,5</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r>
      <w:tr>
        <w:tblPrEx/>
        <w:trPr>
          <w:trHeight w:val="369"/>
        </w:trPr>
        <w:tc>
          <w:tcPr>
            <w:shd w:val="clear" w:color="auto" w:fill="ffffff"/>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69"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8</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761" w:type="dxa"/>
            <w:vAlign w:val="center"/>
            <w:textDirection w:val="lrTb"/>
            <w:noWrap w:val="false"/>
          </w:tcPr>
          <w:p>
            <w:pP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Педагогические работники организаций для детей-сирот</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268"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50 829,5</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126" w:type="dxa"/>
            <w:vAlign w:val="center"/>
            <w:textDirection w:val="lrTb"/>
            <w:noWrap/>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50 772,5</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r>
      <w:tr>
        <w:tblPrEx/>
        <w:trPr>
          <w:trHeight w:val="369"/>
        </w:trPr>
        <w:tc>
          <w:tcPr>
            <w:shd w:val="clear" w:color="auto" w:fill="ffffff"/>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69"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9</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761" w:type="dxa"/>
            <w:vAlign w:val="center"/>
            <w:textDirection w:val="lrTb"/>
            <w:noWrap w:val="false"/>
          </w:tcPr>
          <w:p>
            <w:pP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Социальные работники</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268"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50 772,5</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126" w:type="dxa"/>
            <w:vAlign w:val="center"/>
            <w:textDirection w:val="lrTb"/>
            <w:noWrap/>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50 772,5</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r>
      <w:tr>
        <w:tblPrEx/>
        <w:trPr>
          <w:trHeight w:val="369"/>
        </w:trPr>
        <w:tc>
          <w:tcPr>
            <w:shd w:val="clear" w:color="auto" w:fill="ffffff"/>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69"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10</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761" w:type="dxa"/>
            <w:vAlign w:val="center"/>
            <w:textDirection w:val="lrTb"/>
            <w:noWrap w:val="false"/>
          </w:tcPr>
          <w:p>
            <w:pP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Работники учреждений культуры</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268"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50 811,7</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126" w:type="dxa"/>
            <w:vAlign w:val="center"/>
            <w:textDirection w:val="lrTb"/>
            <w:noWrap/>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50 772,5</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r>
      <w:tr>
        <w:tblPrEx/>
        <w:trPr>
          <w:trHeight w:val="369"/>
        </w:trPr>
        <w:tc>
          <w:tcPr>
            <w:shd w:val="clear" w:color="auto" w:fill="ffffff"/>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69"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11</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761" w:type="dxa"/>
            <w:vAlign w:val="center"/>
            <w:textDirection w:val="lrTb"/>
            <w:noWrap w:val="false"/>
          </w:tcPr>
          <w:p>
            <w:pP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Преподаватели образовательных учреждений высшего профессионального образования</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268"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125 968,6</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126" w:type="dxa"/>
            <w:vAlign w:val="center"/>
            <w:textDirection w:val="lrTb"/>
            <w:noWrap/>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50 772,5</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r>
      <w:tr>
        <w:tblPrEx/>
        <w:trPr>
          <w:trHeight w:val="369"/>
        </w:trPr>
        <w:tc>
          <w:tcPr>
            <w:shd w:val="clear" w:color="auto" w:fill="ffffff"/>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869"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12</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8761" w:type="dxa"/>
            <w:vAlign w:val="center"/>
            <w:textDirection w:val="lrTb"/>
            <w:noWrap w:val="false"/>
          </w:tcPr>
          <w:p>
            <w:pP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Научные сотрудники</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268" w:type="dxa"/>
            <w:vAlign w:val="center"/>
            <w:textDirection w:val="lrTb"/>
            <w:noWrap w:val="false"/>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129 203,5</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2126" w:type="dxa"/>
            <w:vAlign w:val="center"/>
            <w:textDirection w:val="lrTb"/>
            <w:noWrap/>
          </w:tcPr>
          <w:p>
            <w:pPr>
              <w:jc w:val="center"/>
              <w:spacing w:after="0" w:line="240" w:lineRule="auto"/>
              <w:rPr>
                <w:rFonts w:ascii="PT Astra Serif" w:hAnsi="PT Astra Serif" w:eastAsia="Times New Roman" w:cs="Arial"/>
                <w:sz w:val="22"/>
                <w:szCs w:val="22"/>
                <w:lang w:eastAsia="ru-RU"/>
              </w:rPr>
            </w:pPr>
            <w:r>
              <w:rPr>
                <w:rFonts w:ascii="PT Astra Serif" w:hAnsi="PT Astra Serif" w:eastAsia="Times New Roman"/>
                <w:sz w:val="22"/>
                <w:szCs w:val="22"/>
                <w:lang w:eastAsia="ru-RU"/>
              </w:rPr>
              <w:t xml:space="preserve">50 772,5</w:t>
            </w:r>
            <w:r>
              <w:rPr>
                <w:rFonts w:ascii="PT Astra Serif" w:hAnsi="PT Astra Serif" w:eastAsia="Times New Roman" w:cs="Arial"/>
                <w:sz w:val="22"/>
                <w:szCs w:val="22"/>
                <w:lang w:eastAsia="ru-RU"/>
              </w:rPr>
            </w:r>
            <w:r>
              <w:rPr>
                <w:rFonts w:ascii="PT Astra Serif" w:hAnsi="PT Astra Serif" w:eastAsia="Times New Roman" w:cs="Arial"/>
                <w:sz w:val="22"/>
                <w:szCs w:val="22"/>
                <w:lang w:eastAsia="ru-RU"/>
              </w:rPr>
            </w:r>
          </w:p>
        </w:tc>
      </w:tr>
    </w:tbl>
    <w:p>
      <w:pPr>
        <w:ind w:left="426"/>
        <w:spacing w:before="24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У</w:t>
      </w:r>
      <w:r>
        <w:rPr>
          <w:rFonts w:ascii="PT Astra Serif" w:hAnsi="PT Astra Serif" w:eastAsia="Times New Roman"/>
          <w:sz w:val="24"/>
          <w:szCs w:val="24"/>
          <w:lang w:eastAsia="ru-RU"/>
        </w:rPr>
        <w:t xml:space="preserve">становленное протоколом Межведомственной рабочей группы по реализации отдельных указов </w:t>
      </w:r>
      <w:r>
        <w:rPr>
          <w:rFonts w:ascii="PT Astra Serif" w:hAnsi="PT Astra Serif" w:eastAsia="Times New Roman"/>
          <w:sz w:val="24"/>
          <w:szCs w:val="24"/>
          <w:lang w:eastAsia="ru-RU"/>
        </w:rPr>
        <w:t xml:space="preserve">Президента Р</w:t>
      </w:r>
      <w:r>
        <w:rPr>
          <w:rFonts w:ascii="PT Astra Serif" w:hAnsi="PT Astra Serif" w:eastAsia="Times New Roman"/>
          <w:sz w:val="24"/>
          <w:szCs w:val="24"/>
          <w:lang w:eastAsia="ru-RU"/>
        </w:rPr>
        <w:t xml:space="preserve">оссийской </w:t>
      </w:r>
      <w:r>
        <w:rPr>
          <w:rFonts w:ascii="PT Astra Serif" w:hAnsi="PT Astra Serif" w:eastAsia="Times New Roman"/>
          <w:sz w:val="24"/>
          <w:szCs w:val="24"/>
          <w:lang w:eastAsia="ru-RU"/>
        </w:rPr>
        <w:t xml:space="preserve">Ф</w:t>
      </w:r>
      <w:r>
        <w:rPr>
          <w:rFonts w:ascii="PT Astra Serif" w:hAnsi="PT Astra Serif" w:eastAsia="Times New Roman"/>
          <w:sz w:val="24"/>
          <w:szCs w:val="24"/>
          <w:lang w:eastAsia="ru-RU"/>
        </w:rPr>
        <w:t xml:space="preserve">едерации</w:t>
      </w:r>
      <w:r>
        <w:rPr>
          <w:rFonts w:ascii="PT Astra Serif" w:hAnsi="PT Astra Serif" w:eastAsia="Times New Roman"/>
          <w:sz w:val="24"/>
          <w:szCs w:val="24"/>
          <w:lang w:eastAsia="ru-RU"/>
        </w:rPr>
        <w:t xml:space="preserve"> от 20.10.2023 (на </w:t>
      </w:r>
      <w:r>
        <w:rPr>
          <w:rFonts w:ascii="PT Astra Serif" w:hAnsi="PT Astra Serif" w:eastAsia="Times New Roman"/>
          <w:sz w:val="24"/>
          <w:szCs w:val="24"/>
          <w:lang w:eastAsia="ru-RU"/>
        </w:rPr>
        <w:t xml:space="preserve">основе консервативного варианта прогноза среднемесячного дохода от трудовой деятельности</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left="426"/>
        <w:spacing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Значение средней заработной платы в сфере общего образования в Томской области.</w:t>
      </w:r>
      <w:r>
        <w:rPr>
          <w:sz w:val="24"/>
          <w:szCs w:val="24"/>
          <w:lang w:eastAsia="ru-RU"/>
        </w:rPr>
        <w:t xml:space="preserve">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sectPr>
          <w:footnotePr/>
          <w:endnotePr/>
          <w:type w:val="nextPage"/>
          <w:pgSz w:w="16838" w:h="11906" w:orient="landscape"/>
          <w:pgMar w:top="1701" w:right="1134" w:bottom="850" w:left="1134" w:header="708" w:footer="708" w:gutter="0"/>
          <w:cols w:num="1" w:sep="0" w:space="708" w:equalWidth="1"/>
          <w:docGrid w:linePitch="360"/>
        </w:sect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67"/>
        <w:outlineLvl w:val="1"/>
      </w:pPr>
      <w:r/>
      <w:bookmarkStart w:id="39" w:name="_Toc134630428"/>
      <w:r>
        <w:t xml:space="preserve">Приложение № 8</w:t>
      </w:r>
      <w:bookmarkEnd w:id="39"/>
      <w:r/>
      <w:r/>
    </w:p>
    <w:p>
      <w:pPr>
        <w:jc w:val="right"/>
        <w:spacing w:after="0" w:line="240" w:lineRule="auto"/>
        <w:tabs>
          <w:tab w:val="left" w:pos="993" w:leader="none"/>
          <w:tab w:val="left" w:pos="4962" w:leader="none"/>
        </w:tabs>
        <w:rPr>
          <w:rFonts w:ascii="PT Astra Serif" w:hAnsi="PT Astra Serif" w:eastAsia="Calibri"/>
          <w:b/>
          <w:sz w:val="24"/>
          <w:szCs w:val="24"/>
        </w:rPr>
      </w:pPr>
      <w:r>
        <w:rPr>
          <w:rFonts w:ascii="PT Astra Serif" w:hAnsi="PT Astra Serif" w:eastAsia="Calibri"/>
          <w:b/>
          <w:sz w:val="24"/>
          <w:szCs w:val="24"/>
        </w:rPr>
      </w:r>
      <w:r>
        <w:rPr>
          <w:rFonts w:ascii="PT Astra Serif" w:hAnsi="PT Astra Serif" w:eastAsia="Calibri"/>
          <w:b/>
          <w:sz w:val="24"/>
          <w:szCs w:val="24"/>
        </w:rPr>
      </w:r>
      <w:r>
        <w:rPr>
          <w:rFonts w:ascii="PT Astra Serif" w:hAnsi="PT Astra Serif" w:eastAsia="Calibri"/>
          <w:b/>
          <w:sz w:val="24"/>
          <w:szCs w:val="24"/>
        </w:rPr>
      </w:r>
    </w:p>
    <w:p>
      <w:pPr>
        <w:jc w:val="center"/>
        <w:spacing w:after="0" w:line="240" w:lineRule="auto"/>
        <w:tabs>
          <w:tab w:val="left" w:pos="4962" w:leader="none"/>
        </w:tabs>
        <w:rPr>
          <w:rFonts w:ascii="PT Astra Serif" w:hAnsi="PT Astra Serif" w:eastAsia="Calibri"/>
          <w:b/>
          <w:sz w:val="24"/>
          <w:szCs w:val="24"/>
        </w:rPr>
      </w:pPr>
      <w:r>
        <w:rPr>
          <w:rFonts w:ascii="PT Astra Serif" w:hAnsi="PT Astra Serif" w:eastAsia="Calibri"/>
          <w:b/>
          <w:sz w:val="24"/>
          <w:szCs w:val="24"/>
        </w:rPr>
        <w:t xml:space="preserve">Информация о мерах по противодействию экстремизму, предупреждению религиозной и национальной нетерпимости, направленных на создание условий для укрепления гражданского единства и сохранения этнокультурного многообразия в Томской области</w:t>
      </w:r>
      <w:r>
        <w:rPr>
          <w:rFonts w:ascii="PT Astra Serif" w:hAnsi="PT Astra Serif" w:eastAsia="Calibri"/>
          <w:b/>
          <w:sz w:val="24"/>
          <w:szCs w:val="24"/>
        </w:rPr>
      </w:r>
      <w:r>
        <w:rPr>
          <w:rFonts w:ascii="PT Astra Serif" w:hAnsi="PT Astra Serif" w:eastAsia="Calibri"/>
          <w:b/>
          <w:sz w:val="24"/>
          <w:szCs w:val="24"/>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rPr>
          <w:rFonts w:ascii="PT Astra Serif" w:hAnsi="PT Astra Serif" w:eastAsia="PT Astra Serif" w:cs="PT Astra Serif"/>
          <w:b/>
          <w:sz w:val="24"/>
          <w:szCs w:val="24"/>
        </w:rPr>
      </w:pPr>
      <w:r>
        <w:rPr>
          <w:rFonts w:ascii="PT Astra Serif" w:hAnsi="PT Astra Serif" w:eastAsia="PT Astra Serif" w:cs="PT Astra Serif"/>
          <w:b/>
          <w:sz w:val="24"/>
          <w:szCs w:val="24"/>
        </w:rPr>
        <w:t xml:space="preserve">Общая информация</w:t>
      </w:r>
      <w:r>
        <w:rPr>
          <w:rFonts w:ascii="PT Astra Serif" w:hAnsi="PT Astra Serif" w:eastAsia="PT Astra Serif" w:cs="PT Astra Serif"/>
          <w:b/>
          <w:sz w:val="24"/>
          <w:szCs w:val="24"/>
        </w:rPr>
      </w:r>
      <w:r>
        <w:rPr>
          <w:rFonts w:ascii="PT Astra Serif" w:hAnsi="PT Astra Serif" w:eastAsia="PT Astra Serif" w:cs="PT Astra Serif"/>
          <w:b/>
          <w:sz w:val="24"/>
          <w:szCs w:val="24"/>
        </w:rPr>
      </w:r>
    </w:p>
    <w:p>
      <w:pPr>
        <w:pStyle w:val="1158"/>
        <w:ind w:firstLine="709"/>
        <w:jc w:val="both"/>
        <w:tabs>
          <w:tab w:val="left" w:pos="708" w:leader="none"/>
        </w:tabs>
        <w:rPr>
          <w:rFonts w:ascii="PT Astra Serif" w:hAnsi="PT Astra Serif"/>
        </w:rPr>
      </w:pPr>
      <w:r>
        <w:rPr>
          <w:rFonts w:ascii="PT Astra Serif" w:hAnsi="PT Astra Serif"/>
        </w:rPr>
        <w:t xml:space="preserve">На территории Томской области на постоянной основе ведется мони</w:t>
      </w:r>
      <w:r>
        <w:rPr>
          <w:rFonts w:ascii="PT Astra Serif" w:hAnsi="PT Astra Serif"/>
        </w:rPr>
        <w:t xml:space="preserve">торинг состояния межнациональных (межэтнических) и межконфессиональных отношений, социально-политической ситуации и раннего предупреждения межнациональных конфликтов в целях выявления причин и условий экстремистских проявлений и минимизации их последствий.</w:t>
      </w:r>
      <w:r>
        <w:rPr>
          <w:rFonts w:ascii="PT Astra Serif" w:hAnsi="PT Astra Serif"/>
        </w:rPr>
      </w:r>
      <w:r>
        <w:rPr>
          <w:rFonts w:ascii="PT Astra Serif" w:hAnsi="PT Astra Serif"/>
        </w:rPr>
      </w:r>
    </w:p>
    <w:p>
      <w:pPr>
        <w:pStyle w:val="1158"/>
        <w:ind w:firstLine="709"/>
        <w:jc w:val="both"/>
        <w:tabs>
          <w:tab w:val="left" w:pos="708" w:leader="none"/>
        </w:tabs>
        <w:rPr>
          <w:rFonts w:ascii="PT Astra Serif" w:hAnsi="PT Astra Serif"/>
        </w:rPr>
      </w:pPr>
      <w:r>
        <w:rPr>
          <w:rFonts w:ascii="PT Astra Serif" w:hAnsi="PT Astra Serif"/>
        </w:rPr>
        <w:t xml:space="preserve">Утвержден Комплексный план действий постоянно действующего координационного совещания по обеспечению правопорядка в Томской области на 2023 год. Один из раздело</w:t>
      </w:r>
      <w:r>
        <w:rPr>
          <w:rFonts w:ascii="PT Astra Serif" w:hAnsi="PT Astra Serif"/>
        </w:rPr>
        <w:t xml:space="preserve">в Комплексного плана посвящен организации мероприятий по профилактике экстремизма, включая вопросы мониторинга ситуации в общественно-политической сфере с целью своевременного выявления причин и условий, порождающих конфликты экстремистской направленности.</w:t>
      </w:r>
      <w:r>
        <w:rPr>
          <w:rFonts w:ascii="PT Astra Serif" w:hAnsi="PT Astra Serif"/>
        </w:rPr>
      </w:r>
      <w:r>
        <w:rPr>
          <w:rFonts w:ascii="PT Astra Serif" w:hAnsi="PT Astra Serif"/>
        </w:rPr>
      </w:r>
    </w:p>
    <w:p>
      <w:pPr>
        <w:pStyle w:val="1158"/>
        <w:ind w:firstLine="709"/>
        <w:jc w:val="both"/>
        <w:tabs>
          <w:tab w:val="left" w:pos="708" w:leader="none"/>
        </w:tabs>
        <w:rPr>
          <w:rFonts w:ascii="PT Astra Serif" w:hAnsi="PT Astra Serif"/>
        </w:rPr>
      </w:pPr>
      <w:r>
        <w:rPr>
          <w:rFonts w:ascii="PT Astra Serif" w:hAnsi="PT Astra Serif"/>
        </w:rPr>
        <w:t xml:space="preserve">На постоянной основе осуществляется работа совещательных органов: Антитеррористической комиссии Томской обла</w:t>
      </w:r>
      <w:r>
        <w:rPr>
          <w:rFonts w:ascii="PT Astra Serif" w:hAnsi="PT Astra Serif"/>
        </w:rPr>
        <w:t xml:space="preserve">сти, Совета Безопасности и постоянно действующего координационного совещания по обеспечению правопорядка в Томской области, основной задачей которых является решение вопросов в сфере противодействия терроризму и экстремизму, совершенствованию взаимодействи</w:t>
      </w:r>
      <w:r>
        <w:rPr>
          <w:rFonts w:ascii="PT Astra Serif" w:hAnsi="PT Astra Serif"/>
        </w:rPr>
        <w:t xml:space="preserve">я исполнительных органов Томской области с территориальными органами федеральных исполнительных органов по Томской области, органами местного самоуправления муниципальных образований Томской области и иных организаций, обеспечивающих функционирование жизне</w:t>
      </w:r>
      <w:r>
        <w:rPr>
          <w:rFonts w:ascii="PT Astra Serif" w:hAnsi="PT Astra Serif"/>
        </w:rPr>
        <w:t xml:space="preserve">нно важных и инфраструктурных объектов в сфере обеспечения безопасности, а также по обеспечению правопорядка в регионе. За 2023 год организовано проведение 20 таких совещаний, на 12 из которых обсуждались вопросы профилактики и противодействия экстремизму.</w:t>
      </w:r>
      <w:r>
        <w:rPr>
          <w:rFonts w:ascii="PT Astra Serif" w:hAnsi="PT Astra Serif"/>
        </w:rPr>
      </w:r>
      <w:r>
        <w:rPr>
          <w:rFonts w:ascii="PT Astra Serif" w:hAnsi="PT Astra Serif"/>
        </w:rPr>
      </w:r>
    </w:p>
    <w:p>
      <w:pPr>
        <w:pStyle w:val="1158"/>
        <w:ind w:firstLine="709"/>
        <w:jc w:val="both"/>
        <w:tabs>
          <w:tab w:val="left" w:pos="708" w:leader="none"/>
        </w:tabs>
        <w:rPr>
          <w:rFonts w:ascii="PT Astra Serif" w:hAnsi="PT Astra Serif"/>
        </w:rPr>
      </w:pPr>
      <w:r>
        <w:rPr>
          <w:rFonts w:ascii="PT Astra Serif" w:hAnsi="PT Astra Serif"/>
        </w:rPr>
        <w:t xml:space="preserve">В целях выявления экстремистских материалов рег</w:t>
      </w:r>
      <w:r>
        <w:rPr>
          <w:rFonts w:ascii="PT Astra Serif" w:hAnsi="PT Astra Serif"/>
        </w:rPr>
        <w:t xml:space="preserve">улярно осуществляется мониторинг сети Интернет, при наличии оснований материалы своевременно направляются в Управление Роскомнадзора по Томской области для блокировки доступа к Интернет-страницам, на которых размещены материалы, признанные экстремистскими.</w:t>
      </w:r>
      <w:r>
        <w:rPr>
          <w:rFonts w:ascii="PT Astra Serif" w:hAnsi="PT Astra Serif"/>
        </w:rPr>
      </w:r>
      <w:r>
        <w:rPr>
          <w:rFonts w:ascii="PT Astra Serif" w:hAnsi="PT Astra Serif"/>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рамках межведомственного взаимодействия силами УМВД России по Томской области, УФСБ России по Томской области, Управления Росгвардии по Томской области проводятся оперативно-профилактические мер</w:t>
      </w:r>
      <w:r>
        <w:rPr>
          <w:rFonts w:ascii="PT Astra Serif" w:hAnsi="PT Astra Serif" w:eastAsia="PT Astra Serif" w:cs="PT Astra Serif"/>
          <w:sz w:val="24"/>
          <w:szCs w:val="24"/>
        </w:rPr>
        <w:t xml:space="preserve">оприятия по местам концентрации иностранных граждан с целью пресечения каналов незаконной миграции, выявления лиц, незаконно находящихся на территории Российской Федерации, установления сторонников радикальной исламистской идеологии в миграционных потоках.</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b/>
          <w:sz w:val="24"/>
          <w:szCs w:val="24"/>
        </w:rPr>
      </w:pPr>
      <w:r>
        <w:rPr>
          <w:rFonts w:ascii="PT Astra Serif" w:hAnsi="PT Astra Serif" w:eastAsia="PT Astra Serif" w:cs="PT Astra Serif"/>
          <w:b/>
          <w:sz w:val="24"/>
          <w:szCs w:val="24"/>
        </w:rPr>
      </w:r>
      <w:r>
        <w:rPr>
          <w:rFonts w:ascii="PT Astra Serif" w:hAnsi="PT Astra Serif" w:eastAsia="PT Astra Serif" w:cs="PT Astra Serif"/>
          <w:b/>
          <w:sz w:val="24"/>
          <w:szCs w:val="24"/>
        </w:rPr>
      </w:r>
      <w:r>
        <w:rPr>
          <w:rFonts w:ascii="PT Astra Serif" w:hAnsi="PT Astra Serif" w:eastAsia="PT Astra Serif" w:cs="PT Astra Serif"/>
          <w:b/>
          <w:sz w:val="24"/>
          <w:szCs w:val="24"/>
        </w:rPr>
      </w:r>
    </w:p>
    <w:p>
      <w:pPr>
        <w:ind w:firstLine="709"/>
        <w:jc w:val="both"/>
        <w:spacing w:after="0" w:line="240" w:lineRule="auto"/>
        <w:rPr>
          <w:rFonts w:ascii="PT Astra Serif" w:hAnsi="PT Astra Serif" w:eastAsia="PT Astra Serif" w:cs="PT Astra Serif"/>
          <w:b/>
          <w:sz w:val="24"/>
          <w:szCs w:val="24"/>
        </w:rPr>
      </w:pPr>
      <w:r>
        <w:rPr>
          <w:rFonts w:ascii="PT Astra Serif" w:hAnsi="PT Astra Serif" w:eastAsia="PT Astra Serif" w:cs="PT Astra Serif"/>
          <w:b/>
          <w:sz w:val="24"/>
          <w:szCs w:val="24"/>
        </w:rPr>
        <w:t xml:space="preserve">Меры, направленные на гармонизацию межнациональных </w:t>
      </w:r>
      <w:r>
        <w:rPr>
          <w:rFonts w:ascii="PT Astra Serif" w:hAnsi="PT Astra Serif" w:eastAsia="PT Astra Serif" w:cs="PT Astra Serif"/>
          <w:b/>
          <w:sz w:val="24"/>
          <w:szCs w:val="24"/>
        </w:rPr>
        <w:t xml:space="preserve">и межконфессиональных отношений</w:t>
      </w:r>
      <w:r>
        <w:rPr>
          <w:rFonts w:ascii="PT Astra Serif" w:hAnsi="PT Astra Serif" w:eastAsia="PT Astra Serif" w:cs="PT Astra Serif"/>
          <w:b/>
          <w:sz w:val="24"/>
          <w:szCs w:val="24"/>
        </w:rPr>
      </w:r>
      <w:r>
        <w:rPr>
          <w:rFonts w:ascii="PT Astra Serif" w:hAnsi="PT Astra Serif" w:eastAsia="PT Astra Serif" w:cs="PT Astra Serif"/>
          <w:b/>
          <w:sz w:val="24"/>
          <w:szCs w:val="24"/>
        </w:rPr>
      </w:r>
    </w:p>
    <w:p>
      <w:pPr>
        <w:pStyle w:val="1158"/>
        <w:ind w:firstLine="709"/>
        <w:jc w:val="both"/>
        <w:tabs>
          <w:tab w:val="left" w:pos="708" w:leader="none"/>
        </w:tabs>
        <w:rPr>
          <w:rFonts w:ascii="PT Astra Serif" w:hAnsi="PT Astra Serif"/>
        </w:rPr>
      </w:pPr>
      <w:r>
        <w:rPr>
          <w:rFonts w:ascii="PT Astra Serif" w:hAnsi="PT Astra Serif"/>
        </w:rPr>
        <w:t xml:space="preserve">В Томской области на системной основе организована оценка ситуации в сфере межнациональных и межконфессиональн</w:t>
      </w:r>
      <w:r>
        <w:rPr>
          <w:rFonts w:ascii="PT Astra Serif" w:hAnsi="PT Astra Serif"/>
        </w:rPr>
        <w:t xml:space="preserve">ых отношений. Соответствующая оценка проводится посредством мониторинга состояния межнациональных и межконфессиональных отношений, а также последующего анализа и обобщения полученных данных. Мониторинг в Томской области осуществляется на постоянной основе:</w:t>
      </w:r>
      <w:r>
        <w:rPr>
          <w:rFonts w:ascii="PT Astra Serif" w:hAnsi="PT Astra Serif"/>
        </w:rPr>
      </w:r>
      <w:r>
        <w:rPr>
          <w:rFonts w:ascii="PT Astra Serif" w:hAnsi="PT Astra Serif"/>
        </w:rPr>
      </w:r>
    </w:p>
    <w:p>
      <w:pPr>
        <w:pStyle w:val="1158"/>
        <w:ind w:firstLine="709"/>
        <w:jc w:val="both"/>
        <w:tabs>
          <w:tab w:val="left" w:pos="708" w:leader="none"/>
        </w:tabs>
        <w:rPr>
          <w:rFonts w:ascii="PT Astra Serif" w:hAnsi="PT Astra Serif"/>
        </w:rPr>
      </w:pPr>
      <w:r>
        <w:rPr>
          <w:rFonts w:ascii="PT Astra Serif" w:hAnsi="PT Astra Serif"/>
        </w:rPr>
        <w:t xml:space="preserve">1) с использованием государственной информационной системы мониторинга в сфере межнациональных и межконфессиональных отношений и раннего предупреждения конфликтных ситуаций. На </w:t>
      </w:r>
      <w:r>
        <w:rPr>
          <w:rFonts w:ascii="PT Astra Serif" w:hAnsi="PT Astra Serif"/>
        </w:rPr>
        <w:t xml:space="preserve">сегодняшний день</w:t>
      </w:r>
      <w:r>
        <w:rPr>
          <w:rFonts w:ascii="PT Astra Serif" w:hAnsi="PT Astra Serif"/>
        </w:rPr>
        <w:t xml:space="preserve"> на региональном уровне на контроль выставлено порядка 45 тем постоянного наблюдения, отработано более 300 дайджестов событий. Признаков этноконфесси</w:t>
      </w:r>
      <w:r>
        <w:rPr>
          <w:rFonts w:ascii="PT Astra Serif" w:hAnsi="PT Astra Serif"/>
        </w:rPr>
        <w:t xml:space="preserve">ональных конфликтов не выявлено;</w:t>
      </w:r>
      <w:r>
        <w:rPr>
          <w:rFonts w:ascii="PT Astra Serif" w:hAnsi="PT Astra Serif"/>
        </w:rPr>
      </w:r>
      <w:r>
        <w:rPr>
          <w:rFonts w:ascii="PT Astra Serif" w:hAnsi="PT Astra Serif"/>
        </w:rPr>
      </w:r>
    </w:p>
    <w:p>
      <w:pPr>
        <w:pStyle w:val="1158"/>
        <w:ind w:firstLine="709"/>
        <w:jc w:val="both"/>
        <w:tabs>
          <w:tab w:val="left" w:pos="708" w:leader="none"/>
        </w:tabs>
        <w:rPr>
          <w:rFonts w:ascii="PT Astra Serif" w:hAnsi="PT Astra Serif"/>
        </w:rPr>
      </w:pPr>
      <w:r>
        <w:rPr>
          <w:rFonts w:ascii="PT Astra Serif" w:hAnsi="PT Astra Serif"/>
        </w:rPr>
        <w:t xml:space="preserve">2) в ручном режиме сотрудниками профильных комитетов в информационно-телекомму</w:t>
      </w:r>
      <w:r>
        <w:rPr>
          <w:rFonts w:ascii="PT Astra Serif" w:hAnsi="PT Astra Serif"/>
        </w:rPr>
        <w:t xml:space="preserve">никационном пространстве;</w:t>
      </w:r>
      <w:r>
        <w:rPr>
          <w:rFonts w:ascii="PT Astra Serif" w:hAnsi="PT Astra Serif"/>
        </w:rPr>
      </w:r>
      <w:r>
        <w:rPr>
          <w:rFonts w:ascii="PT Astra Serif" w:hAnsi="PT Astra Serif"/>
        </w:rPr>
      </w:r>
    </w:p>
    <w:p>
      <w:pPr>
        <w:pStyle w:val="1158"/>
        <w:ind w:firstLine="709"/>
        <w:jc w:val="both"/>
        <w:tabs>
          <w:tab w:val="left" w:pos="708" w:leader="none"/>
        </w:tabs>
        <w:rPr>
          <w:rFonts w:ascii="PT Astra Serif" w:hAnsi="PT Astra Serif"/>
        </w:rPr>
      </w:pPr>
      <w:r>
        <w:rPr>
          <w:rFonts w:ascii="PT Astra Serif" w:hAnsi="PT Astra Serif"/>
        </w:rPr>
        <w:t xml:space="preserve">3) посредством рассмотрения обращений (заявлений, жалоб) граждан</w:t>
      </w:r>
      <w:r>
        <w:rPr>
          <w:rFonts w:ascii="PT Astra Serif" w:hAnsi="PT Astra Serif"/>
        </w:rPr>
        <w:t xml:space="preserve">ам, в том числе юридических лиц;</w:t>
      </w:r>
      <w:r>
        <w:rPr>
          <w:rFonts w:ascii="PT Astra Serif" w:hAnsi="PT Astra Serif"/>
        </w:rPr>
      </w:r>
      <w:r>
        <w:rPr>
          <w:rFonts w:ascii="PT Astra Serif" w:hAnsi="PT Astra Serif"/>
        </w:rPr>
      </w:r>
    </w:p>
    <w:p>
      <w:pPr>
        <w:pStyle w:val="1158"/>
        <w:ind w:firstLine="709"/>
        <w:jc w:val="both"/>
        <w:tabs>
          <w:tab w:val="left" w:pos="708" w:leader="none"/>
        </w:tabs>
        <w:rPr>
          <w:rFonts w:ascii="PT Astra Serif" w:hAnsi="PT Astra Serif"/>
        </w:rPr>
      </w:pPr>
      <w:r>
        <w:rPr>
          <w:rFonts w:ascii="PT Astra Serif" w:hAnsi="PT Astra Serif"/>
        </w:rPr>
        <w:t xml:space="preserve">4) путем проведения социологических исследований.</w:t>
      </w:r>
      <w:r>
        <w:rPr>
          <w:rFonts w:ascii="PT Astra Serif" w:hAnsi="PT Astra Serif"/>
        </w:rPr>
      </w:r>
      <w:r>
        <w:rPr>
          <w:rFonts w:ascii="PT Astra Serif" w:hAnsi="PT Astra Serif"/>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Состояние межнациональных и межконфессиональных отношений на территории Томской области можно охарактеризовать как стабильные, контролируемые. </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Риски и угрозы в этой сфере в 2023 году были обусловлены общественно-политическими событиями, связанными с ситуацией в Украине, а также столкновениями на азербайджано-армянской границе.</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Столкновения на азербайджано-армянской границе в 2023 году способствовали формированию негативного фона во взаимоотношениях между армянской и азербайджанской диаспорами Томской области. На </w:t>
      </w:r>
      <w:r>
        <w:rPr>
          <w:rFonts w:ascii="PT Astra Serif" w:hAnsi="PT Astra Serif"/>
          <w:sz w:val="24"/>
          <w:szCs w:val="24"/>
        </w:rPr>
        <w:t xml:space="preserve">сегодняшний день </w:t>
      </w:r>
      <w:r>
        <w:rPr>
          <w:rFonts w:ascii="PT Astra Serif" w:hAnsi="PT Astra Serif" w:eastAsia="PT Astra Serif" w:cs="PT Astra Serif"/>
          <w:sz w:val="24"/>
          <w:szCs w:val="24"/>
        </w:rPr>
        <w:t xml:space="preserve">ситуация остается стабильной и контролируемой.</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целях недопущения переноса армяно-азербайджанского конфликта на территорию Российской Федерации Администрацией Томской области:</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 установлено взаимодействие с правоохранительными органами региона;</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 проведены профилактические беседы с лидерами национально-культурных объединений армян и азербайджанцев региона;</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 организован ежедневный мониторинг сообщений и публикаций в СМИ и социальных сетях, мессенджерах, касающихся темы армяно-азербайджанского конфликта.</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Томской области разработан и реализуется региональный план мероприятий по реализации Стратегии государственной национальной политики Российской Федерации на период до 2025 года, утвержденный распоряжением Администрации Томс</w:t>
      </w:r>
      <w:r>
        <w:rPr>
          <w:rFonts w:ascii="PT Astra Serif" w:hAnsi="PT Astra Serif" w:eastAsia="PT Astra Serif" w:cs="PT Astra Serif"/>
          <w:sz w:val="24"/>
          <w:szCs w:val="24"/>
        </w:rPr>
        <w:t xml:space="preserve">кой области от 16.04.2014 № 225-ра. В частности, указанный план предусматривает реализацию мероприятий по направлению «Формирование системы социальной и культурной адаптации иностранных граждан в Российской Федерации и их интеграции в российское общество».</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целях минимизации деструктивного влияния на внутреннюю ситуацию идей религиозного радикализма на территории Томской области в 2023 году проведены мероприятия по гармонизации межконфессиональных отношений:</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1) М</w:t>
      </w:r>
      <w:r>
        <w:rPr>
          <w:rFonts w:ascii="PT Astra Serif" w:hAnsi="PT Astra Serif" w:eastAsia="PT Astra Serif" w:cs="PT Astra Serif"/>
          <w:sz w:val="24"/>
          <w:szCs w:val="24"/>
        </w:rPr>
        <w:t xml:space="preserve">акариевские образовательные чтения, в которых приняли участие свыше 8000 человек. Чтения проходят в целях совершенствования форм и методов работы по приобщению молодого поколения граждан России к традиционному духовному и культурному наследию нашей страны;</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2) встреча со студентами ТГПУ православного сектоведа Александра Дворкина (Москва) с лекцией «Что такое тоталитарные секты и как в них не попасть». Александр Дворкин п</w:t>
      </w:r>
      <w:r>
        <w:rPr>
          <w:rFonts w:ascii="PT Astra Serif" w:hAnsi="PT Astra Serif" w:eastAsia="PT Astra Serif" w:cs="PT Astra Serif"/>
          <w:sz w:val="24"/>
          <w:szCs w:val="24"/>
        </w:rPr>
        <w:t xml:space="preserve">ринял участие в конференции «Неоязычество в современной России: генезис, мимикрия, амбиции» и выступил перед жителями г. Томска с лекцией «Ложь неоязыческих мифов» и другими темами по противодействию идеологии неонацизма и радикальных религиозных взглядов.</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trike/>
          <w:sz w:val="24"/>
          <w:szCs w:val="24"/>
        </w:rPr>
      </w:pPr>
      <w:r>
        <w:rPr>
          <w:rFonts w:ascii="PT Astra Serif" w:hAnsi="PT Astra Serif" w:eastAsia="PT Astra Serif" w:cs="PT Astra Serif"/>
          <w:sz w:val="24"/>
          <w:szCs w:val="24"/>
        </w:rPr>
        <w:t xml:space="preserve">3) впервые в Томской области состоялся форум с международным участием «Сибирь – территория диалога». Представителями исламского и православного духовенства обсуждены вопросы </w:t>
      </w:r>
      <w:r>
        <w:rPr>
          <w:rFonts w:ascii="PT Astra Serif" w:hAnsi="PT Astra Serif" w:eastAsia="PT Astra Serif" w:cs="PT Astra Serif"/>
          <w:sz w:val="24"/>
          <w:szCs w:val="24"/>
        </w:rPr>
        <w:t xml:space="preserve">сотрудничества по вопросам сохранения и укрепления традиционных ценностей, духовности и нравственности, противостояния общемировым деструктивным силам, недопустимости преследования граждан по религиозному признаку со стороны органов власти отдельных стран.</w:t>
      </w:r>
      <w:r>
        <w:rPr>
          <w:rFonts w:ascii="PT Astra Serif" w:hAnsi="PT Astra Serif" w:eastAsia="PT Astra Serif" w:cs="PT Astra Serif"/>
          <w:strike/>
          <w:sz w:val="24"/>
          <w:szCs w:val="24"/>
        </w:rPr>
      </w:r>
      <w:r>
        <w:rPr>
          <w:rFonts w:ascii="PT Astra Serif" w:hAnsi="PT Astra Serif" w:eastAsia="PT Astra Serif" w:cs="PT Astra Serif"/>
          <w:strike/>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рамках форума в научной библиотеке ТГУ состоялась научно-практическая конференция с м</w:t>
      </w:r>
      <w:r>
        <w:rPr>
          <w:rFonts w:ascii="PT Astra Serif" w:hAnsi="PT Astra Serif" w:eastAsia="PT Astra Serif" w:cs="PT Astra Serif"/>
          <w:sz w:val="24"/>
          <w:szCs w:val="24"/>
        </w:rPr>
        <w:t xml:space="preserve">еждународным участием «Ислам и православие многовековой опыт сотрудничества». В Форуме приняли участие 250 представителей следующих стран: Россия, Беларусь, Узбекистан, Киргизия, Таджикистан, Азербайджан, Монголия, Иран, Индонезия, Ливан, Палестина, Йемен.</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Между л</w:t>
      </w:r>
      <w:r>
        <w:rPr>
          <w:rFonts w:ascii="PT Astra Serif" w:hAnsi="PT Astra Serif" w:eastAsia="PT Astra Serif" w:cs="PT Astra Serif"/>
          <w:sz w:val="24"/>
          <w:szCs w:val="24"/>
        </w:rPr>
        <w:t xml:space="preserve">идерами традиционных религиозных организаций установлено эффективное взаимодействие для сохранения стабильности и развития межконфессиональной сферы. Конфликтные ситуации в межнациональной сфере, а также в межконфессиональной и внутриконфессиональной среде</w:t>
      </w: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t xml:space="preserve"> вышедшие в публичную сферу</w:t>
      </w: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t xml:space="preserve"> в 2023 году не зафиксированы.</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Инициативы и действия религиозных организаций и их представителей, неоднозначно воспринимаемые в обществе, в 2023 году не выявлены.</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b/>
          <w:sz w:val="24"/>
          <w:szCs w:val="24"/>
        </w:rPr>
      </w:pPr>
      <w:r>
        <w:rPr>
          <w:rFonts w:ascii="PT Astra Serif" w:hAnsi="PT Astra Serif" w:eastAsia="PT Astra Serif" w:cs="PT Astra Serif"/>
          <w:b/>
          <w:sz w:val="24"/>
          <w:szCs w:val="24"/>
        </w:rPr>
      </w:r>
      <w:r>
        <w:rPr>
          <w:rFonts w:ascii="PT Astra Serif" w:hAnsi="PT Astra Serif" w:eastAsia="PT Astra Serif" w:cs="PT Astra Serif"/>
          <w:b/>
          <w:sz w:val="24"/>
          <w:szCs w:val="24"/>
        </w:rPr>
      </w:r>
      <w:r>
        <w:rPr>
          <w:rFonts w:ascii="PT Astra Serif" w:hAnsi="PT Astra Serif" w:eastAsia="PT Astra Serif" w:cs="PT Astra Serif"/>
          <w:b/>
          <w:sz w:val="24"/>
          <w:szCs w:val="24"/>
        </w:rPr>
      </w:r>
    </w:p>
    <w:p>
      <w:pPr>
        <w:ind w:firstLine="709"/>
        <w:jc w:val="both"/>
        <w:spacing w:after="0" w:line="240" w:lineRule="auto"/>
        <w:rPr>
          <w:rFonts w:ascii="PT Astra Serif" w:hAnsi="PT Astra Serif" w:eastAsia="PT Astra Serif" w:cs="PT Astra Serif"/>
          <w:b/>
          <w:sz w:val="24"/>
          <w:szCs w:val="24"/>
        </w:rPr>
      </w:pPr>
      <w:r>
        <w:rPr>
          <w:rFonts w:ascii="PT Astra Serif" w:hAnsi="PT Astra Serif" w:eastAsia="PT Astra Serif" w:cs="PT Astra Serif"/>
          <w:b/>
          <w:sz w:val="24"/>
          <w:szCs w:val="24"/>
        </w:rPr>
        <w:t xml:space="preserve">Меры, направленные </w:t>
      </w:r>
      <w:r>
        <w:rPr>
          <w:rFonts w:ascii="PT Astra Serif" w:hAnsi="PT Astra Serif" w:eastAsia="PT Astra Serif" w:cs="PT Astra Serif"/>
          <w:b/>
          <w:sz w:val="24"/>
          <w:szCs w:val="24"/>
        </w:rPr>
        <w:t xml:space="preserve">на противодействие экстремизму</w:t>
      </w:r>
      <w:r>
        <w:rPr>
          <w:rFonts w:ascii="PT Astra Serif" w:hAnsi="PT Astra Serif" w:eastAsia="PT Astra Serif" w:cs="PT Astra Serif"/>
          <w:b/>
          <w:sz w:val="24"/>
          <w:szCs w:val="24"/>
        </w:rPr>
      </w:r>
      <w:r>
        <w:rPr>
          <w:rFonts w:ascii="PT Astra Serif" w:hAnsi="PT Astra Serif" w:eastAsia="PT Astra Serif" w:cs="PT Astra Serif"/>
          <w:b/>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2023 году в Томской области продолжена работа по профилактике экстремизма и этносепаратизма, предупреждения религиозной и национальной нетерпимости, создания условий для сохранения этнокультурного многообразия проживающих на территории региона народов.</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За 2023 год на территории Томской области зарегистрировано 18 (в 2022 году – 9) преступлений экстремистского характера (10 преступлений выявлены УМВД России по Томской области, 7 – УФСБ России по Томской области, 1 - прокуратурой Томской области).</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целях предупреждения, выявления и пресечения противоправных действий экстремистской направленности УМВД России по Томской области в 2023 году реализован комплекс мероприятий, направленных на пр</w:t>
      </w:r>
      <w:r>
        <w:rPr>
          <w:rFonts w:ascii="PT Astra Serif" w:hAnsi="PT Astra Serif" w:eastAsia="PT Astra Serif" w:cs="PT Astra Serif"/>
          <w:sz w:val="24"/>
          <w:szCs w:val="24"/>
        </w:rPr>
        <w:t xml:space="preserve">едупреждение и недопущение совершения диверсионно-террористических актов, выявление и нейтрализацию националистических, радикальных общественных, религиозных и иных структур, групп и лиц, деятельность которых направлена на совершение противоправных деяний.</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Правоохранительными органами Томской области проведено 5 оперативно-розыскных и пре</w:t>
      </w:r>
      <w:r>
        <w:rPr>
          <w:rFonts w:ascii="PT Astra Serif" w:hAnsi="PT Astra Serif" w:eastAsia="PT Astra Serif" w:cs="PT Astra Serif"/>
          <w:sz w:val="24"/>
          <w:szCs w:val="24"/>
        </w:rPr>
        <w:t xml:space="preserve">дупредительно-профилактических мероприятий, направленных на недопущение совершения террористических и экстремистских преступных действий на территории региона, в рамках которых проверено 1284 объекта проживания (пребывания) и концентрации иностранных гражд</w:t>
      </w:r>
      <w:r>
        <w:rPr>
          <w:rFonts w:ascii="PT Astra Serif" w:hAnsi="PT Astra Serif" w:eastAsia="PT Astra Serif" w:cs="PT Astra Serif"/>
          <w:sz w:val="24"/>
          <w:szCs w:val="24"/>
        </w:rPr>
        <w:t xml:space="preserve">ан, 456 строительных площадок, 1052 предприятия в сфере услуг и рынков. Выявлено 346 административных правонарушений в сфере миграции, 17 лиц выдворены в страны исхода, в отношении 2 принято решение о неразрешении въезда на территорию Российской Федерации.</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Организованы </w:t>
      </w:r>
      <w:r>
        <w:rPr>
          <w:rFonts w:ascii="PT Astra Serif" w:hAnsi="PT Astra Serif" w:eastAsia="PT Astra Serif" w:cs="PT Astra Serif"/>
          <w:sz w:val="24"/>
          <w:szCs w:val="24"/>
        </w:rPr>
        <w:t xml:space="preserve">мероприятия, направленные на выявление лиц, являющихся потенциальными приверженцами радикальных деструктивных идеологий «Колумбайн» и «Скулшутинг», экстремистской идеологии «А.У.Е.». В рамках взаимодействия в данном направлении деятельности сформирован спи</w:t>
      </w:r>
      <w:r>
        <w:rPr>
          <w:rFonts w:ascii="PT Astra Serif" w:hAnsi="PT Astra Serif" w:eastAsia="PT Astra Serif" w:cs="PT Astra Serif"/>
          <w:sz w:val="24"/>
          <w:szCs w:val="24"/>
        </w:rPr>
        <w:t xml:space="preserve">сок лиц (23 человека, включая 9 </w:t>
      </w:r>
      <w:r>
        <w:rPr>
          <w:rFonts w:ascii="PT Astra Serif" w:hAnsi="PT Astra Serif" w:eastAsia="PT Astra Serif" w:cs="PT Astra Serif"/>
          <w:sz w:val="24"/>
          <w:szCs w:val="24"/>
        </w:rPr>
        <w:t xml:space="preserve">несовершеннолетних), проявляющих активный интерес к идео</w:t>
      </w:r>
      <w:r>
        <w:rPr>
          <w:rFonts w:ascii="PT Astra Serif" w:hAnsi="PT Astra Serif" w:eastAsia="PT Astra Serif" w:cs="PT Astra Serif"/>
          <w:sz w:val="24"/>
          <w:szCs w:val="24"/>
        </w:rPr>
        <w:t xml:space="preserve">логии движения «колумбайн» («скулшутинг»), культу насилия, являющихся модераторами (участниками) интернет-ресурсов указанной тематики, с целью принятия к ним превентивных мер профилактического характера со стороны заинтересованных органов (по компетенции).</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На системной основе осуществляется мониторинг общественно-политической ситуации в регионе. В отч</w:t>
      </w:r>
      <w:r>
        <w:rPr>
          <w:rFonts w:ascii="PT Astra Serif" w:hAnsi="PT Astra Serif" w:eastAsia="PT Astra Serif" w:cs="PT Astra Serif"/>
          <w:sz w:val="24"/>
          <w:szCs w:val="24"/>
        </w:rPr>
        <w:t xml:space="preserve">е</w:t>
      </w:r>
      <w:r>
        <w:rPr>
          <w:rFonts w:ascii="PT Astra Serif" w:hAnsi="PT Astra Serif" w:eastAsia="PT Astra Serif" w:cs="PT Astra Serif"/>
          <w:sz w:val="24"/>
          <w:szCs w:val="24"/>
        </w:rPr>
        <w:t xml:space="preserve">тном периоде отмечено снижение протестной активности населения и отсутствие е</w:t>
      </w:r>
      <w:r>
        <w:rPr>
          <w:rFonts w:ascii="PT Astra Serif" w:hAnsi="PT Astra Serif" w:eastAsia="PT Astra Serif" w:cs="PT Astra Serif"/>
          <w:sz w:val="24"/>
          <w:szCs w:val="24"/>
        </w:rPr>
        <w:t xml:space="preserve">е</w:t>
      </w:r>
      <w:r>
        <w:rPr>
          <w:rFonts w:ascii="PT Astra Serif" w:hAnsi="PT Astra Serif" w:eastAsia="PT Astra Serif" w:cs="PT Astra Serif"/>
          <w:sz w:val="24"/>
          <w:szCs w:val="24"/>
        </w:rPr>
        <w:t xml:space="preserve"> влия</w:t>
      </w:r>
      <w:r>
        <w:rPr>
          <w:rFonts w:ascii="PT Astra Serif" w:hAnsi="PT Astra Serif" w:eastAsia="PT Astra Serif" w:cs="PT Astra Serif"/>
          <w:sz w:val="24"/>
          <w:szCs w:val="24"/>
        </w:rPr>
        <w:t xml:space="preserve">ния на происходящие социально-политические процессы. Всего в течение 2023 года на территории области проведено 580 общественно-политических мероприятий, из которых 3 носили протестный характер: 2 одиночных пикета и 1 несогласованный пикет, в котором принял</w:t>
      </w:r>
      <w:r>
        <w:rPr>
          <w:rFonts w:ascii="PT Astra Serif" w:hAnsi="PT Astra Serif" w:eastAsia="PT Astra Serif" w:cs="PT Astra Serif"/>
          <w:sz w:val="24"/>
          <w:szCs w:val="24"/>
        </w:rPr>
        <w:t xml:space="preserve">и</w:t>
      </w:r>
      <w:r>
        <w:rPr>
          <w:rFonts w:ascii="PT Astra Serif" w:hAnsi="PT Astra Serif" w:eastAsia="PT Astra Serif" w:cs="PT Astra Serif"/>
          <w:sz w:val="24"/>
          <w:szCs w:val="24"/>
        </w:rPr>
        <w:t xml:space="preserve"> участие 2 человека.</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Чрезвычайных происшествий при проведении массовых мероприятий не допущено.</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целях своевременного реагирования на возможные изменения обстановки и недопущения е</w:t>
      </w:r>
      <w:r>
        <w:rPr>
          <w:rFonts w:ascii="PT Astra Serif" w:hAnsi="PT Astra Serif" w:eastAsia="PT Astra Serif" w:cs="PT Astra Serif"/>
          <w:sz w:val="24"/>
          <w:szCs w:val="24"/>
        </w:rPr>
        <w:t xml:space="preserve">е</w:t>
      </w:r>
      <w:r>
        <w:rPr>
          <w:rFonts w:ascii="PT Astra Serif" w:hAnsi="PT Astra Serif" w:eastAsia="PT Astra Serif" w:cs="PT Astra Serif"/>
          <w:sz w:val="24"/>
          <w:szCs w:val="24"/>
        </w:rPr>
        <w:t xml:space="preserve"> осложнения приняты меры, направленные на выявление лиц, и</w:t>
      </w:r>
      <w:r>
        <w:rPr>
          <w:rFonts w:ascii="PT Astra Serif" w:hAnsi="PT Astra Serif" w:eastAsia="PT Astra Serif" w:cs="PT Astra Serif"/>
          <w:sz w:val="24"/>
          <w:szCs w:val="24"/>
        </w:rPr>
        <w:t xml:space="preserve">меющих намерения спровоцировать групповые нарушения общественного порядка, экстремистские проявления и другие тяжкие преступления. Обеспечено оперативное прикрытие мест проведения общественно-политических мероприятий, в первую очередь носящих протестный ха</w:t>
      </w:r>
      <w:r>
        <w:rPr>
          <w:rFonts w:ascii="PT Astra Serif" w:hAnsi="PT Astra Serif" w:eastAsia="PT Astra Serif" w:cs="PT Astra Serif"/>
          <w:sz w:val="24"/>
          <w:szCs w:val="24"/>
        </w:rPr>
        <w:t xml:space="preserve">рактер, взята на контроль деятельность оппозиционно-ориентированных сообществ, ставящих своей целью вовлечение гражданского общества в массовые протестные акции, организован систематический мониторинг средств массовой информации, в том числе сети Интернет.</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хо</w:t>
      </w:r>
      <w:r>
        <w:rPr>
          <w:rFonts w:ascii="PT Astra Serif" w:hAnsi="PT Astra Serif" w:eastAsia="PT Astra Serif" w:cs="PT Astra Serif"/>
          <w:sz w:val="24"/>
          <w:szCs w:val="24"/>
        </w:rPr>
        <w:t xml:space="preserve">де проведения мониторинга сети </w:t>
      </w:r>
      <w:r>
        <w:rPr>
          <w:rFonts w:ascii="PT Astra Serif" w:hAnsi="PT Astra Serif" w:eastAsia="PT Astra Serif" w:cs="PT Astra Serif"/>
          <w:sz w:val="24"/>
          <w:szCs w:val="24"/>
        </w:rPr>
        <w:t xml:space="preserve">Инт</w:t>
      </w:r>
      <w:r>
        <w:rPr>
          <w:rFonts w:ascii="PT Astra Serif" w:hAnsi="PT Astra Serif" w:eastAsia="PT Astra Serif" w:cs="PT Astra Serif"/>
          <w:sz w:val="24"/>
          <w:szCs w:val="24"/>
        </w:rPr>
        <w:t xml:space="preserve">ернет выявлено 199 информационных материалов экстремистского содержания, материалы направлены для блокирования общего доступа в Управление Роскомнадзора (195) и прокуратуру Томской области (4). В результате принятых мер 115 интернет-ресурсов заблокированы.</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результате проведения мониторинговых мероприятий выявлено 5 преступлений  и 37 административных правонарушений экстремистской направленности.</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2023 году проведены мероприятия, направленные на профилактику экстремизма, в том числе в молодежной среде:</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1) проведено около 4,8 тыс.</w:t>
      </w:r>
      <w:r>
        <w:rPr>
          <w:rFonts w:ascii="PT Astra Serif" w:hAnsi="PT Astra Serif" w:eastAsia="PT Astra Serif" w:cs="PT Astra Serif"/>
          <w:sz w:val="24"/>
          <w:szCs w:val="24"/>
        </w:rPr>
        <w:t xml:space="preserve"> бесед и лекций с учащимися общеобразовательных организаций на правовые темы, в том числе о прави</w:t>
      </w:r>
      <w:r>
        <w:rPr>
          <w:rFonts w:ascii="PT Astra Serif" w:hAnsi="PT Astra Serif" w:eastAsia="PT Astra Serif" w:cs="PT Astra Serif"/>
          <w:sz w:val="24"/>
          <w:szCs w:val="24"/>
        </w:rPr>
        <w:t xml:space="preserve">лах безопасного поведения в социальных сетях. Разработаны методические рекомендации и презентации по вопросам безопасности детей в общественных местах, профилактике травли и агрессии среди несовершеннолетних, которые внедрены в образовательные организации;</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2) в рамках федерального оперативно-профилактического мероприятия «Твой выбор» проведена информационная акция в сети </w:t>
      </w:r>
      <w:r>
        <w:rPr>
          <w:rFonts w:ascii="PT Astra Serif" w:hAnsi="PT Astra Serif" w:eastAsia="PT Astra Serif" w:cs="PT Astra Serif"/>
          <w:sz w:val="24"/>
          <w:szCs w:val="24"/>
        </w:rPr>
        <w:t xml:space="preserve">Интернет</w:t>
      </w:r>
      <w:r>
        <w:rPr>
          <w:rFonts w:ascii="PT Astra Serif" w:hAnsi="PT Astra Serif" w:eastAsia="PT Astra Serif" w:cs="PT Astra Serif"/>
          <w:sz w:val="24"/>
          <w:szCs w:val="24"/>
        </w:rPr>
        <w:t xml:space="preserve"> (сайты образовательных организаций, социальные сети, мессенджеры)</w:t>
      </w: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В</w:t>
      </w:r>
      <w:r>
        <w:rPr>
          <w:rFonts w:ascii="PT Astra Serif" w:hAnsi="PT Astra Serif" w:eastAsia="PT Astra Serif" w:cs="PT Astra Serif"/>
          <w:sz w:val="24"/>
          <w:szCs w:val="24"/>
        </w:rPr>
        <w:t xml:space="preserve"> формате флешмоба размещены ссылки на информационные материалы антиэкстремистского</w:t>
      </w:r>
      <w:r>
        <w:rPr>
          <w:rFonts w:ascii="PT Astra Serif" w:hAnsi="PT Astra Serif" w:eastAsia="PT Astra Serif" w:cs="PT Astra Serif"/>
          <w:sz w:val="24"/>
          <w:szCs w:val="24"/>
        </w:rPr>
        <w:t xml:space="preserve"> содержания (всего размещено 95 </w:t>
      </w:r>
      <w:r>
        <w:rPr>
          <w:rFonts w:ascii="PT Astra Serif" w:hAnsi="PT Astra Serif" w:eastAsia="PT Astra Serif" w:cs="PT Astra Serif"/>
          <w:sz w:val="24"/>
          <w:szCs w:val="24"/>
        </w:rPr>
        <w:t xml:space="preserve">ссылок, охват ау</w:t>
      </w:r>
      <w:r>
        <w:rPr>
          <w:rFonts w:ascii="PT Astra Serif" w:hAnsi="PT Astra Serif" w:eastAsia="PT Astra Serif" w:cs="PT Astra Serif"/>
          <w:sz w:val="24"/>
          <w:szCs w:val="24"/>
        </w:rPr>
        <w:t xml:space="preserve">дитории составил свыше 180 тыс.</w:t>
      </w:r>
      <w:r>
        <w:rPr>
          <w:rFonts w:ascii="PT Astra Serif" w:hAnsi="PT Astra Serif" w:eastAsia="PT Astra Serif" w:cs="PT Astra Serif"/>
          <w:sz w:val="24"/>
          <w:szCs w:val="24"/>
        </w:rPr>
        <w:t xml:space="preserve"> человек);</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3) информационная акция, посвяще</w:t>
      </w:r>
      <w:r>
        <w:rPr>
          <w:rFonts w:ascii="PT Astra Serif" w:hAnsi="PT Astra Serif" w:eastAsia="PT Astra Serif" w:cs="PT Astra Serif"/>
          <w:sz w:val="24"/>
          <w:szCs w:val="24"/>
        </w:rPr>
        <w:t xml:space="preserve">нная Дню солидарности в борьбе с терроризмом, на негосударственных информационных площадках сети Интернет размещено 326 публикаций указанной тематики (</w:t>
      </w:r>
      <w:r>
        <w:rPr>
          <w:rFonts w:ascii="PT Astra Serif" w:hAnsi="PT Astra Serif" w:eastAsia="PT Astra Serif" w:cs="PT Astra Serif"/>
          <w:sz w:val="24"/>
          <w:szCs w:val="24"/>
        </w:rPr>
        <w:t xml:space="preserve">просмотр составил более 82 тыс. </w:t>
      </w:r>
      <w:r>
        <w:rPr>
          <w:rFonts w:ascii="PT Astra Serif" w:hAnsi="PT Astra Serif" w:eastAsia="PT Astra Serif" w:cs="PT Astra Serif"/>
          <w:sz w:val="24"/>
          <w:szCs w:val="24"/>
        </w:rPr>
        <w:t xml:space="preserve">человек);</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4) при взаимодействии с УФСИН России по Томской области, Управлением Росгвардии по Томской области, Томским линейным отделом МВД России и Администрации Томской области проведено федеральное оперативно-профилактическое мероприятие «Нет ненависти и вражде»;</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5) совместно с телекомпанией ГТРК «Томск», при поддержк</w:t>
      </w:r>
      <w:r>
        <w:rPr>
          <w:rFonts w:ascii="PT Astra Serif" w:hAnsi="PT Astra Serif" w:eastAsia="PT Astra Serif" w:cs="PT Astra Serif"/>
          <w:sz w:val="24"/>
          <w:szCs w:val="24"/>
        </w:rPr>
        <w:t xml:space="preserve">е Администрации Томской области</w:t>
      </w:r>
      <w:r>
        <w:rPr>
          <w:rFonts w:ascii="PT Astra Serif" w:hAnsi="PT Astra Serif" w:eastAsia="PT Astra Serif" w:cs="PT Astra Serif"/>
          <w:sz w:val="24"/>
          <w:szCs w:val="24"/>
        </w:rPr>
        <w:t xml:space="preserve"> реализуется проект по выпуску в эфир на телеканале «Россия 1» правоохран</w:t>
      </w:r>
      <w:r>
        <w:rPr>
          <w:rFonts w:ascii="PT Astra Serif" w:hAnsi="PT Astra Serif" w:eastAsia="PT Astra Serif" w:cs="PT Astra Serif"/>
          <w:sz w:val="24"/>
          <w:szCs w:val="24"/>
        </w:rPr>
        <w:t xml:space="preserve">ительной телепрограммы «Вести. Безопасность» о деятельности правоохранительных органов региона по профилактике правонарушений. Информационное наполнение программы мобильно, структура рубрик телепрограммы изменяется, отвечая на запросы телезрителей региона.</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На регулярной основе проводятся мероприятия, направленные на повышение профессионального уровня сотрудников, участвующих в реализации мероприятий по противодействию экстремизму и терроризму.</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2023 году осложнений оперативной обстановки по линии противодействия экстремизму не допущено. Операт</w:t>
      </w:r>
      <w:r>
        <w:rPr>
          <w:rFonts w:ascii="PT Astra Serif" w:hAnsi="PT Astra Serif" w:eastAsia="PT Astra Serif" w:cs="PT Astra Serif"/>
          <w:sz w:val="24"/>
          <w:szCs w:val="24"/>
        </w:rPr>
        <w:t xml:space="preserve">ивная обстановка в регионе остае</w:t>
      </w:r>
      <w:r>
        <w:rPr>
          <w:rFonts w:ascii="PT Astra Serif" w:hAnsi="PT Astra Serif" w:eastAsia="PT Astra Serif" w:cs="PT Astra Serif"/>
          <w:sz w:val="24"/>
          <w:szCs w:val="24"/>
        </w:rPr>
        <w:t xml:space="preserve">тся стабильной, контролируемой органами правопорядка.</w:t>
      </w:r>
      <w:r>
        <w:rPr>
          <w:rFonts w:ascii="PT Astra Serif" w:hAnsi="PT Astra Serif" w:eastAsia="PT Astra Serif" w:cs="PT Astra Serif"/>
          <w:sz w:val="24"/>
          <w:szCs w:val="24"/>
        </w:rPr>
      </w:r>
      <w:r>
        <w:rPr>
          <w:rFonts w:ascii="PT Astra Serif" w:hAnsi="PT Astra Serif" w:eastAsia="PT Astra Serif" w:cs="PT Astra Serif"/>
          <w:sz w:val="24"/>
          <w:szCs w:val="24"/>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sectPr>
          <w:footnotePr/>
          <w:endnotePr/>
          <w:type w:val="nextPage"/>
          <w:pgSz w:w="11906" w:h="16838" w:orient="portrait"/>
          <w:pgMar w:top="1134" w:right="850" w:bottom="1134" w:left="1701" w:header="708" w:footer="708" w:gutter="0"/>
          <w:cols w:num="1" w:sep="0" w:space="708" w:equalWidth="1"/>
          <w:docGrid w:linePitch="360"/>
        </w:sect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pStyle w:val="1167"/>
        <w:outlineLvl w:val="1"/>
      </w:pPr>
      <w:r/>
      <w:bookmarkStart w:id="40" w:name="_Toc134630429"/>
      <w:r>
        <w:t xml:space="preserve">Приложение № 9</w:t>
      </w:r>
      <w:r/>
    </w:p>
    <w:p>
      <w:pPr>
        <w:pStyle w:val="1167"/>
        <w:rPr>
          <w:b w:val="0"/>
        </w:rPr>
        <w:outlineLvl w:val="1"/>
      </w:pPr>
      <w:r>
        <w:rPr>
          <w:b w:val="0"/>
        </w:rPr>
      </w:r>
      <w:r>
        <w:rPr>
          <w:b w:val="0"/>
        </w:rPr>
      </w:r>
      <w:r>
        <w:rPr>
          <w:b w:val="0"/>
        </w:rPr>
      </w:r>
    </w:p>
    <w:p>
      <w:pPr>
        <w:jc w:val="center"/>
        <w:spacing w:after="0" w:line="240" w:lineRule="auto"/>
        <w:tabs>
          <w:tab w:val="left" w:pos="4962" w:leader="none"/>
        </w:tabs>
        <w:rPr>
          <w:rFonts w:ascii="PT Astra Serif" w:hAnsi="PT Astra Serif" w:eastAsia="Calibri"/>
          <w:b/>
          <w:sz w:val="24"/>
          <w:szCs w:val="24"/>
        </w:rPr>
      </w:pPr>
      <w:r>
        <w:rPr>
          <w:rFonts w:ascii="PT Astra Serif" w:hAnsi="PT Astra Serif" w:eastAsia="Calibri"/>
          <w:b/>
          <w:sz w:val="24"/>
          <w:szCs w:val="24"/>
        </w:rPr>
        <w:t xml:space="preserve">Информация о результатах антикоррупционного мониторинга, проведенного исполнительными органами Томской области в 2023 году</w:t>
      </w:r>
      <w:r>
        <w:rPr>
          <w:rFonts w:ascii="PT Astra Serif" w:hAnsi="PT Astra Serif" w:eastAsia="Calibri"/>
          <w:b/>
          <w:sz w:val="24"/>
          <w:szCs w:val="24"/>
        </w:rPr>
      </w:r>
      <w:r>
        <w:rPr>
          <w:rFonts w:ascii="PT Astra Serif" w:hAnsi="PT Astra Serif" w:eastAsia="Calibri"/>
          <w:b/>
          <w:sz w:val="24"/>
          <w:szCs w:val="24"/>
        </w:rPr>
      </w:r>
    </w:p>
    <w:p>
      <w:pPr>
        <w:ind w:firstLine="567"/>
        <w:jc w:val="both"/>
        <w:spacing w:after="0" w:line="240" w:lineRule="auto"/>
        <w:tabs>
          <w:tab w:val="left" w:pos="4962" w:leader="none"/>
        </w:tabs>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ind w:firstLine="709"/>
        <w:spacing w:after="0" w:line="240" w:lineRule="auto"/>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Изучение общественного мнения о состоянии коррупции в Томской области и эффективности пр</w:t>
      </w:r>
      <w:r>
        <w:rPr>
          <w:rFonts w:ascii="PT Astra Serif" w:hAnsi="PT Astra Serif" w:eastAsia="Times New Roman"/>
          <w:b/>
          <w:sz w:val="24"/>
          <w:szCs w:val="24"/>
          <w:lang w:eastAsia="ru-RU"/>
        </w:rPr>
        <w:t xml:space="preserve">инимаемых антикоррупционных мер</w:t>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Организовано проведение ежегодного социологического исследования оценки населением уровня коррупции в Томской области. Объем выборочной совокупности в части бытовой коррупции составил 600 человек, </w:t>
      </w:r>
      <w:r>
        <w:rPr>
          <w:rFonts w:ascii="PT Astra Serif" w:hAnsi="PT Astra Serif" w:eastAsia="Times New Roman"/>
          <w:sz w:val="24"/>
          <w:szCs w:val="24"/>
          <w:lang w:eastAsia="ru-RU"/>
        </w:rPr>
        <w:t xml:space="preserve">в части деловой коррупции – 268 </w:t>
      </w:r>
      <w:r>
        <w:rPr>
          <w:rFonts w:ascii="PT Astra Serif" w:hAnsi="PT Astra Serif" w:eastAsia="Times New Roman"/>
          <w:sz w:val="24"/>
          <w:szCs w:val="24"/>
          <w:lang w:eastAsia="ru-RU"/>
        </w:rPr>
        <w:t xml:space="preserve">человек. Опрос проведен на территории 13 муниципальных образований Томской области.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Максимальный уровень удовлетворенности населения Томской области результатами обращений в государственные учреж</w:t>
      </w:r>
      <w:r>
        <w:rPr>
          <w:rFonts w:ascii="PT Astra Serif" w:hAnsi="PT Astra Serif" w:eastAsia="Times New Roman"/>
          <w:sz w:val="24"/>
          <w:szCs w:val="24"/>
          <w:lang w:eastAsia="ru-RU"/>
        </w:rPr>
        <w:t xml:space="preserve">дения составил 80</w:t>
      </w:r>
      <w:r>
        <w:rPr>
          <w:rFonts w:ascii="PT Astra Serif" w:hAnsi="PT Astra Serif" w:eastAsia="Times New Roman"/>
          <w:sz w:val="24"/>
          <w:szCs w:val="24"/>
          <w:lang w:eastAsia="ru-RU"/>
        </w:rPr>
        <w:t xml:space="preserve">% и более, что характерно для ситуаций с решением проблем в связи с призывом на военную службу, регистрацией сделок с недвижимостью, получением регистрации по месту жительства, поступлением в дошкольные учреждения.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Максимальный уровень н</w:t>
      </w:r>
      <w:r>
        <w:rPr>
          <w:rFonts w:ascii="PT Astra Serif" w:hAnsi="PT Astra Serif" w:eastAsia="Times New Roman"/>
          <w:sz w:val="24"/>
          <w:szCs w:val="24"/>
          <w:lang w:eastAsia="ru-RU"/>
        </w:rPr>
        <w:t xml:space="preserve">еудовлетворенности (50</w:t>
      </w:r>
      <w:r>
        <w:rPr>
          <w:rFonts w:ascii="PT Astra Serif" w:hAnsi="PT Astra Serif" w:eastAsia="Times New Roman"/>
          <w:sz w:val="24"/>
          <w:szCs w:val="24"/>
          <w:lang w:eastAsia="ru-RU"/>
        </w:rPr>
        <w:t xml:space="preserve">% и более) связан с ситуацией обращения в суд.</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Также в большей степени не удовлетворены, чем удовлетворены в ситуации обращения за </w:t>
      </w:r>
      <w:r>
        <w:rPr>
          <w:rFonts w:ascii="PT Astra Serif" w:hAnsi="PT Astra Serif" w:eastAsia="Times New Roman"/>
          <w:sz w:val="24"/>
          <w:szCs w:val="24"/>
          <w:lang w:eastAsia="ru-RU"/>
        </w:rPr>
        <w:t xml:space="preserve">помощью и защитой в полицию (42</w:t>
      </w:r>
      <w:r>
        <w:rPr>
          <w:rFonts w:ascii="PT Astra Serif" w:hAnsi="PT Astra Serif" w:eastAsia="Times New Roman"/>
          <w:sz w:val="24"/>
          <w:szCs w:val="24"/>
          <w:lang w:eastAsia="ru-RU"/>
        </w:rPr>
        <w:t xml:space="preserve">% и 37% соответственно).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наиболее типичных ситуациях (получение бесплатной медицинской помощи </w:t>
      </w:r>
      <w:r>
        <w:rPr>
          <w:rFonts w:ascii="PT Astra Serif" w:hAnsi="PT Astra Serif" w:eastAsia="Times New Roman"/>
          <w:sz w:val="24"/>
          <w:szCs w:val="24"/>
          <w:lang w:eastAsia="ru-RU"/>
        </w:rPr>
        <w:br/>
        <w:t xml:space="preserve">в поликлинике, получение социальных выплат) о необходимости неформального вознаг</w:t>
      </w:r>
      <w:r>
        <w:rPr>
          <w:rFonts w:ascii="PT Astra Serif" w:hAnsi="PT Astra Serif" w:eastAsia="Times New Roman"/>
          <w:sz w:val="24"/>
          <w:szCs w:val="24"/>
          <w:lang w:eastAsia="ru-RU"/>
        </w:rPr>
        <w:t xml:space="preserve">раждения и/или взятки заявили 9</w:t>
      </w:r>
      <w:r>
        <w:rPr>
          <w:rFonts w:ascii="PT Astra Serif" w:hAnsi="PT Astra Serif" w:eastAsia="Times New Roman"/>
          <w:sz w:val="24"/>
          <w:szCs w:val="24"/>
          <w:lang w:eastAsia="ru-RU"/>
        </w:rPr>
        <w:t xml:space="preserve">% и 5% от числа участников таких ситуаций соответственно. Чаще всего о необходимости неформального вознаграждения и/или взятки респонденты упоминали относительно с</w:t>
      </w:r>
      <w:r>
        <w:rPr>
          <w:rFonts w:ascii="PT Astra Serif" w:hAnsi="PT Astra Serif" w:eastAsia="Times New Roman"/>
          <w:sz w:val="24"/>
          <w:szCs w:val="24"/>
          <w:lang w:eastAsia="ru-RU"/>
        </w:rPr>
        <w:t xml:space="preserve">итуации поступления в школу (31</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Представители бизнеса указали на факт предъявления незаконных требований к их организации от различных органов в 2% </w:t>
      </w: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8% случаев: в том числе с</w:t>
      </w:r>
      <w:r>
        <w:rPr>
          <w:rFonts w:ascii="PT Astra Serif" w:hAnsi="PT Astra Serif" w:eastAsia="Times New Roman"/>
          <w:sz w:val="24"/>
          <w:szCs w:val="24"/>
          <w:lang w:eastAsia="ru-RU"/>
        </w:rPr>
        <w:t xml:space="preserve">о стороны налоговых органов – 8</w:t>
      </w:r>
      <w:r>
        <w:rPr>
          <w:rFonts w:ascii="PT Astra Serif" w:hAnsi="PT Astra Serif" w:eastAsia="Times New Roman"/>
          <w:sz w:val="24"/>
          <w:szCs w:val="24"/>
          <w:lang w:eastAsia="ru-RU"/>
        </w:rPr>
        <w:t xml:space="preserve">%, со стороны полиции, прокуратуры, органов противопожарного надзора, МЧС,</w:t>
      </w:r>
      <w:r>
        <w:rPr>
          <w:rFonts w:ascii="PT Astra Serif" w:hAnsi="PT Astra Serif" w:eastAsia="Times New Roman"/>
          <w:sz w:val="24"/>
          <w:szCs w:val="24"/>
          <w:lang w:eastAsia="ru-RU"/>
        </w:rPr>
        <w:t xml:space="preserve"> органов по охране труда – по 5</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бытовой коррупции можно выделить следующие зоны риска:</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1</w:t>
      </w:r>
      <w:r>
        <w:rPr>
          <w:rFonts w:ascii="PT Astra Serif" w:hAnsi="PT Astra Serif" w:eastAsia="Times New Roman"/>
          <w:sz w:val="24"/>
          <w:szCs w:val="24"/>
          <w:lang w:eastAsia="ru-RU"/>
        </w:rPr>
        <w:t xml:space="preserve">) с точки зрения востребованности – оказание медицинской помощи, социальные выплаты;</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2</w:t>
      </w:r>
      <w:r>
        <w:rPr>
          <w:rFonts w:ascii="PT Astra Serif" w:hAnsi="PT Astra Serif" w:eastAsia="Times New Roman"/>
          <w:sz w:val="24"/>
          <w:szCs w:val="24"/>
          <w:lang w:eastAsia="ru-RU"/>
        </w:rPr>
        <w:t xml:space="preserve">) с точки зрения неудовлетворенности результатом работы служб – обращение за помощью и защитой в полицию;</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3</w:t>
      </w:r>
      <w:r>
        <w:rPr>
          <w:rFonts w:ascii="PT Astra Serif" w:hAnsi="PT Astra Serif" w:eastAsia="Times New Roman"/>
          <w:sz w:val="24"/>
          <w:szCs w:val="24"/>
          <w:lang w:eastAsia="ru-RU"/>
        </w:rPr>
        <w:t xml:space="preserve">) с точки зрения легитимации населением (считают необходимым </w:t>
      </w:r>
      <w:r>
        <w:rPr>
          <w:rFonts w:ascii="PT Astra Serif" w:hAnsi="PT Astra Serif" w:eastAsia="Times New Roman"/>
          <w:sz w:val="24"/>
          <w:szCs w:val="24"/>
          <w:lang w:eastAsia="ru-RU"/>
        </w:rPr>
        <w:br/>
        <w:t xml:space="preserve">и приемлемым) – чаще всего о необходимости неформального вознаграждения и/или взятки респонденты упоминали относительно ситуации решения проблем со школой (поступление, окончание и т.д.).</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деловой коррупции зона риска – взаимодействие с представителями налоговых органов, органов противопожарного надзора, МЧС, судебных органов, полиции, прокуратуры, органов по охране природных ресурсов и окружающей среды.</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67"/>
        <w:rPr>
          <w:b w:val="0"/>
        </w:rPr>
        <w:outlineLvl w:val="1"/>
      </w:pPr>
      <w:r>
        <w:rPr>
          <w:b w:val="0"/>
        </w:rPr>
      </w:r>
      <w:r>
        <w:rPr>
          <w:b w:val="0"/>
        </w:rPr>
      </w:r>
      <w:r>
        <w:rPr>
          <w:b w:val="0"/>
        </w:rPr>
      </w:r>
    </w:p>
    <w:p>
      <w:pPr>
        <w:ind w:firstLine="709"/>
        <w:jc w:val="both"/>
        <w:spacing w:after="0" w:line="240" w:lineRule="auto"/>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Анализ жалоб и обращений физических и юридических лиц о фактах совершен</w:t>
      </w:r>
      <w:r>
        <w:rPr>
          <w:rFonts w:ascii="PT Astra Serif" w:hAnsi="PT Astra Serif" w:eastAsia="Times New Roman"/>
          <w:b/>
          <w:sz w:val="24"/>
          <w:szCs w:val="24"/>
          <w:lang w:eastAsia="ru-RU"/>
        </w:rPr>
        <w:t xml:space="preserve">ия коррупционных правонарушений</w:t>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contextualSpacing/>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2023 году поступило 143 обращения от граждан и организаций, содержащих информацию о коррупционных правонарушениях:</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contextualSpacing/>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- 93 обращения непосредственно от заяв</w:t>
      </w:r>
      <w:r>
        <w:rPr>
          <w:rFonts w:ascii="PT Astra Serif" w:hAnsi="PT Astra Serif" w:eastAsia="Times New Roman"/>
          <w:sz w:val="24"/>
          <w:szCs w:val="24"/>
          <w:lang w:eastAsia="ru-RU"/>
        </w:rPr>
        <w:t xml:space="preserve">ителей поступило (в том числе 5 </w:t>
      </w:r>
      <w:r>
        <w:rPr>
          <w:rFonts w:ascii="PT Astra Serif" w:hAnsi="PT Astra Serif" w:eastAsia="Times New Roman"/>
          <w:sz w:val="24"/>
          <w:szCs w:val="24"/>
          <w:lang w:eastAsia="ru-RU"/>
        </w:rPr>
        <w:t xml:space="preserve">обращений поступило в ходе личного приема в открытой приемной Губернатора Томской области, 2 коллективных обращения).</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contextualSpacing/>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- 17 обращений из Администрации Президента Российской Федерации и </w:t>
      </w:r>
      <w:r>
        <w:rPr>
          <w:rFonts w:ascii="PT Astra Serif" w:hAnsi="PT Astra Serif" w:eastAsia="Times New Roman"/>
          <w:sz w:val="24"/>
          <w:szCs w:val="24"/>
          <w:lang w:eastAsia="ru-RU"/>
        </w:rPr>
        <w:t xml:space="preserve">А</w:t>
      </w:r>
      <w:r>
        <w:rPr>
          <w:rFonts w:ascii="PT Astra Serif" w:hAnsi="PT Astra Serif" w:eastAsia="Times New Roman"/>
          <w:sz w:val="24"/>
          <w:szCs w:val="24"/>
          <w:lang w:eastAsia="ru-RU"/>
        </w:rPr>
        <w:t xml:space="preserve">ппарата Правительства </w:t>
      </w:r>
      <w:r>
        <w:rPr>
          <w:rFonts w:ascii="PT Astra Serif" w:hAnsi="PT Astra Serif" w:eastAsia="Times New Roman"/>
          <w:sz w:val="24"/>
          <w:szCs w:val="24"/>
          <w:lang w:eastAsia="ru-RU"/>
        </w:rPr>
        <w:t xml:space="preserve">Российской Федерации</w:t>
      </w:r>
      <w:r>
        <w:rPr>
          <w:rFonts w:ascii="PT Astra Serif" w:hAnsi="PT Astra Serif" w:eastAsia="Times New Roman"/>
          <w:sz w:val="24"/>
          <w:szCs w:val="24"/>
          <w:lang w:eastAsia="ru-RU"/>
        </w:rPr>
        <w:t xml:space="preserve"> поступило;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contextualSpacing/>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- 24 обращения из прокуратуры Томской области;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contextualSpacing/>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- 4 обращения из Следственного комитета Российской Федерации по Томской области;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contextualSpacing/>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- 2 обращения из УФСБ России по Томской области;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contextualSpacing/>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- 2 анонимных обращения;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contextualSpacing/>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- 1 запрос СМИ.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contextualSpacing/>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Обращения общественных объединений в отчетном периоде на рассмотрение не поступали.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contextualSpacing/>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За 2023 год поступило 66 повторных обращений, содержащих вопросы, ранее рассмотренные исполнительными органами Томской области.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По результатам рассмотрения повторных обращений фактов, свидетельствующих о нарушении должностными лицами исполнительных органов Томской области требований законодательства, в том числе выраженное в совершении коррупционных правонарушений, не установлено.</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Рассмотрение обращений осуществляется в соответствии с действующим законодательством, нарушений сроков рассмотрения не допущено. Решений о прекращении переписки не принималось.</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Фактов, свидетельствующих о коррупционных правонарушения, не установлено.</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2023 году в органы местного самоуправления Томской области поступило 30</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обращений от граждан и организаций о коррупционных правонарушениях служащих (из них 16 обращений поступило через официальные сайты органов местного самоуправления, 13 </w:t>
      </w: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в письменной форме, 1 – на личном приеме).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По состоянию на 31.12.2023 рассмотрено 27 обращений. По результатам рассмотрения обращений указанные в них факты не нашли своего подтверждения.</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pStyle w:val="1167"/>
        <w:rPr>
          <w:b w:val="0"/>
        </w:rPr>
        <w:outlineLvl w:val="1"/>
      </w:pPr>
      <w:r>
        <w:rPr>
          <w:b w:val="0"/>
        </w:rPr>
      </w:r>
      <w:r>
        <w:rPr>
          <w:b w:val="0"/>
        </w:rPr>
      </w:r>
      <w:r>
        <w:rPr>
          <w:b w:val="0"/>
        </w:rPr>
      </w:r>
    </w:p>
    <w:p>
      <w:pPr>
        <w:spacing w:after="0" w:line="240" w:lineRule="auto"/>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Изучение и анализ принимаемых исполнительными органами Томской области мер по противодей</w:t>
      </w:r>
      <w:r>
        <w:rPr>
          <w:rFonts w:ascii="PT Astra Serif" w:hAnsi="PT Astra Serif" w:eastAsia="Times New Roman"/>
          <w:b/>
          <w:sz w:val="24"/>
          <w:szCs w:val="24"/>
          <w:lang w:eastAsia="ru-RU"/>
        </w:rPr>
        <w:t xml:space="preserve">ствию коррупции</w:t>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ind w:firstLine="709"/>
        <w:jc w:val="both"/>
        <w:spacing w:after="0" w:line="240" w:lineRule="auto"/>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Штатная численность должностных лиц, ответственных за профилактику коррупционных и иных правонарушений</w:t>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2023 году штатная численность должностных лиц, ответственных за профилактику коррупционных и иных правонарушений в органах государственной власти Томской области, составила 92 штатные единицы.</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целях осуществления антикоррупционной работы в органах государственной власти Томской области приняты следующие меры:</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в пределах штатной численности указанных органов из числа специалистов кадровых и юридических подразделений назначены должностные лица, ответственные за профилактику коррупционных и иных правонарушений;</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из числа специалистов юридических подразделений указанных органов назначены лица, осуществляющие правовое сопровождение деятельности лиц, ответственных за профилактику коррупционных и иных правонарушений;</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из числа заместителей руководителей государ</w:t>
      </w:r>
      <w:r>
        <w:rPr>
          <w:rFonts w:ascii="PT Astra Serif" w:hAnsi="PT Astra Serif" w:eastAsia="Times New Roman"/>
          <w:sz w:val="24"/>
          <w:szCs w:val="24"/>
          <w:lang w:eastAsia="ru-RU"/>
        </w:rPr>
        <w:t xml:space="preserve">ственных органов Томской области назначены лица, осуществляющие текущий контроль за деятельностью лиц, ответственных за профилактику коррупционных и иных правонарушений, а также анализ состояния и эффективности антикоррупционной работы в указанных органах.</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Департаменте по профилактике коррупционных и иных правонарушений Администрации Томской области создан и ведется реестр лиц, ответственных за профилактику коррупционных и иных правонарушений в исполнительных органах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Общая численность государственных гражданских служащих Томской области, подающих сведения о доходах, расходах, об имуществе и обязательствах имущественного характера</w:t>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соответствии со статьей 8 Федерального з</w:t>
      </w:r>
      <w:r>
        <w:rPr>
          <w:rFonts w:ascii="PT Astra Serif" w:hAnsi="PT Astra Serif" w:eastAsia="Times New Roman"/>
          <w:sz w:val="24"/>
          <w:szCs w:val="24"/>
          <w:lang w:eastAsia="ru-RU"/>
        </w:rPr>
        <w:t xml:space="preserve">акона от 25.12.2008 № 273-ФЗ «О </w:t>
      </w:r>
      <w:r>
        <w:rPr>
          <w:rFonts w:ascii="PT Astra Serif" w:hAnsi="PT Astra Serif" w:eastAsia="Times New Roman"/>
          <w:sz w:val="24"/>
          <w:szCs w:val="24"/>
          <w:lang w:eastAsia="ru-RU"/>
        </w:rPr>
        <w:t xml:space="preserve">противодействии коррупции», стать</w:t>
      </w:r>
      <w:r>
        <w:rPr>
          <w:rFonts w:ascii="PT Astra Serif" w:hAnsi="PT Astra Serif" w:eastAsia="Times New Roman"/>
          <w:sz w:val="24"/>
          <w:szCs w:val="24"/>
          <w:lang w:eastAsia="ru-RU"/>
        </w:rPr>
        <w:t xml:space="preserve">ей 20 Федерального закона от 27.07.2004 № 79-ФЗ «О государственной гражданской службе Российской Федерации» на государственных гражданских служащих, должности которых включены в утвержденные нормативными правовыми актами перечни, возложена обязанность пред</w:t>
      </w:r>
      <w:r>
        <w:rPr>
          <w:rFonts w:ascii="PT Astra Serif" w:hAnsi="PT Astra Serif" w:eastAsia="Times New Roman"/>
          <w:sz w:val="24"/>
          <w:szCs w:val="24"/>
          <w:lang w:eastAsia="ru-RU"/>
        </w:rPr>
        <w:t xml:space="preserve">оставлять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Перечни с</w:t>
      </w:r>
      <w:r>
        <w:rPr>
          <w:rFonts w:ascii="PT Astra Serif" w:hAnsi="PT Astra Serif" w:eastAsia="Times New Roman"/>
          <w:sz w:val="24"/>
          <w:szCs w:val="24"/>
          <w:lang w:eastAsia="ru-RU"/>
        </w:rPr>
        <w:t xml:space="preserve">оответствующих должностей государственной гражданской службы Томской области утверждены Законом Томской области от 09.12.2005 № 231-ОЗ «О государственной гражданской службе Томской области», а также правовыми актами государственных органов Томской области.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исполнительных органах Томской области штатная численность государственных гражданских служащих, подающих сведения о доходах, расходах, об имуществе и обязательствах имущественного характ</w:t>
      </w:r>
      <w:r>
        <w:rPr>
          <w:rFonts w:ascii="PT Astra Serif" w:hAnsi="PT Astra Serif" w:eastAsia="Times New Roman"/>
          <w:sz w:val="24"/>
          <w:szCs w:val="24"/>
          <w:lang w:eastAsia="ru-RU"/>
        </w:rPr>
        <w:t xml:space="preserve">ера, в 2023 году составила 1 225 </w:t>
      </w:r>
      <w:r>
        <w:rPr>
          <w:rFonts w:ascii="PT Astra Serif" w:hAnsi="PT Astra Serif" w:eastAsia="Times New Roman"/>
          <w:sz w:val="24"/>
          <w:szCs w:val="24"/>
          <w:lang w:eastAsia="ru-RU"/>
        </w:rPr>
        <w:t xml:space="preserve">единиц (в 2022 году – 1</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198 единиц). Изменение численности государстве</w:t>
      </w:r>
      <w:r>
        <w:rPr>
          <w:rFonts w:ascii="PT Astra Serif" w:hAnsi="PT Astra Serif" w:eastAsia="Times New Roman"/>
          <w:sz w:val="24"/>
          <w:szCs w:val="24"/>
          <w:lang w:eastAsia="ru-RU"/>
        </w:rPr>
        <w:t xml:space="preserve">нных гражданских служащих Томской области, обязанных представлять указанные сведения, связано с изменением штатного расписания, а также актуализацией перечня должностей государственной гражданской службы, замещение которых связано с коррупционными рисками.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Количество и результаты проверок достоверности и п</w:t>
      </w:r>
      <w:r>
        <w:rPr>
          <w:rFonts w:ascii="PT Astra Serif" w:hAnsi="PT Astra Serif" w:eastAsia="Times New Roman"/>
          <w:b/>
          <w:sz w:val="24"/>
          <w:szCs w:val="24"/>
          <w:lang w:eastAsia="ru-RU"/>
        </w:rPr>
        <w:t xml:space="preserve">олноты сведений, представляемых лицами, замещающими государственные должности Томской области, должности государственной гражданской службы Томской области в государственных органах Томской области, гражданами, претендующими на замещение данных должностей </w:t>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отчетном периоде в органах государственной власти Томской области проведена 71 проверка достоверности и полноты сведений о доходах, расходах, об имуществе и обязательствах имущественного характера.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По результатам проверок в органах государственной власти Томской области меры ответственности за коррупционные правонар</w:t>
      </w:r>
      <w:r>
        <w:rPr>
          <w:rFonts w:ascii="PT Astra Serif" w:hAnsi="PT Astra Serif"/>
          <w:sz w:val="24"/>
          <w:szCs w:val="24"/>
        </w:rPr>
        <w:t xml:space="preserve">ушения применены в отношении 23 </w:t>
      </w:r>
      <w:r>
        <w:rPr>
          <w:rFonts w:ascii="PT Astra Serif" w:hAnsi="PT Astra Serif"/>
          <w:sz w:val="24"/>
          <w:szCs w:val="24"/>
        </w:rPr>
        <w:t xml:space="preserve">гражданских служащих, в том числе руководителей исполнительных органов Томской области, а также в отношении 1 лица, замещающего государственную должность:</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4 – в виде выговора;</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20 – в виде замечания.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Руководствуясь частью 3 статьи 13.5 Федерального закона от 25.12.2008  № 273-ФЗ «О противодействии коррупции» исполнительными органами Томской области  материалы проверок в отношении 2 государственных гражданских служащих направлены в органы прокуратуры.</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Также в связи с подтвержденными нарушениями, выявленными Департаментом по профилактике коррупционных и иных правонарушений Администрации Томской области при анализе справок о доходах, а также признанием факта совершения коррупционного правонарушения и да</w:t>
      </w:r>
      <w:r>
        <w:rPr>
          <w:rFonts w:ascii="PT Astra Serif" w:hAnsi="PT Astra Serif"/>
          <w:sz w:val="24"/>
          <w:szCs w:val="24"/>
        </w:rPr>
        <w:t xml:space="preserve">чи согласия на применение взыскания в упрощенном порядке, на основании распоряжений Губернатора Томской области к 6 государственным гражданским служащим, замещающим должности в Администрации Томской области, применены меры ответственности в виде замечания.</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Times New Roman"/>
          <w:b/>
          <w:sz w:val="24"/>
          <w:szCs w:val="24"/>
          <w:lang w:eastAsia="ru-RU"/>
        </w:rPr>
      </w:pPr>
      <w:r>
        <w:rPr>
          <w:rFonts w:ascii="PT Astra Serif" w:hAnsi="PT Astra Serif" w:eastAsia="Times New Roman"/>
          <w:b/>
          <w:sz w:val="24"/>
          <w:szCs w:val="24"/>
          <w:lang w:eastAsia="ru-RU"/>
        </w:rPr>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ind w:firstLine="709"/>
        <w:jc w:val="both"/>
        <w:spacing w:after="0" w:line="240" w:lineRule="auto"/>
        <w:rPr>
          <w:rFonts w:ascii="PT Astra Serif" w:hAnsi="PT Astra Serif" w:eastAsia="Calibri"/>
          <w:b/>
          <w:i/>
          <w:sz w:val="24"/>
          <w:szCs w:val="24"/>
        </w:rPr>
      </w:pPr>
      <w:r>
        <w:rPr>
          <w:rFonts w:ascii="PT Astra Serif" w:hAnsi="PT Astra Serif" w:eastAsia="Calibri"/>
          <w:b/>
          <w:sz w:val="24"/>
          <w:szCs w:val="24"/>
        </w:rPr>
        <w:t xml:space="preserve">Количество и результаты проверок соблюдения лицами, замещающими государственные должности Томской</w:t>
      </w:r>
      <w:r>
        <w:rPr>
          <w:rFonts w:ascii="PT Astra Serif" w:hAnsi="PT Astra Serif" w:eastAsia="Calibri"/>
          <w:b/>
          <w:sz w:val="24"/>
          <w:szCs w:val="24"/>
        </w:rPr>
        <w:t xml:space="preserve"> области, должности государственной гражданской службы Томской области в государственных органах Томской области, установленных ограничений, запретов, требований о предотвращении и урегулировании конфликта интересов, исполнения ими должностных обязанностей</w:t>
      </w:r>
      <w:r>
        <w:rPr>
          <w:rFonts w:ascii="PT Astra Serif" w:hAnsi="PT Astra Serif" w:eastAsia="Calibri"/>
          <w:b/>
          <w:i/>
          <w:sz w:val="24"/>
          <w:szCs w:val="24"/>
        </w:rPr>
      </w:r>
      <w:r>
        <w:rPr>
          <w:rFonts w:ascii="PT Astra Serif" w:hAnsi="PT Astra Serif" w:eastAsia="Calibri"/>
          <w:b/>
          <w:i/>
          <w:sz w:val="24"/>
          <w:szCs w:val="24"/>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отчетном периоде в органах государственной власти Томской области проведено 2 проверки соблюдения гражданскими служащими ограничений и запретов, требований</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о предотвращении или урегулировании конфликта интересов, исполнения ими об</w:t>
      </w:r>
      <w:r>
        <w:rPr>
          <w:rFonts w:ascii="PT Astra Serif" w:hAnsi="PT Astra Serif" w:eastAsia="Times New Roman"/>
          <w:sz w:val="24"/>
          <w:szCs w:val="24"/>
          <w:lang w:eastAsia="ru-RU"/>
        </w:rPr>
        <w:t xml:space="preserve">язанностей, установленных федеральными законами в целях противодействия коррупции. По результатам указанных проверок к 1 государственному гражданскому служащему Томской области применена мера ответственности за коррупционное правонарушение в виде выговора.</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Также </w:t>
      </w:r>
      <w:r>
        <w:rPr>
          <w:rFonts w:ascii="PT Astra Serif" w:hAnsi="PT Astra Serif" w:eastAsia="Times New Roman"/>
          <w:sz w:val="24"/>
          <w:szCs w:val="24"/>
          <w:lang w:eastAsia="ru-RU"/>
        </w:rPr>
        <w:t xml:space="preserve">в 2023 году от государственных гражданских служащих Томской области поступило 16 уведомлений о возможном возникновении личной заинтересованности при исполнении должностных обязанностей, которая приводит или может привести к конфликту интересов. 15 уведомле</w:t>
      </w:r>
      <w:r>
        <w:rPr>
          <w:rFonts w:ascii="PT Astra Serif" w:hAnsi="PT Astra Serif" w:eastAsia="Times New Roman"/>
          <w:sz w:val="24"/>
          <w:szCs w:val="24"/>
          <w:lang w:eastAsia="ru-RU"/>
        </w:rPr>
        <w:t xml:space="preserve">ний рассмотрены на заседаниях комиссий по соблюдению требований к служебному поведению государственных гражданских служащих и урегулированию конфликта интересов. 1 уведомление рассмотрено представителем нанимателя (работодателем). В 16 случаях приняты меры</w:t>
      </w:r>
      <w:r>
        <w:rPr>
          <w:rFonts w:ascii="PT Astra Serif" w:hAnsi="PT Astra Serif" w:eastAsia="Times New Roman"/>
          <w:sz w:val="24"/>
          <w:szCs w:val="24"/>
          <w:lang w:eastAsia="ru-RU"/>
        </w:rPr>
        <w:t xml:space="preserve"> по урегулированию конфликта интересов или по недопущению его возникновения (путем изменения должностного или служебного положения служащего, в том числе отстранения от исполнения должностных (служебных) обязанностей, отводе или самоотводе служащего) и др.</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jc w:val="both"/>
        <w:spacing w:after="0" w:line="240" w:lineRule="auto"/>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Наличие результатов информирования лиц, замещаю</w:t>
      </w:r>
      <w:r>
        <w:rPr>
          <w:rFonts w:ascii="PT Astra Serif" w:hAnsi="PT Astra Serif" w:eastAsia="Times New Roman"/>
          <w:b/>
          <w:sz w:val="24"/>
          <w:szCs w:val="24"/>
          <w:lang w:eastAsia="ru-RU"/>
        </w:rPr>
        <w:t xml:space="preserve">щих государственные должности Томской области, должности государственной гражданской службы в государственных органах Томской области, граждан, претендующих на замещение данных должностей, об ограничениях, запретах, обязанностях, установленных Федеральным </w:t>
      </w:r>
      <w:hyperlink r:id="rId53" w:tooltip="consultantplus://offline/ref=701E60AFF2B2A5310DA21FE73DDAC5EA944432A4789607D114552FD11A91A6B14D4C818D86D04EF1D14EC40AF0n2dAE" w:history="1">
        <w:r>
          <w:rPr>
            <w:rFonts w:ascii="PT Astra Serif" w:hAnsi="PT Astra Serif" w:eastAsia="Times New Roman"/>
            <w:b/>
            <w:sz w:val="24"/>
            <w:szCs w:val="24"/>
            <w:lang w:eastAsia="ru-RU"/>
          </w:rPr>
          <w:t xml:space="preserve">законом</w:t>
        </w:r>
      </w:hyperlink>
      <w:r>
        <w:rPr>
          <w:rFonts w:ascii="PT Astra Serif" w:hAnsi="PT Astra Serif" w:eastAsia="Times New Roman"/>
          <w:b/>
          <w:sz w:val="24"/>
          <w:szCs w:val="24"/>
          <w:lang w:eastAsia="ru-RU"/>
        </w:rPr>
        <w:t xml:space="preserve"> от 25.12.2008 № 273-ФЗ «О противодействии коррупции», иными федеральными законами, законами Томской области</w:t>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В 2023 году участие в мероприятиях по профессиональному развитию в области противодействия коррупции приняли: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- 87 государственных гражданских служащих Томской области в должностные обязанности которых входит участие в противодействии коррупции; </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- 118 граждан, впервые поступивших на государственную гражданскую службу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- 94 государственных гражданских служащих Томской области</w:t>
      </w:r>
      <w:r>
        <w:rPr>
          <w:rFonts w:ascii="PT Astra Serif" w:hAnsi="PT Astra Serif"/>
          <w:sz w:val="24"/>
          <w:szCs w:val="24"/>
        </w:rPr>
        <w:t xml:space="preserve">,</w:t>
      </w:r>
      <w:r>
        <w:rPr>
          <w:rFonts w:ascii="PT Astra Serif" w:hAnsi="PT Astra Serif"/>
          <w:sz w:val="24"/>
          <w:szCs w:val="24"/>
        </w:rPr>
        <w:t xml:space="preserve"> в должностные обязанности которых входит участие в проведении закупок товаров, работ, услуг для обеспечения государственных нужд.</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sz w:val="24"/>
          <w:szCs w:val="24"/>
        </w:rPr>
      </w:pPr>
      <w:r>
        <w:rPr>
          <w:rFonts w:ascii="PT Astra Serif" w:hAnsi="PT Astra Serif"/>
          <w:sz w:val="24"/>
          <w:szCs w:val="24"/>
        </w:rPr>
        <w:t xml:space="preserve">Обучение по программам повышения квалификации по профессиональному развитию служащих прошли 63 государственных гражданских служащих Томской области.</w:t>
      </w:r>
      <w:r>
        <w:rPr>
          <w:rFonts w:ascii="PT Astra Serif" w:hAnsi="PT Astra Serif"/>
          <w:sz w:val="24"/>
          <w:szCs w:val="24"/>
        </w:rPr>
      </w:r>
      <w:r>
        <w:rPr>
          <w:rFonts w:ascii="PT Astra Serif" w:hAnsi="PT Astra Serif"/>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В целях формирования у государственных служащих и работников исполнительных органов, а также государственных организаций Томской области отрицательного отношения к коррупции в 2023 году проведено 11 меропри</w:t>
      </w:r>
      <w:r>
        <w:rPr>
          <w:rFonts w:ascii="PT Astra Serif" w:hAnsi="PT Astra Serif" w:eastAsia="Calibri"/>
          <w:sz w:val="24"/>
          <w:szCs w:val="24"/>
        </w:rPr>
        <w:t xml:space="preserve">ятий антикоррупционной направленности, в том числе с участием представителей прокуратуры Томской области. Разработано 4 памятки антикоррупционной направленности, которые направлены в органы государственной власти Томской области для использования в работе.</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Кроме того, в целях оказания консультативной и методической помощи в течение 2023 года в структурные подразделения Администрации Томской области, а также в исполнительные органы Томской области направлялись различные информационные материалы.</w:t>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sz w:val="24"/>
          <w:szCs w:val="24"/>
        </w:rPr>
      </w:pPr>
      <w:r>
        <w:rPr>
          <w:rFonts w:ascii="PT Astra Serif" w:hAnsi="PT Astra Serif" w:eastAsia="Calibri"/>
          <w:sz w:val="24"/>
          <w:szCs w:val="24"/>
        </w:rPr>
        <w:t xml:space="preserve">Так</w:t>
      </w:r>
      <w:r>
        <w:rPr>
          <w:rFonts w:ascii="PT Astra Serif" w:hAnsi="PT Astra Serif" w:eastAsia="Calibri"/>
          <w:sz w:val="24"/>
          <w:szCs w:val="24"/>
        </w:rPr>
        <w:t xml:space="preserve">же для участия в заседаниях комиссий по соблюдению требований к служебному поведению государственных служащих и урегулированию конфликта интересов в качестве независимых экспертов приглашались представители научных организаций (образовательных учреждений).</w:t>
      </w:r>
      <w:r>
        <w:rPr>
          <w:rFonts w:ascii="PT Astra Serif" w:hAnsi="PT Astra Serif" w:eastAsia="Calibri"/>
          <w:sz w:val="24"/>
          <w:szCs w:val="24"/>
        </w:rPr>
      </w:r>
      <w:r>
        <w:rPr>
          <w:rFonts w:ascii="PT Astra Serif" w:hAnsi="PT Astra Serif" w:eastAsia="Calibri"/>
          <w:sz w:val="24"/>
          <w:szCs w:val="24"/>
        </w:rPr>
      </w:r>
    </w:p>
    <w:p>
      <w:pPr>
        <w:jc w:val="both"/>
        <w:spacing w:after="0" w:line="240" w:lineRule="auto"/>
        <w:rPr>
          <w:rFonts w:ascii="PT Astra Serif" w:hAnsi="PT Astra Serif" w:eastAsia="Calibri"/>
          <w:sz w:val="24"/>
          <w:szCs w:val="24"/>
        </w:rPr>
      </w:pPr>
      <w:r>
        <w:rPr>
          <w:rFonts w:ascii="PT Astra Serif" w:hAnsi="PT Astra Serif" w:eastAsia="Calibri"/>
          <w:sz w:val="24"/>
          <w:szCs w:val="24"/>
        </w:rPr>
      </w:r>
      <w:r>
        <w:rPr>
          <w:rFonts w:ascii="PT Astra Serif" w:hAnsi="PT Astra Serif" w:eastAsia="Calibri"/>
          <w:sz w:val="24"/>
          <w:szCs w:val="24"/>
        </w:rPr>
      </w:r>
      <w:r>
        <w:rPr>
          <w:rFonts w:ascii="PT Astra Serif" w:hAnsi="PT Astra Serif" w:eastAsia="Calibri"/>
          <w:sz w:val="24"/>
          <w:szCs w:val="24"/>
        </w:rPr>
      </w:r>
    </w:p>
    <w:p>
      <w:pPr>
        <w:ind w:firstLine="709"/>
        <w:jc w:val="both"/>
        <w:spacing w:after="0" w:line="240" w:lineRule="auto"/>
        <w:rPr>
          <w:rFonts w:ascii="PT Astra Serif" w:hAnsi="PT Astra Serif" w:eastAsia="Calibri"/>
          <w:b/>
          <w:sz w:val="24"/>
          <w:szCs w:val="24"/>
        </w:rPr>
      </w:pPr>
      <w:r>
        <w:rPr>
          <w:rFonts w:ascii="PT Astra Serif" w:hAnsi="PT Astra Serif" w:eastAsia="Calibri"/>
          <w:b/>
          <w:sz w:val="24"/>
          <w:szCs w:val="24"/>
        </w:rPr>
        <w:t xml:space="preserve">Количество правовых актов, принятых государственными органами Томской области в сфере противодействия коррупции в отчетный период</w:t>
      </w:r>
      <w:r>
        <w:rPr>
          <w:rFonts w:ascii="PT Astra Serif" w:hAnsi="PT Astra Serif" w:eastAsia="Calibri"/>
          <w:b/>
          <w:sz w:val="24"/>
          <w:szCs w:val="24"/>
        </w:rPr>
      </w:r>
      <w:r>
        <w:rPr>
          <w:rFonts w:ascii="PT Astra Serif" w:hAnsi="PT Astra Serif" w:eastAsia="Calibri"/>
          <w:b/>
          <w:sz w:val="24"/>
          <w:szCs w:val="24"/>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целях приведения действующих нормативных правовых актов в сфере противодействия коррупции в соответствие с законодательством Российской Федерации и региональным законодательством Департаментом по профилакт</w:t>
      </w:r>
      <w:r>
        <w:rPr>
          <w:rFonts w:ascii="PT Astra Serif" w:hAnsi="PT Astra Serif" w:eastAsia="Times New Roman"/>
          <w:sz w:val="24"/>
          <w:szCs w:val="24"/>
          <w:lang w:eastAsia="ru-RU"/>
        </w:rPr>
        <w:t xml:space="preserve">ике коррупционных и иных правонарушений Администрации Томской области в 2023 году внесены изменения в 18 правовых актов Томской области (4 Закона Томской области, 5 постановлений Администрации Томской области, 3 постановления Губернатора Томской области, 2</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распоряжения Администрации Томской области, 4 распоряжения Губернатора Томской области).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Разработаны проекты 2 распоряжений Администрации Томской области и 2</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постановлений Администрации Томской области.</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2023 году исполнительными о</w:t>
      </w:r>
      <w:r>
        <w:rPr>
          <w:rFonts w:ascii="PT Astra Serif" w:hAnsi="PT Astra Serif" w:eastAsia="Times New Roman"/>
          <w:sz w:val="24"/>
          <w:szCs w:val="24"/>
          <w:lang w:eastAsia="ru-RU"/>
        </w:rPr>
        <w:t xml:space="preserve">рганами Томской области принято 148 правовых актов в сфере противодействия коррупции. Принятие правовых актов обусловлено необходимостью актуализации имеющихся правовых актов, приведением их в соответствие с действующим антикоррупционным законодательством.</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Анализ публикаций о коррупции на территории Томской области в средствах массовой информации </w:t>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По данным мониторинга средств массовой информации Томской области</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в 2023 году Департамент информационной политики Администрации Томской области отмечает преимущественно новостной характер публикаций и сюжетов по коррупционной тематике, которые в большей степени касаются работы правоохранительных и следственных органов.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Число наиболее резонансных тем в от</w:t>
      </w:r>
      <w:r>
        <w:rPr>
          <w:rFonts w:ascii="PT Astra Serif" w:hAnsi="PT Astra Serif" w:eastAsia="Times New Roman"/>
          <w:sz w:val="24"/>
          <w:szCs w:val="24"/>
          <w:lang w:eastAsia="ru-RU"/>
        </w:rPr>
        <w:t xml:space="preserve">четном периоде вошли: расследование уголовных дел в отношении бывших ректора и проректора ТПУ, генерального директора ООО «Томская строительная компания», экс-главы Колпашевского городского поселения, директора, главного врача и врача-онколога ООО «Сантэ».</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Мониторинг информации о коррупционных проявлениях в деятельности должностных лиц, размещенной в средствах массовой информации и содержащейся в поступающих обращениях граждан и юридических лиц</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постоянно осуществляется органами государственной власти Томской области.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При выявлении фактов коррупционных проявлений в деятельности должностных лиц они рассматриваются на заседаниях комиссий по соблюдению требований к служебному поведению и урегулированию конфликта интересов.</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Анализ исполнения мероприятий, предусмотренных планами противодействия коррупции</w:t>
      </w:r>
      <w:r>
        <w:rPr>
          <w:rFonts w:ascii="PT Astra Serif" w:hAnsi="PT Astra Serif" w:eastAsia="Times New Roman"/>
          <w:b/>
          <w:sz w:val="24"/>
          <w:szCs w:val="24"/>
          <w:lang w:eastAsia="ru-RU"/>
        </w:rPr>
      </w:r>
      <w:r>
        <w:rPr>
          <w:rFonts w:ascii="PT Astra Serif" w:hAnsi="PT Astra Serif" w:eastAsia="Times New Roman"/>
          <w:b/>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Во исполнение подпункта б) пункта 3 Указа Президента Российской Федерации от 16.08.2021 № 478 «О Национальном плане противодействия коррупции на 2021 </w:t>
      </w: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2024 годы» во всех исполнительных органах Томской области приняты планы противодействия коррупции, основные задачи которых соответствуют действующему антикоррупционному законодательству. </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Ежегодно в случае необходимости проводится работа по их корректировке. Контроль за выполнением мероприятий, предусмотренных планами, осуществляется на уровне руководителей органов. Резу</w:t>
      </w:r>
      <w:r>
        <w:rPr>
          <w:rFonts w:ascii="PT Astra Serif" w:hAnsi="PT Astra Serif" w:eastAsia="Times New Roman"/>
          <w:sz w:val="24"/>
          <w:szCs w:val="24"/>
          <w:lang w:eastAsia="ru-RU"/>
        </w:rPr>
        <w:t xml:space="preserve">льтаты выполнения мероприятий планов представляются руководителю органа, а также рассматриваются на заседаниях комиссий по соблюдению требований к служебному поведению и урегулированию конфликта интересов и размещаются на официальных сайтах органов власти.</w:t>
      </w:r>
      <w:bookmarkEnd w:id="40"/>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ind w:firstLine="709"/>
        <w:jc w:val="both"/>
        <w:spacing w:after="0" w:line="240" w:lineRule="auto"/>
        <w:tabs>
          <w:tab w:val="left" w:pos="4962" w:leader="none"/>
        </w:tabs>
        <w:rPr>
          <w:rFonts w:ascii="PT Astra Serif" w:hAnsi="PT Astra Serif"/>
          <w:b/>
          <w:sz w:val="24"/>
          <w:szCs w:val="24"/>
          <w:shd w:val="clear" w:color="auto" w:fill="f2f2f2" w:themeFill="background1" w:themeFillShade="F2"/>
        </w:rPr>
        <w:sectPr>
          <w:footnotePr/>
          <w:endnotePr/>
          <w:type w:val="nextPage"/>
          <w:pgSz w:w="11906" w:h="16838" w:orient="portrait"/>
          <w:pgMar w:top="1134" w:right="850" w:bottom="1134" w:left="1701" w:header="708" w:footer="708" w:gutter="0"/>
          <w:cols w:num="1" w:sep="0" w:space="708" w:equalWidth="1"/>
          <w:docGrid w:linePitch="360"/>
        </w:sectPr>
      </w:pP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r>
        <w:rPr>
          <w:rFonts w:ascii="PT Astra Serif" w:hAnsi="PT Astra Serif"/>
          <w:b/>
          <w:sz w:val="24"/>
          <w:szCs w:val="24"/>
          <w:shd w:val="clear" w:color="auto" w:fill="f2f2f2" w:themeFill="background1" w:themeFillShade="F2"/>
        </w:rPr>
      </w:r>
    </w:p>
    <w:p>
      <w:pPr>
        <w:jc w:val="right"/>
        <w:spacing w:after="0" w:line="240" w:lineRule="auto"/>
        <w:tabs>
          <w:tab w:val="left" w:pos="993" w:leader="none"/>
          <w:tab w:val="left" w:pos="4962" w:leader="none"/>
        </w:tabs>
        <w:rPr>
          <w:rFonts w:ascii="PT Astra Serif" w:hAnsi="PT Astra Serif" w:eastAsia="Calibri"/>
          <w:b/>
          <w:sz w:val="24"/>
          <w:szCs w:val="24"/>
        </w:rPr>
        <w:outlineLvl w:val="1"/>
      </w:pPr>
      <w:r/>
      <w:bookmarkStart w:id="41" w:name="_Toc134630430"/>
      <w:r>
        <w:rPr>
          <w:rFonts w:ascii="PT Astra Serif" w:hAnsi="PT Astra Serif" w:eastAsia="Calibri"/>
          <w:b/>
          <w:sz w:val="24"/>
          <w:szCs w:val="24"/>
        </w:rPr>
        <w:t xml:space="preserve">Приложение № 10</w:t>
      </w:r>
      <w:bookmarkEnd w:id="41"/>
      <w:r>
        <w:rPr>
          <w:rFonts w:ascii="PT Astra Serif" w:hAnsi="PT Astra Serif" w:eastAsia="Calibri"/>
          <w:b/>
          <w:sz w:val="24"/>
          <w:szCs w:val="24"/>
        </w:rPr>
      </w:r>
      <w:r>
        <w:rPr>
          <w:rFonts w:ascii="PT Astra Serif" w:hAnsi="PT Astra Serif" w:eastAsia="Calibri"/>
          <w:b/>
          <w:sz w:val="24"/>
          <w:szCs w:val="24"/>
        </w:rPr>
      </w:r>
    </w:p>
    <w:p>
      <w:pPr>
        <w:ind w:firstLine="567"/>
        <w:jc w:val="right"/>
        <w:spacing w:after="0" w:line="240" w:lineRule="auto"/>
        <w:tabs>
          <w:tab w:val="left" w:pos="851" w:leader="none"/>
          <w:tab w:val="left" w:pos="4962" w:leader="none"/>
        </w:tabs>
        <w:rPr>
          <w:rFonts w:ascii="PT Astra Serif" w:hAnsi="PT Astra Serif" w:eastAsia="Calibri"/>
          <w:b/>
          <w:sz w:val="24"/>
          <w:szCs w:val="24"/>
        </w:rPr>
      </w:pPr>
      <w:r>
        <w:rPr>
          <w:rFonts w:ascii="PT Astra Serif" w:hAnsi="PT Astra Serif" w:eastAsia="Calibri"/>
          <w:b/>
          <w:sz w:val="24"/>
          <w:szCs w:val="24"/>
        </w:rPr>
      </w:r>
      <w:r>
        <w:rPr>
          <w:rFonts w:ascii="PT Astra Serif" w:hAnsi="PT Astra Serif" w:eastAsia="Calibri"/>
          <w:b/>
          <w:sz w:val="24"/>
          <w:szCs w:val="24"/>
        </w:rPr>
      </w:r>
      <w:r>
        <w:rPr>
          <w:rFonts w:ascii="PT Astra Serif" w:hAnsi="PT Astra Serif" w:eastAsia="Calibri"/>
          <w:b/>
          <w:sz w:val="24"/>
          <w:szCs w:val="24"/>
        </w:rPr>
      </w:r>
    </w:p>
    <w:p>
      <w:pPr>
        <w:jc w:val="center"/>
        <w:spacing w:after="0" w:line="240" w:lineRule="auto"/>
        <w:widowControl w:val="off"/>
        <w:rPr>
          <w:rFonts w:ascii="PT Astra Serif" w:hAnsi="PT Astra Serif" w:eastAsia="Calibri"/>
          <w:b/>
          <w:sz w:val="24"/>
          <w:szCs w:val="24"/>
          <w:lang w:eastAsia="ru-RU"/>
        </w:rPr>
      </w:pPr>
      <w:r>
        <w:rPr>
          <w:rFonts w:ascii="PT Astra Serif" w:hAnsi="PT Astra Serif" w:eastAsia="Calibri"/>
          <w:b/>
          <w:sz w:val="24"/>
          <w:szCs w:val="24"/>
          <w:lang w:eastAsia="ru-RU"/>
        </w:rPr>
        <w:t xml:space="preserve">Обязательный публичный отчет Губернатора Томской области В.В. Мазура</w:t>
      </w:r>
      <w:r>
        <w:rPr>
          <w:rFonts w:ascii="PT Astra Serif" w:hAnsi="PT Astra Serif" w:eastAsia="Calibri"/>
          <w:b/>
          <w:sz w:val="24"/>
          <w:szCs w:val="24"/>
          <w:lang w:eastAsia="ru-RU"/>
        </w:rPr>
      </w:r>
      <w:r>
        <w:rPr>
          <w:rFonts w:ascii="PT Astra Serif" w:hAnsi="PT Astra Serif" w:eastAsia="Calibri"/>
          <w:b/>
          <w:sz w:val="24"/>
          <w:szCs w:val="24"/>
          <w:lang w:eastAsia="ru-RU"/>
        </w:rPr>
      </w:r>
    </w:p>
    <w:p>
      <w:pPr>
        <w:jc w:val="center"/>
        <w:spacing w:after="0" w:line="240" w:lineRule="auto"/>
        <w:widowControl w:val="off"/>
        <w:rPr>
          <w:rFonts w:ascii="PT Astra Serif" w:hAnsi="PT Astra Serif" w:eastAsia="Calibri"/>
          <w:b/>
          <w:sz w:val="24"/>
          <w:szCs w:val="24"/>
          <w:lang w:eastAsia="ru-RU"/>
        </w:rPr>
      </w:pPr>
      <w:r>
        <w:rPr>
          <w:rFonts w:ascii="PT Astra Serif" w:hAnsi="PT Astra Serif" w:eastAsia="Calibri"/>
          <w:b/>
          <w:sz w:val="24"/>
          <w:szCs w:val="24"/>
          <w:lang w:eastAsia="ru-RU"/>
        </w:rPr>
        <w:t xml:space="preserve">о результатах независимой оценки качества условий оказания услуг организациями в сфере культуры, охраны здоровья, образования, социального обслуживания, расположенными на территории Томской области</w:t>
      </w:r>
      <w:r>
        <w:rPr>
          <w:rFonts w:ascii="PT Astra Serif" w:hAnsi="PT Astra Serif" w:eastAsia="Calibri"/>
          <w:b/>
          <w:sz w:val="24"/>
          <w:szCs w:val="24"/>
          <w:lang w:eastAsia="ru-RU"/>
        </w:rPr>
      </w:r>
      <w:r>
        <w:rPr>
          <w:rFonts w:ascii="PT Astra Serif" w:hAnsi="PT Astra Serif" w:eastAsia="Calibri"/>
          <w:b/>
          <w:sz w:val="24"/>
          <w:szCs w:val="24"/>
          <w:lang w:eastAsia="ru-RU"/>
        </w:rPr>
      </w:r>
    </w:p>
    <w:p>
      <w:pPr>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r>
      <w:r>
        <w:rPr>
          <w:rFonts w:ascii="PT Astra Serif" w:hAnsi="PT Astra Serif" w:eastAsia="Calibri"/>
          <w:sz w:val="24"/>
          <w:szCs w:val="24"/>
          <w:lang w:eastAsia="ru-RU"/>
        </w:rPr>
      </w:r>
      <w:r>
        <w:rPr>
          <w:rFonts w:ascii="PT Astra Serif" w:hAnsi="PT Astra Serif" w:eastAsia="Calibri"/>
          <w:sz w:val="24"/>
          <w:szCs w:val="24"/>
          <w:lang w:eastAsia="ru-RU"/>
        </w:rPr>
      </w:r>
    </w:p>
    <w:p>
      <w:pPr>
        <w:jc w:val="center"/>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с 01.01.2023 по 31.12.2023</w:t>
      </w:r>
      <w:r>
        <w:rPr>
          <w:rFonts w:ascii="PT Astra Serif" w:hAnsi="PT Astra Serif" w:eastAsia="Calibri"/>
          <w:sz w:val="24"/>
          <w:szCs w:val="24"/>
          <w:lang w:eastAsia="ru-RU"/>
        </w:rPr>
      </w:r>
      <w:r>
        <w:rPr>
          <w:rFonts w:ascii="PT Astra Serif" w:hAnsi="PT Astra Serif" w:eastAsia="Calibri"/>
          <w:sz w:val="24"/>
          <w:szCs w:val="24"/>
          <w:lang w:eastAsia="ru-RU"/>
        </w:rPr>
      </w:r>
    </w:p>
    <w:p>
      <w:pPr>
        <w:jc w:val="center"/>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tabs>
          <w:tab w:val="left" w:pos="993" w:leader="none"/>
        </w:tabs>
        <w:rPr>
          <w:rFonts w:ascii="PT Astra Serif" w:hAnsi="PT Astra Serif" w:eastAsia="Calibri"/>
          <w:b/>
          <w:sz w:val="24"/>
          <w:szCs w:val="24"/>
          <w:lang w:eastAsia="ru-RU"/>
        </w:rPr>
      </w:pPr>
      <w:r>
        <w:rPr>
          <w:rFonts w:ascii="PT Astra Serif" w:hAnsi="PT Astra Serif" w:eastAsia="Calibri"/>
          <w:b/>
          <w:sz w:val="24"/>
          <w:szCs w:val="24"/>
          <w:lang w:eastAsia="ru-RU"/>
        </w:rPr>
        <w:t xml:space="preserve">1.</w:t>
      </w:r>
      <w:r>
        <w:rPr>
          <w:rFonts w:ascii="PT Astra Serif" w:hAnsi="PT Astra Serif" w:eastAsia="Calibri"/>
          <w:b/>
          <w:sz w:val="24"/>
          <w:szCs w:val="24"/>
          <w:lang w:eastAsia="ru-RU"/>
        </w:rPr>
        <w:tab/>
      </w:r>
      <w:r>
        <w:rPr>
          <w:rFonts w:ascii="PT Astra Serif" w:hAnsi="PT Astra Serif" w:eastAsia="Calibri"/>
          <w:b/>
          <w:sz w:val="24"/>
          <w:szCs w:val="24"/>
          <w:lang w:eastAsia="ru-RU"/>
        </w:rPr>
        <w:t xml:space="preserve">Нормативные правовые акты субъектов Российской Федерации, определяющие пр</w:t>
      </w:r>
      <w:r>
        <w:rPr>
          <w:rFonts w:ascii="PT Astra Serif" w:hAnsi="PT Astra Serif" w:eastAsia="Calibri"/>
          <w:b/>
          <w:sz w:val="24"/>
          <w:szCs w:val="24"/>
          <w:lang w:eastAsia="ru-RU"/>
        </w:rPr>
        <w:t xml:space="preserve">оведение независимой оценки качества условий оказания услуг организациями в сфере культуры, охраны здоровья, образования, социального обслуживания (далее соответственно – независимая оценка качества, организации социальной сферы, отрасли социальной сферы):</w:t>
      </w:r>
      <w:r>
        <w:rPr>
          <w:rFonts w:ascii="PT Astra Serif" w:hAnsi="PT Astra Serif" w:eastAsia="Calibri"/>
          <w:b/>
          <w:sz w:val="24"/>
          <w:szCs w:val="24"/>
          <w:lang w:eastAsia="ru-RU"/>
        </w:rPr>
      </w:r>
      <w:r>
        <w:rPr>
          <w:rFonts w:ascii="PT Astra Serif" w:hAnsi="PT Astra Serif" w:eastAsia="Calibri"/>
          <w:b/>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Закон Томской области от 15.12.2014 № 179-ОЗ «Об отдельных вопросах проведения независимой оценки качества условий оказания услуг организациями в сфере культуры, социального обслуживания, охраны здоровья и образования»;</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Закон Томской области от 13.04.2016 № 25-ОЗ «Об отдельных вопросах организации и осуществления общественного контроля на территории Томской области»;</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Закон Томской области от 09.06.2017 № 52-ОЗ «Об Общественной палате Томской области»;</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Закон Томской области от 08.10.2014 № 127-ОЗ «Об организации социального обслуживания граждан в Томской области»;</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Распоряжение Губернатора То</w:t>
      </w:r>
      <w:r>
        <w:rPr>
          <w:rFonts w:ascii="PT Astra Serif" w:hAnsi="PT Astra Serif"/>
          <w:sz w:val="24"/>
          <w:szCs w:val="24"/>
          <w:lang w:eastAsia="ru-RU"/>
        </w:rPr>
        <w:t xml:space="preserve">мской области от 03.12.2014 № 294-р «О создании рабочей группы по организации работы по проведению в Томской области независимой оценки качества условий оказания услуг организациями в сфере культуры, охраны здоровья, образования, социального обслуживания»;</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Распоряжение Губернатора Томской области от 06.06.2016 № 147-р «Об утверждении Типового положения об общественном совете при исполнительном органе государственной власти Томской области».</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tabs>
          <w:tab w:val="left" w:pos="993" w:leader="none"/>
        </w:tabs>
        <w:rPr>
          <w:rFonts w:ascii="PT Astra Serif" w:hAnsi="PT Astra Serif" w:eastAsia="Calibri"/>
          <w:b/>
          <w:sz w:val="24"/>
          <w:szCs w:val="24"/>
          <w:lang w:eastAsia="ru-RU"/>
        </w:rPr>
      </w:pPr>
      <w:r>
        <w:rPr>
          <w:rFonts w:ascii="PT Astra Serif" w:hAnsi="PT Astra Serif" w:eastAsia="Calibri"/>
          <w:b/>
          <w:sz w:val="24"/>
          <w:szCs w:val="24"/>
          <w:lang w:eastAsia="ru-RU"/>
        </w:rPr>
        <w:t xml:space="preserve">2.</w:t>
      </w:r>
      <w:r>
        <w:rPr>
          <w:rFonts w:ascii="PT Astra Serif" w:hAnsi="PT Astra Serif" w:eastAsia="Calibri"/>
          <w:b/>
          <w:sz w:val="24"/>
          <w:szCs w:val="24"/>
          <w:lang w:eastAsia="ru-RU"/>
        </w:rPr>
        <w:tab/>
        <w:t xml:space="preserve">Информация об общественном совете (общественных советах) по проведению независимой оценки качества условий оказания услуг.</w:t>
      </w:r>
      <w:r>
        <w:rPr>
          <w:rFonts w:ascii="PT Astra Serif" w:hAnsi="PT Astra Serif" w:eastAsia="Calibri"/>
          <w:b/>
          <w:sz w:val="24"/>
          <w:szCs w:val="24"/>
          <w:lang w:eastAsia="ru-RU"/>
        </w:rPr>
      </w:r>
      <w:r>
        <w:rPr>
          <w:rFonts w:ascii="PT Astra Serif" w:hAnsi="PT Astra Serif" w:eastAsia="Calibri"/>
          <w:b/>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2.1. Общественный совет осуществляет следующие функции при проведении независимой оценки качества условий оказания услуг: </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1) определяет перечни организаций социальной сферы, в отношении которых проводится независимая оценка; </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2) устанавливает при необходимости критерии оценки качества условий оказания услуг организациями социальной сферы; </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3) осуществляет независимую оценку качества условий оказания услуг организациями социальной сферы с учетом информации, представленной оператором; </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4) представляет соот</w:t>
      </w:r>
      <w:r>
        <w:rPr>
          <w:rFonts w:ascii="PT Astra Serif" w:hAnsi="PT Astra Serif" w:eastAsia="Calibri"/>
          <w:sz w:val="24"/>
          <w:szCs w:val="24"/>
          <w:lang w:eastAsia="ru-RU"/>
        </w:rPr>
        <w:t xml:space="preserve">ветственно в орган исполнительной власти субъекта Российской Федерации, органы местного самоуправления результаты независимой оценки качества условий оказания услуг организациями социальной сферы, а также предложения об улучшении качества их деятельности. </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2.2. Общественные советы формирует Общественная палата Томской области (часть 7 статьи 9 Закона Томской области от 09.06.2017 № 52-ОЗ «Об Общественной палате Томской области»)</w:t>
      </w:r>
      <w:r>
        <w:rPr>
          <w:rFonts w:ascii="PT Astra Serif" w:hAnsi="PT Astra Serif" w:eastAsia="Calibri"/>
          <w:sz w:val="24"/>
          <w:szCs w:val="24"/>
          <w:lang w:eastAsia="ru-RU"/>
        </w:rPr>
      </w:r>
      <w:r>
        <w:rPr>
          <w:rFonts w:ascii="PT Astra Serif" w:hAnsi="PT Astra Serif" w:eastAsia="Calibri"/>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образования Общественный совет сформирован:</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при Департаменте общего образования Томской области решением Общественной палаты Томской области от 28.12.2021 (6 членов);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при Департаменте по молодежной политике, физической культуре и спорту Томской области решением Общественной палаты Томской области от 22.09.2022 </w:t>
      </w:r>
      <w:r>
        <w:rPr>
          <w:rFonts w:ascii="PT Astra Serif" w:hAnsi="PT Astra Serif"/>
          <w:sz w:val="24"/>
          <w:szCs w:val="24"/>
          <w:lang w:eastAsia="ru-RU"/>
        </w:rPr>
        <w:t xml:space="preserve">(5 </w:t>
      </w:r>
      <w:r>
        <w:rPr>
          <w:rFonts w:ascii="PT Astra Serif" w:hAnsi="PT Astra Serif"/>
          <w:sz w:val="24"/>
          <w:szCs w:val="24"/>
          <w:lang w:eastAsia="ru-RU"/>
        </w:rPr>
        <w:t xml:space="preserve">членов);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при Департаменте профессионального образования Томской области решением Общественной палаты Томской области от 07.04.2022 (6 членов);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социального обслуживания Общественный совет сформирован:</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при Департаменте по вопрос</w:t>
      </w:r>
      <w:r>
        <w:rPr>
          <w:rFonts w:ascii="PT Astra Serif" w:hAnsi="PT Astra Serif"/>
          <w:sz w:val="24"/>
          <w:szCs w:val="24"/>
          <w:lang w:eastAsia="ru-RU"/>
        </w:rPr>
        <w:t xml:space="preserve">ам</w:t>
      </w:r>
      <w:r>
        <w:rPr>
          <w:rFonts w:ascii="PT Astra Serif" w:hAnsi="PT Astra Serif"/>
          <w:sz w:val="24"/>
          <w:szCs w:val="24"/>
          <w:lang w:eastAsia="ru-RU"/>
        </w:rPr>
        <w:t xml:space="preserve"> семьи и детей Томской области решением Общественной палаты Томской области от 22.03.2021 (5 членов);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при Департаменте социальной защиты населения Томской области решением Общественной палаты Томской области от 15.04.2021 (5 членов);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 в сфере здравоохранения  Общественный совет сформирован:</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при Департаменте здравоохранения Томской области решением Общественной палаты Томской области от 28.05.2021 (5 членов);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культуры Общественный совет сформирован:</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при Департаменте по культуре Томской области решением Общественной палаты Томской области от 23.07.2021 (5 членов).</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Сведения о составах Общественного совета размещены на официальных сайтах органов исполнительной власти Томской области и сайте bus.gov.ru.</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tabs>
          <w:tab w:val="left" w:pos="993" w:leader="none"/>
        </w:tabs>
        <w:rPr>
          <w:rFonts w:ascii="PT Astra Serif" w:hAnsi="PT Astra Serif" w:eastAsia="Calibri"/>
          <w:b/>
          <w:sz w:val="24"/>
          <w:szCs w:val="24"/>
          <w:lang w:eastAsia="ru-RU"/>
        </w:rPr>
      </w:pPr>
      <w:r>
        <w:rPr>
          <w:rFonts w:ascii="PT Astra Serif" w:hAnsi="PT Astra Serif" w:eastAsia="Calibri"/>
          <w:b/>
          <w:sz w:val="24"/>
          <w:szCs w:val="24"/>
          <w:lang w:eastAsia="ru-RU"/>
        </w:rPr>
        <w:t xml:space="preserve">3.</w:t>
      </w:r>
      <w:r>
        <w:rPr>
          <w:rFonts w:ascii="PT Astra Serif" w:hAnsi="PT Astra Serif" w:eastAsia="Calibri"/>
          <w:b/>
          <w:sz w:val="24"/>
          <w:szCs w:val="24"/>
          <w:lang w:eastAsia="ru-RU"/>
        </w:rPr>
        <w:tab/>
        <w:t xml:space="preserve">Сведения об организациях, осуществляющих сбор и обобщение информации о качестве условий оказания услуг организациями социальной сферы (далее – операторы).</w:t>
      </w:r>
      <w:r>
        <w:rPr>
          <w:rFonts w:ascii="PT Astra Serif" w:hAnsi="PT Astra Serif" w:eastAsia="Calibri"/>
          <w:b/>
          <w:sz w:val="24"/>
          <w:szCs w:val="24"/>
          <w:lang w:eastAsia="ru-RU"/>
        </w:rPr>
      </w:r>
      <w:r>
        <w:rPr>
          <w:rFonts w:ascii="PT Astra Serif" w:hAnsi="PT Astra Serif" w:eastAsia="Calibri"/>
          <w:b/>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В 2023 году в целях проведения независимой оценки органами исполнительной власти Томской области заключено 7 государственных </w:t>
      </w:r>
      <w:r>
        <w:rPr>
          <w:rFonts w:ascii="PT Astra Serif" w:hAnsi="PT Astra Serif" w:eastAsia="Calibri"/>
          <w:sz w:val="24"/>
          <w:szCs w:val="24"/>
          <w:lang w:eastAsia="ru-RU"/>
        </w:rPr>
        <w:t xml:space="preserve">контрактов на общую сумму 723,7 </w:t>
      </w:r>
      <w:r>
        <w:rPr>
          <w:rFonts w:ascii="PT Astra Serif" w:hAnsi="PT Astra Serif" w:eastAsia="Calibri"/>
          <w:sz w:val="24"/>
          <w:szCs w:val="24"/>
          <w:lang w:eastAsia="ru-RU"/>
        </w:rPr>
        <w:t xml:space="preserve">тыс. рублей с операторами: </w:t>
      </w:r>
      <w:r>
        <w:rPr>
          <w:rFonts w:ascii="PT Astra Serif" w:hAnsi="PT Astra Serif" w:eastAsia="Calibri"/>
          <w:sz w:val="24"/>
          <w:szCs w:val="24"/>
          <w:lang w:eastAsia="ru-RU"/>
        </w:rPr>
      </w:r>
      <w:r>
        <w:rPr>
          <w:rFonts w:ascii="PT Astra Serif" w:hAnsi="PT Astra Serif" w:eastAsia="Calibri"/>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образования:</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ООО «АС-ХОЛДИНГ» от 24.07.2023 № 086520000</w:t>
      </w:r>
      <w:r>
        <w:rPr>
          <w:rFonts w:ascii="PT Astra Serif" w:hAnsi="PT Astra Serif"/>
          <w:sz w:val="24"/>
          <w:szCs w:val="24"/>
          <w:lang w:eastAsia="ru-RU"/>
        </w:rPr>
        <w:t xml:space="preserve">03230012070001 на сумму 239 </w:t>
      </w:r>
      <w:r>
        <w:rPr>
          <w:rFonts w:ascii="PT Astra Serif" w:hAnsi="PT Astra Serif"/>
          <w:sz w:val="24"/>
          <w:szCs w:val="24"/>
          <w:lang w:eastAsia="ru-RU"/>
        </w:rPr>
        <w:t xml:space="preserve">тыс. рублей;</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ОГАУ «Центр спортивной подготовки сборных команд Томской области» от 17.10.2023  № 2023.1196895 на сумму 50 тыс. рублей;</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ООО «Демиург» от 19.04.2023  № 20 на сумму 48,0 тыс. рублей;</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социального обслуживания: </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ООО ИЦ «НОВИ» от 26.05.2023 № 35/23-Д на сумму 34 тыс. рублей;</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ООО «АС-ХОЛДИНГ» от 10.04.2023 № 0865200000323000374.1 на сумму </w:t>
      </w:r>
      <w:r>
        <w:rPr>
          <w:rFonts w:ascii="PT Astra Serif" w:hAnsi="PT Astra Serif"/>
          <w:sz w:val="24"/>
          <w:szCs w:val="24"/>
        </w:rPr>
        <w:t xml:space="preserve">29,5</w:t>
      </w:r>
      <w:r>
        <w:rPr>
          <w:rFonts w:ascii="PT Astra Serif" w:hAnsi="PT Astra Serif"/>
          <w:sz w:val="24"/>
          <w:szCs w:val="24"/>
        </w:rPr>
        <w:t xml:space="preserve"> </w:t>
      </w:r>
      <w:r>
        <w:rPr>
          <w:rFonts w:ascii="PT Astra Serif" w:hAnsi="PT Astra Serif"/>
          <w:sz w:val="24"/>
          <w:szCs w:val="24"/>
        </w:rPr>
        <w:t xml:space="preserve">тыс. рублей;</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здравоохранения:</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ООО «Центр гуманитарных, социально-экономических и политических исследований-1» от 04.09.2023 № ОБ.8466 на сумму 300 тыс. рублей;</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культуры:</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ООО ИЦ «НОВИ» от 03.07.2023 № 1159 на сумму 23,2 тыс. рублей.</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tabs>
          <w:tab w:val="left" w:pos="993" w:leader="none"/>
        </w:tabs>
        <w:rPr>
          <w:rFonts w:ascii="PT Astra Serif" w:hAnsi="PT Astra Serif" w:eastAsia="Calibri"/>
          <w:b/>
          <w:sz w:val="24"/>
          <w:szCs w:val="24"/>
          <w:lang w:eastAsia="ru-RU"/>
        </w:rPr>
      </w:pPr>
      <w:r>
        <w:rPr>
          <w:rFonts w:ascii="PT Astra Serif" w:hAnsi="PT Astra Serif" w:eastAsia="Calibri"/>
          <w:b/>
          <w:sz w:val="24"/>
          <w:szCs w:val="24"/>
          <w:lang w:eastAsia="ru-RU"/>
        </w:rPr>
        <w:t xml:space="preserve">4.</w:t>
      </w:r>
      <w:r>
        <w:rPr>
          <w:rFonts w:ascii="PT Astra Serif" w:hAnsi="PT Astra Serif" w:eastAsia="Calibri"/>
          <w:b/>
          <w:sz w:val="24"/>
          <w:szCs w:val="24"/>
          <w:lang w:eastAsia="ru-RU"/>
        </w:rPr>
        <w:tab/>
        <w:t xml:space="preserve">Информация об организациях социальной сферы, подлежащих независимой оценке качества.</w:t>
      </w:r>
      <w:r>
        <w:rPr>
          <w:rFonts w:ascii="PT Astra Serif" w:hAnsi="PT Astra Serif" w:eastAsia="Calibri"/>
          <w:b/>
          <w:sz w:val="24"/>
          <w:szCs w:val="24"/>
          <w:lang w:eastAsia="ru-RU"/>
        </w:rPr>
      </w:r>
      <w:r>
        <w:rPr>
          <w:rFonts w:ascii="PT Astra Serif" w:hAnsi="PT Astra Serif" w:eastAsia="Calibri"/>
          <w:b/>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4.1. Общее количество организаций социальной сферы, охваченных независимой оценкой качества условий оказания услуг в 2023 году в Томской области</w:t>
      </w:r>
      <w:r>
        <w:rPr>
          <w:rFonts w:ascii="PT Astra Serif" w:hAnsi="PT Astra Serif" w:eastAsia="Calibri"/>
          <w:sz w:val="24"/>
          <w:szCs w:val="24"/>
          <w:lang w:eastAsia="ru-RU"/>
        </w:rPr>
        <w:t xml:space="preserve">,</w:t>
      </w:r>
      <w:r>
        <w:rPr>
          <w:rFonts w:ascii="PT Astra Serif" w:hAnsi="PT Astra Serif" w:eastAsia="Calibri"/>
          <w:sz w:val="24"/>
          <w:szCs w:val="24"/>
          <w:lang w:eastAsia="ru-RU"/>
        </w:rPr>
        <w:t xml:space="preserve"> составило 368 </w:t>
      </w:r>
      <w:r>
        <w:rPr>
          <w:rFonts w:ascii="PT Astra Serif" w:hAnsi="PT Astra Serif" w:eastAsia="Calibri"/>
          <w:sz w:val="24"/>
          <w:szCs w:val="24"/>
          <w:lang w:eastAsia="ru-RU"/>
        </w:rPr>
        <w:t xml:space="preserve">организаций. Удельный вес от общего числа организаций, подлежащих независимой оценке качества условий оказания услуг</w:t>
      </w:r>
      <w:r>
        <w:rPr>
          <w:rFonts w:ascii="PT Astra Serif" w:hAnsi="PT Astra Serif" w:eastAsia="Calibri"/>
          <w:sz w:val="24"/>
          <w:szCs w:val="24"/>
          <w:lang w:eastAsia="ru-RU"/>
        </w:rPr>
        <w:t xml:space="preserve">,</w:t>
      </w:r>
      <w:r>
        <w:rPr>
          <w:rFonts w:ascii="PT Astra Serif" w:hAnsi="PT Astra Serif" w:eastAsia="Calibri"/>
          <w:sz w:val="24"/>
          <w:szCs w:val="24"/>
          <w:lang w:eastAsia="ru-RU"/>
        </w:rPr>
        <w:t xml:space="preserve"> составил:</w:t>
      </w:r>
      <w:r>
        <w:rPr>
          <w:rFonts w:ascii="PT Astra Serif" w:hAnsi="PT Astra Serif" w:eastAsia="Calibri"/>
          <w:sz w:val="24"/>
          <w:szCs w:val="24"/>
          <w:lang w:eastAsia="ru-RU"/>
        </w:rPr>
      </w:r>
      <w:r>
        <w:rPr>
          <w:rFonts w:ascii="PT Astra Serif" w:hAnsi="PT Astra Serif" w:eastAsia="Calibri"/>
          <w:sz w:val="24"/>
          <w:szCs w:val="24"/>
          <w:lang w:eastAsia="ru-RU"/>
        </w:rPr>
      </w:r>
    </w:p>
    <w:p>
      <w:pPr>
        <w:pStyle w:val="1152"/>
        <w:numPr>
          <w:ilvl w:val="0"/>
          <w:numId w:val="1"/>
        </w:numPr>
        <w:ind w:left="0" w:firstLine="709"/>
        <w:jc w:val="both"/>
        <w:spacing w:after="0" w:line="240" w:lineRule="auto"/>
        <w:widowControl w:val="off"/>
        <w:rPr>
          <w:rFonts w:ascii="PT Astra Serif" w:hAnsi="PT Astra Serif"/>
          <w:sz w:val="24"/>
          <w:szCs w:val="24"/>
          <w:lang w:eastAsia="ru-RU"/>
        </w:rPr>
      </w:pPr>
      <w:r>
        <w:rPr>
          <w:rFonts w:ascii="PT Astra Serif" w:hAnsi="PT Astra Serif"/>
          <w:sz w:val="24"/>
          <w:szCs w:val="24"/>
          <w:lang w:eastAsia="ru-RU"/>
        </w:rPr>
        <w:t xml:space="preserve">в сфере образования – 291 организация, из них:</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организации общего образования - 274 (90% от общего числа организаций, подлежащих независимой оценке качества условий оказания услуг);</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организации физической культуры и спорта – 8 (33,3% от общего числа организаций, подлежащих независимой оценке качества условий оказания услуг);</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организации профессионального образования - 9 (7,7% от общего числа организаций, подлежащих независимой оценке качества условий оказания услуг);</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социального обслуживания – 17 организаций, из них:</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организации социальной защиты – 11 (33% от общего числа организаций, подлежащих независимой оценке качества условий оказания услуг);</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организации по направлению «семья и дети» – 6 (26,1% от общего числа организаций, подлежащих независимой оценке качества условий оказания услуг);</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здравоохранения – 26 организаций (26% от общего числа организаций, подлежащих независимой оценке качества условий оказания услуг);</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культуры </w:t>
      </w:r>
      <w:r>
        <w:rPr>
          <w:rFonts w:ascii="PT Astra Serif" w:hAnsi="PT Astra Serif"/>
          <w:sz w:val="24"/>
          <w:szCs w:val="24"/>
        </w:rPr>
        <w:t xml:space="preserve">–</w:t>
      </w:r>
      <w:r>
        <w:rPr>
          <w:rFonts w:ascii="PT Astra Serif" w:hAnsi="PT Astra Serif"/>
          <w:sz w:val="24"/>
          <w:szCs w:val="24"/>
          <w:lang w:eastAsia="ru-RU"/>
        </w:rPr>
        <w:t xml:space="preserve"> 34 организаци</w:t>
      </w:r>
      <w:r>
        <w:rPr>
          <w:rFonts w:ascii="PT Astra Serif" w:hAnsi="PT Astra Serif"/>
          <w:sz w:val="24"/>
          <w:szCs w:val="24"/>
          <w:lang w:eastAsia="ru-RU"/>
        </w:rPr>
        <w:t xml:space="preserve">и</w:t>
      </w:r>
      <w:r>
        <w:rPr>
          <w:rFonts w:ascii="PT Astra Serif" w:hAnsi="PT Astra Serif"/>
          <w:sz w:val="24"/>
          <w:szCs w:val="24"/>
          <w:lang w:eastAsia="ru-RU"/>
        </w:rPr>
        <w:t xml:space="preserve"> (35,7% от общего числа организаций, подлежащих независимой оценке качества условий оказания услуг).</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В 2024 году независимую оценку качест</w:t>
      </w:r>
      <w:r>
        <w:rPr>
          <w:rFonts w:ascii="PT Astra Serif" w:hAnsi="PT Astra Serif" w:eastAsia="Calibri"/>
          <w:sz w:val="24"/>
          <w:szCs w:val="24"/>
          <w:lang w:eastAsia="ru-RU"/>
        </w:rPr>
        <w:t xml:space="preserve">ва запланировано провести в 272 </w:t>
      </w:r>
      <w:r>
        <w:rPr>
          <w:rFonts w:ascii="PT Astra Serif" w:hAnsi="PT Astra Serif" w:eastAsia="Calibri"/>
          <w:sz w:val="24"/>
          <w:szCs w:val="24"/>
          <w:lang w:eastAsia="ru-RU"/>
        </w:rPr>
        <w:t xml:space="preserve">организациях социальной сферы, в том числе:</w:t>
      </w:r>
      <w:r>
        <w:rPr>
          <w:rFonts w:ascii="PT Astra Serif" w:hAnsi="PT Astra Serif" w:eastAsia="Calibri"/>
          <w:sz w:val="24"/>
          <w:szCs w:val="24"/>
          <w:lang w:eastAsia="ru-RU"/>
        </w:rPr>
      </w:r>
      <w:r>
        <w:rPr>
          <w:rFonts w:ascii="PT Astra Serif" w:hAnsi="PT Astra Serif" w:eastAsia="Calibri"/>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образования – 196 организаций, из них:</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организации общего образования – 180;</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организации физической культуры и спорта – 8;</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организации профессионального образования – 8;</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социального обслуживания – 18 организаций, из них:</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организации социальной защиты – 9;</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организации по направлению «семья и дети» – 9;</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здравоохранения – 30 организаций;</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культуры – 28 организаций.</w:t>
      </w:r>
      <w:r>
        <w:rPr>
          <w:rFonts w:ascii="PT Astra Serif" w:hAnsi="PT Astra Serif"/>
          <w:sz w:val="24"/>
          <w:szCs w:val="24"/>
          <w:lang w:eastAsia="ru-RU"/>
        </w:rPr>
      </w:r>
      <w:r>
        <w:rPr>
          <w:rFonts w:ascii="PT Astra Serif" w:hAnsi="PT Astra Serif"/>
          <w:sz w:val="24"/>
          <w:szCs w:val="24"/>
          <w:lang w:eastAsia="ru-RU"/>
        </w:rPr>
      </w:r>
    </w:p>
    <w:p>
      <w:pPr>
        <w:pStyle w:val="1152"/>
        <w:ind w:left="0" w:firstLine="709"/>
        <w:jc w:val="both"/>
        <w:spacing w:after="0" w:line="240" w:lineRule="auto"/>
        <w:widowControl w:val="off"/>
        <w:rPr>
          <w:rFonts w:ascii="PT Astra Serif" w:hAnsi="PT Astra Serif"/>
          <w:sz w:val="24"/>
          <w:szCs w:val="24"/>
          <w:lang w:eastAsia="ru-RU"/>
        </w:rPr>
      </w:pPr>
      <w:r>
        <w:rPr>
          <w:rFonts w:ascii="PT Astra Serif" w:hAnsi="PT Astra Serif"/>
          <w:sz w:val="24"/>
          <w:szCs w:val="24"/>
          <w:lang w:eastAsia="ru-RU"/>
        </w:rPr>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4.2. Наименование пяти организаций социальной сферы, которые набрали наибольшее количество баллов (максимальное количество баллов – 100), по отраслям социальной сферы.</w:t>
      </w:r>
      <w:r>
        <w:rPr>
          <w:rFonts w:ascii="PT Astra Serif" w:hAnsi="PT Astra Serif" w:eastAsia="Calibri"/>
          <w:sz w:val="24"/>
          <w:szCs w:val="24"/>
          <w:lang w:eastAsia="ru-RU"/>
        </w:rPr>
      </w:r>
      <w:r>
        <w:rPr>
          <w:rFonts w:ascii="PT Astra Serif" w:hAnsi="PT Astra Serif" w:eastAsia="Calibri"/>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образования:</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МАОУ Гимназия № 13 г. Томска (100 баллов);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МАОУ СОШ № 46 г. Томска (100 баллов);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НОУ «Католическая гимназия города Томска» (100 баллов);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ОГБПОУ «Томский техникум информационных технологий» г. Томск</w:t>
      </w:r>
      <w:r>
        <w:rPr>
          <w:rFonts w:ascii="PT Astra Serif" w:hAnsi="PT Astra Serif"/>
          <w:sz w:val="24"/>
          <w:szCs w:val="24"/>
          <w:lang w:eastAsia="ru-RU"/>
        </w:rPr>
        <w:t xml:space="preserve"> </w:t>
      </w:r>
      <w:r>
        <w:rPr>
          <w:rFonts w:ascii="PT Astra Serif" w:hAnsi="PT Astra Serif"/>
          <w:sz w:val="24"/>
          <w:szCs w:val="24"/>
          <w:lang w:eastAsia="ru-RU"/>
        </w:rPr>
        <w:t xml:space="preserve">(92,66</w:t>
      </w:r>
      <w:r>
        <w:rPr>
          <w:rFonts w:ascii="PT Astra Serif" w:hAnsi="PT Astra Serif"/>
          <w:sz w:val="24"/>
          <w:szCs w:val="24"/>
          <w:lang w:eastAsia="ru-RU"/>
        </w:rPr>
        <w:t xml:space="preserve"> </w:t>
      </w:r>
      <w:r>
        <w:rPr>
          <w:rFonts w:ascii="PT Astra Serif" w:hAnsi="PT Astra Serif"/>
          <w:sz w:val="24"/>
          <w:szCs w:val="24"/>
          <w:lang w:eastAsia="ru-RU"/>
        </w:rPr>
        <w:t xml:space="preserve">балл</w:t>
      </w:r>
      <w:r>
        <w:rPr>
          <w:rFonts w:ascii="PT Astra Serif" w:hAnsi="PT Astra Serif"/>
          <w:sz w:val="24"/>
          <w:szCs w:val="24"/>
          <w:lang w:eastAsia="ru-RU"/>
        </w:rPr>
        <w:t xml:space="preserve">а</w:t>
      </w:r>
      <w:r>
        <w:rPr>
          <w:rFonts w:ascii="PT Astra Serif" w:hAnsi="PT Astra Serif"/>
          <w:sz w:val="24"/>
          <w:szCs w:val="24"/>
          <w:lang w:eastAsia="ru-RU"/>
        </w:rPr>
        <w:t xml:space="preserve">);</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МАУ ДО «Спортивная школа единоборств Города Томска» (85,64 балл</w:t>
      </w:r>
      <w:r>
        <w:rPr>
          <w:rFonts w:ascii="PT Astra Serif" w:hAnsi="PT Astra Serif"/>
          <w:sz w:val="24"/>
          <w:szCs w:val="24"/>
          <w:lang w:eastAsia="ru-RU"/>
        </w:rPr>
        <w:t xml:space="preserve">а</w:t>
      </w:r>
      <w:r>
        <w:rPr>
          <w:rFonts w:ascii="PT Astra Serif" w:hAnsi="PT Astra Serif"/>
          <w:sz w:val="24"/>
          <w:szCs w:val="24"/>
          <w:lang w:eastAsia="ru-RU"/>
        </w:rPr>
        <w:t xml:space="preserve">).</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социального обслуживания: </w:t>
      </w:r>
      <w:r>
        <w:rPr>
          <w:rFonts w:ascii="PT Astra Serif" w:hAnsi="PT Astra Serif"/>
          <w:sz w:val="24"/>
          <w:szCs w:val="24"/>
          <w:lang w:eastAsia="ru-RU"/>
        </w:rPr>
      </w:r>
      <w:r>
        <w:rPr>
          <w:rFonts w:ascii="PT Astra Serif" w:hAnsi="PT Astra Serif"/>
          <w:sz w:val="24"/>
          <w:szCs w:val="24"/>
          <w:lang w:eastAsia="ru-RU"/>
        </w:rPr>
      </w:r>
    </w:p>
    <w:p>
      <w:pPr>
        <w:pStyle w:val="1152"/>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организации социальной защиты:</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ОГБУ «Дом-интернат для престарелых и инвалидов Александровского района» (100 баллов);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ОГБУ «Центр социальной адаптации г. Томска» (100 баллов);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ОГАУ «</w:t>
      </w:r>
      <w:r>
        <w:rPr>
          <w:rFonts w:ascii="PT Astra Serif" w:hAnsi="PT Astra Serif" w:cs="Calibri"/>
          <w:sz w:val="24"/>
          <w:szCs w:val="24"/>
        </w:rPr>
        <w:t xml:space="preserve">Комплексный центр социального обслуживания населения Томской области»</w:t>
      </w:r>
      <w:r>
        <w:rPr>
          <w:rFonts w:ascii="PT Astra Serif" w:hAnsi="PT Astra Serif"/>
          <w:sz w:val="24"/>
          <w:szCs w:val="24"/>
          <w:lang w:eastAsia="ru-RU"/>
        </w:rPr>
        <w:t xml:space="preserve"> (100 баллов);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ОГАУ </w:t>
      </w:r>
      <w:r>
        <w:rPr>
          <w:rFonts w:ascii="PT Astra Serif" w:hAnsi="PT Astra Serif" w:cs="Calibri"/>
          <w:sz w:val="24"/>
          <w:szCs w:val="24"/>
        </w:rPr>
        <w:t xml:space="preserve">«Комплексный центр социальн</w:t>
      </w:r>
      <w:r>
        <w:rPr>
          <w:rFonts w:ascii="PT Astra Serif" w:hAnsi="PT Astra Serif" w:cs="Calibri"/>
          <w:sz w:val="24"/>
          <w:szCs w:val="24"/>
        </w:rPr>
        <w:t xml:space="preserve">ого обслуживания населения ЗАТО </w:t>
      </w:r>
      <w:r>
        <w:rPr>
          <w:rFonts w:ascii="PT Astra Serif" w:hAnsi="PT Astra Serif" w:cs="Calibri"/>
          <w:sz w:val="24"/>
          <w:szCs w:val="24"/>
        </w:rPr>
        <w:t xml:space="preserve">Северск» (100 баллов);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ОГКУ «Центр социальной поддержки населения Верхнекетского района» (100</w:t>
      </w:r>
      <w:r>
        <w:rPr>
          <w:rFonts w:ascii="PT Astra Serif" w:hAnsi="PT Astra Serif"/>
          <w:sz w:val="24"/>
          <w:szCs w:val="24"/>
          <w:lang w:eastAsia="ru-RU"/>
        </w:rPr>
        <w:t xml:space="preserve"> </w:t>
      </w:r>
      <w:r>
        <w:rPr>
          <w:rFonts w:ascii="PT Astra Serif" w:hAnsi="PT Astra Serif"/>
          <w:sz w:val="24"/>
          <w:szCs w:val="24"/>
          <w:lang w:eastAsia="ru-RU"/>
        </w:rPr>
        <w:t xml:space="preserve">баллов);</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widowControl w:val="off"/>
        <w:tabs>
          <w:tab w:val="left" w:pos="993" w:leader="none"/>
        </w:tabs>
        <w:rPr>
          <w:rFonts w:ascii="PT Astra Serif" w:hAnsi="PT Astra Serif" w:eastAsia="Calibri"/>
          <w:sz w:val="24"/>
          <w:szCs w:val="24"/>
          <w:lang w:eastAsia="ru-RU"/>
        </w:rPr>
      </w:pPr>
      <w:r>
        <w:rPr>
          <w:rFonts w:ascii="PT Astra Serif" w:hAnsi="PT Astra Serif" w:eastAsia="Calibri"/>
          <w:sz w:val="24"/>
          <w:szCs w:val="24"/>
          <w:lang w:eastAsia="ru-RU"/>
        </w:rPr>
        <w:t xml:space="preserve">организации по направлению семья и дети:</w:t>
      </w:r>
      <w:r>
        <w:rPr>
          <w:rFonts w:ascii="PT Astra Serif" w:hAnsi="PT Astra Serif" w:eastAsia="Calibri"/>
          <w:sz w:val="24"/>
          <w:szCs w:val="24"/>
          <w:lang w:eastAsia="ru-RU"/>
        </w:rPr>
      </w:r>
      <w:r>
        <w:rPr>
          <w:rFonts w:ascii="PT Astra Serif" w:hAnsi="PT Astra Serif" w:eastAsia="Calibri"/>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ОГКУ «Центр социал</w:t>
      </w:r>
      <w:r>
        <w:rPr>
          <w:rFonts w:ascii="PT Astra Serif" w:hAnsi="PT Astra Serif"/>
          <w:sz w:val="24"/>
          <w:szCs w:val="24"/>
          <w:lang w:eastAsia="ru-RU"/>
        </w:rPr>
        <w:t xml:space="preserve">ьной помощи семье и детям «Огоне</w:t>
      </w:r>
      <w:r>
        <w:rPr>
          <w:rFonts w:ascii="PT Astra Serif" w:hAnsi="PT Astra Serif"/>
          <w:sz w:val="24"/>
          <w:szCs w:val="24"/>
          <w:lang w:eastAsia="ru-RU"/>
        </w:rPr>
        <w:t xml:space="preserve">к» г. Томска» (98,48</w:t>
      </w:r>
      <w:r>
        <w:rPr>
          <w:rFonts w:ascii="PT Astra Serif" w:hAnsi="PT Astra Serif"/>
          <w:sz w:val="24"/>
          <w:szCs w:val="24"/>
          <w:lang w:eastAsia="ru-RU"/>
        </w:rPr>
        <w:t xml:space="preserve"> </w:t>
      </w:r>
      <w:r>
        <w:rPr>
          <w:rFonts w:ascii="PT Astra Serif" w:hAnsi="PT Astra Serif"/>
          <w:sz w:val="24"/>
          <w:szCs w:val="24"/>
          <w:lang w:eastAsia="ru-RU"/>
        </w:rPr>
        <w:t xml:space="preserve">балл</w:t>
      </w:r>
      <w:r>
        <w:rPr>
          <w:rFonts w:ascii="PT Astra Serif" w:hAnsi="PT Astra Serif"/>
          <w:sz w:val="24"/>
          <w:szCs w:val="24"/>
          <w:lang w:eastAsia="ru-RU"/>
        </w:rPr>
        <w:t xml:space="preserve">а</w:t>
      </w:r>
      <w:r>
        <w:rPr>
          <w:rFonts w:ascii="PT Astra Serif" w:hAnsi="PT Astra Serif"/>
          <w:sz w:val="24"/>
          <w:szCs w:val="24"/>
          <w:lang w:eastAsia="ru-RU"/>
        </w:rPr>
        <w:t xml:space="preserve">);</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ОГКУ «Центр социальной помощи семье и детям г. Стрежевого» (97,72 балл</w:t>
      </w:r>
      <w:r>
        <w:rPr>
          <w:rFonts w:ascii="PT Astra Serif" w:hAnsi="PT Astra Serif"/>
          <w:sz w:val="24"/>
          <w:szCs w:val="24"/>
          <w:lang w:eastAsia="ru-RU"/>
        </w:rPr>
        <w:t xml:space="preserve">а</w:t>
      </w:r>
      <w:r>
        <w:rPr>
          <w:rFonts w:ascii="PT Astra Serif" w:hAnsi="PT Astra Serif"/>
          <w:sz w:val="24"/>
          <w:szCs w:val="24"/>
          <w:lang w:eastAsia="ru-RU"/>
        </w:rPr>
        <w:t xml:space="preserve">);</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ОГКУ «Социально–реабилитационный центр для несовершеннолетних Александровского района» (97,36 балл</w:t>
      </w:r>
      <w:r>
        <w:rPr>
          <w:rFonts w:ascii="PT Astra Serif" w:hAnsi="PT Astra Serif"/>
          <w:sz w:val="24"/>
          <w:szCs w:val="24"/>
          <w:lang w:eastAsia="ru-RU"/>
        </w:rPr>
        <w:t xml:space="preserve">а</w:t>
      </w:r>
      <w:r>
        <w:rPr>
          <w:rFonts w:ascii="PT Astra Serif" w:hAnsi="PT Astra Serif"/>
          <w:sz w:val="24"/>
          <w:szCs w:val="24"/>
          <w:lang w:eastAsia="ru-RU"/>
        </w:rPr>
        <w:t xml:space="preserve">);</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ОГКСУ «Реабилитационный Центр для детей и подростков с ограниченными возможностями здоровья «Надежда» (97,22 балл</w:t>
      </w:r>
      <w:r>
        <w:rPr>
          <w:rFonts w:ascii="PT Astra Serif" w:hAnsi="PT Astra Serif"/>
          <w:sz w:val="24"/>
          <w:szCs w:val="24"/>
          <w:lang w:eastAsia="ru-RU"/>
        </w:rPr>
        <w:t xml:space="preserve">а</w:t>
      </w:r>
      <w:r>
        <w:rPr>
          <w:rFonts w:ascii="PT Astra Serif" w:hAnsi="PT Astra Serif"/>
          <w:sz w:val="24"/>
          <w:szCs w:val="24"/>
          <w:lang w:eastAsia="ru-RU"/>
        </w:rPr>
        <w:t xml:space="preserve">);</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ОГКУ «Реабилитационный Центр для детей и подростков с ограниченными возможностями здоровья, ЗАТО Северск» (96,48 балл</w:t>
      </w:r>
      <w:r>
        <w:rPr>
          <w:rFonts w:ascii="PT Astra Serif" w:hAnsi="PT Astra Serif"/>
          <w:sz w:val="24"/>
          <w:szCs w:val="24"/>
          <w:lang w:eastAsia="ru-RU"/>
        </w:rPr>
        <w:t xml:space="preserve">а</w:t>
      </w:r>
      <w:r>
        <w:rPr>
          <w:rFonts w:ascii="PT Astra Serif" w:hAnsi="PT Astra Serif"/>
          <w:sz w:val="24"/>
          <w:szCs w:val="24"/>
          <w:lang w:eastAsia="ru-RU"/>
        </w:rPr>
        <w:t xml:space="preserve">).</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здравоохранения:</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ООО «Сантэ» (100 баллов); </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АО «Гармония здоровья» (99 баллов); </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ООО «Гранд Ретина» (97 баллов); </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ОГАУЗ «Родильный дом им. Н.А. Семашко» (96 баллов); </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ОГБУЗ «Медико-санитарная часть №</w:t>
      </w:r>
      <w:r>
        <w:rPr>
          <w:rFonts w:ascii="PT Astra Serif" w:hAnsi="PT Astra Serif"/>
          <w:sz w:val="24"/>
          <w:szCs w:val="24"/>
          <w:lang w:eastAsia="ru-RU"/>
        </w:rPr>
        <w:t xml:space="preserve"> </w:t>
      </w:r>
      <w:r>
        <w:rPr>
          <w:rFonts w:ascii="PT Astra Serif" w:hAnsi="PT Astra Serif"/>
          <w:sz w:val="24"/>
          <w:szCs w:val="24"/>
          <w:lang w:eastAsia="ru-RU"/>
        </w:rPr>
        <w:t xml:space="preserve">2» (95 баллов).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культуры:</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МБУК «Многофункциональный социокультурный комплекс» г. Стрежевой (100</w:t>
      </w:r>
      <w:r>
        <w:rPr>
          <w:rFonts w:ascii="PT Astra Serif" w:hAnsi="PT Astra Serif"/>
          <w:sz w:val="24"/>
          <w:szCs w:val="24"/>
          <w:lang w:eastAsia="ru-RU"/>
        </w:rPr>
        <w:t xml:space="preserve"> </w:t>
      </w:r>
      <w:r>
        <w:rPr>
          <w:rFonts w:ascii="PT Astra Serif" w:hAnsi="PT Astra Serif"/>
          <w:sz w:val="24"/>
          <w:szCs w:val="24"/>
          <w:lang w:eastAsia="ru-RU"/>
        </w:rPr>
        <w:t xml:space="preserve">баллов);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МБУК «Каргасокская центральная районная библиотека» (100 баллов);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МБУК «Центр досуга» д. Кисловка, Томский район (100 баллов);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МКУК «Тымский досуговый центр» (100 баллов);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МУ «Культура» г. Кедровый (100 баллов).</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4.3. По результатам независимой оценки качества за 2023 год организации социальной сферы, набравшие менее 50 баллов из 100 возможных, отсутствуют.</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b/>
          <w:sz w:val="24"/>
          <w:szCs w:val="24"/>
          <w:lang w:eastAsia="ru-RU"/>
        </w:rPr>
      </w:pPr>
      <w:r>
        <w:rPr>
          <w:rFonts w:ascii="PT Astra Serif" w:hAnsi="PT Astra Serif" w:eastAsia="Calibri"/>
          <w:b/>
          <w:sz w:val="24"/>
          <w:szCs w:val="24"/>
          <w:lang w:eastAsia="ru-RU"/>
        </w:rPr>
      </w:r>
      <w:r>
        <w:rPr>
          <w:rFonts w:ascii="PT Astra Serif" w:hAnsi="PT Astra Serif" w:eastAsia="Calibri"/>
          <w:b/>
          <w:sz w:val="24"/>
          <w:szCs w:val="24"/>
          <w:lang w:eastAsia="ru-RU"/>
        </w:rPr>
      </w:r>
      <w:r>
        <w:rPr>
          <w:rFonts w:ascii="PT Astra Serif" w:hAnsi="PT Astra Serif" w:eastAsia="Calibri"/>
          <w:b/>
          <w:sz w:val="24"/>
          <w:szCs w:val="24"/>
          <w:lang w:eastAsia="ru-RU"/>
        </w:rPr>
      </w:r>
    </w:p>
    <w:p>
      <w:pPr>
        <w:ind w:firstLine="709"/>
        <w:jc w:val="both"/>
        <w:spacing w:after="0" w:line="240" w:lineRule="auto"/>
        <w:widowControl w:val="off"/>
        <w:rPr>
          <w:rFonts w:ascii="PT Astra Serif" w:hAnsi="PT Astra Serif" w:eastAsia="Calibri"/>
          <w:b/>
          <w:sz w:val="24"/>
          <w:szCs w:val="24"/>
          <w:lang w:eastAsia="ru-RU"/>
        </w:rPr>
      </w:pPr>
      <w:r>
        <w:rPr>
          <w:rFonts w:ascii="PT Astra Serif" w:hAnsi="PT Astra Serif" w:eastAsia="Calibri"/>
          <w:b/>
          <w:sz w:val="24"/>
          <w:szCs w:val="24"/>
          <w:lang w:eastAsia="ru-RU"/>
        </w:rPr>
        <w:t xml:space="preserve">5.</w:t>
      </w:r>
      <w:r>
        <w:rPr>
          <w:rFonts w:ascii="PT Astra Serif" w:hAnsi="PT Astra Serif" w:eastAsia="Calibri"/>
          <w:b/>
          <w:sz w:val="24"/>
          <w:szCs w:val="24"/>
          <w:lang w:eastAsia="ru-RU"/>
        </w:rPr>
        <w:tab/>
        <w:t xml:space="preserve">Результаты независимой оценки качества условий оказания услуг организациями социальной сферы: </w:t>
      </w:r>
      <w:r>
        <w:rPr>
          <w:rFonts w:ascii="PT Astra Serif" w:hAnsi="PT Astra Serif" w:eastAsia="Calibri"/>
          <w:b/>
          <w:sz w:val="24"/>
          <w:szCs w:val="24"/>
          <w:lang w:eastAsia="ru-RU"/>
        </w:rPr>
      </w:r>
      <w:r>
        <w:rPr>
          <w:rFonts w:ascii="PT Astra Serif" w:hAnsi="PT Astra Serif" w:eastAsia="Calibri"/>
          <w:b/>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5.1. Основные результаты независимой оценки качества условий оказания услуг утверждены Общественными советами:</w:t>
      </w:r>
      <w:r>
        <w:rPr>
          <w:rFonts w:ascii="PT Astra Serif" w:hAnsi="PT Astra Serif" w:eastAsia="Calibri"/>
          <w:sz w:val="24"/>
          <w:szCs w:val="24"/>
          <w:lang w:eastAsia="ru-RU"/>
        </w:rPr>
      </w:r>
      <w:r>
        <w:rPr>
          <w:rFonts w:ascii="PT Astra Serif" w:hAnsi="PT Astra Serif" w:eastAsia="Calibri"/>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образования:</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по организациям общего образования – протокол от 17.11.2023 № 3;</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по организациям физической культуры и спорта – протокол от 24.11.2023 № 2;</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по организациям профессионального образования – протокол от 09.10.2023 №</w:t>
      </w:r>
      <w:r>
        <w:rPr>
          <w:rFonts w:ascii="PT Astra Serif" w:hAnsi="PT Astra Serif"/>
          <w:sz w:val="24"/>
          <w:szCs w:val="24"/>
          <w:lang w:eastAsia="ru-RU"/>
        </w:rPr>
        <w:t xml:space="preserve"> </w:t>
      </w:r>
      <w:r>
        <w:rPr>
          <w:rFonts w:ascii="PT Astra Serif" w:hAnsi="PT Astra Serif"/>
          <w:sz w:val="24"/>
          <w:szCs w:val="24"/>
          <w:lang w:eastAsia="ru-RU"/>
        </w:rPr>
        <w:t xml:space="preserve">ОС 23-01;</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социального обслуживания:</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по организациям социальной защиты – протокол от 26.09.2023 № 2;</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по организациям, оказывающим услуги по направлению «семья и дети», протокол от 26.09.2023 № 4;</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здравоохранения – протокол от 20.11.2023 № 2;</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культуры протокол от 25.09.2023 № 16. </w:t>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widowControl w:val="off"/>
        <w:rPr>
          <w:rFonts w:ascii="PT Astra Serif" w:hAnsi="PT Astra Serif" w:eastAsia="Calibri"/>
          <w:b/>
          <w:sz w:val="24"/>
          <w:szCs w:val="24"/>
          <w:lang w:eastAsia="ru-RU"/>
        </w:rPr>
      </w:pPr>
      <w:r>
        <w:rPr>
          <w:rFonts w:ascii="PT Astra Serif" w:hAnsi="PT Astra Serif" w:eastAsia="Calibri"/>
          <w:b/>
          <w:sz w:val="24"/>
          <w:szCs w:val="24"/>
          <w:lang w:eastAsia="ru-RU"/>
        </w:rPr>
      </w:r>
      <w:r>
        <w:rPr>
          <w:rFonts w:ascii="PT Astra Serif" w:hAnsi="PT Astra Serif" w:eastAsia="Calibri"/>
          <w:b/>
          <w:sz w:val="24"/>
          <w:szCs w:val="24"/>
          <w:lang w:eastAsia="ru-RU"/>
        </w:rPr>
      </w:r>
      <w:r>
        <w:rPr>
          <w:rFonts w:ascii="PT Astra Serif" w:hAnsi="PT Astra Serif" w:eastAsia="Calibri"/>
          <w:b/>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5.2. Численность респондентов, участвовавших в анкетировании, социологических опросах: </w:t>
      </w:r>
      <w:r>
        <w:rPr>
          <w:rFonts w:ascii="PT Astra Serif" w:hAnsi="PT Astra Serif" w:eastAsia="Calibri"/>
          <w:sz w:val="24"/>
          <w:szCs w:val="24"/>
          <w:lang w:eastAsia="ru-RU"/>
        </w:rPr>
      </w:r>
      <w:r>
        <w:rPr>
          <w:rFonts w:ascii="PT Astra Serif" w:hAnsi="PT Astra Serif" w:eastAsia="Calibri"/>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образования 60 681 респондент, из них:</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по организациям общего образования – 54 327 респондентов;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по организациям профессионального образования – 3 665 респондентов;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по организациям физической культуры и спорта – 2 689 респондентов;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социального обслуживания 2 151 респондент, из них: </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по организациям социальной защиты – 1 106 респондентов;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2"/>
        </w:numPr>
        <w:ind w:left="0" w:firstLine="709"/>
        <w:jc w:val="both"/>
        <w:spacing w:after="0" w:line="240" w:lineRule="auto"/>
        <w:widowControl w:val="off"/>
        <w:tabs>
          <w:tab w:val="left" w:pos="993" w:leader="none"/>
          <w:tab w:val="left" w:pos="1134" w:leader="none"/>
        </w:tabs>
        <w:rPr>
          <w:rFonts w:ascii="PT Astra Serif" w:hAnsi="PT Astra Serif"/>
          <w:sz w:val="24"/>
          <w:szCs w:val="24"/>
          <w:lang w:eastAsia="ru-RU"/>
        </w:rPr>
      </w:pPr>
      <w:r>
        <w:rPr>
          <w:rFonts w:ascii="PT Astra Serif" w:hAnsi="PT Astra Serif"/>
          <w:sz w:val="24"/>
          <w:szCs w:val="24"/>
          <w:lang w:eastAsia="ru-RU"/>
        </w:rPr>
        <w:t xml:space="preserve">по организациям, оказывающим услуги по направлению «семья и дети», - </w:t>
      </w:r>
      <w:r>
        <w:rPr>
          <w:rFonts w:ascii="PT Astra Serif" w:hAnsi="PT Astra Serif"/>
          <w:sz w:val="24"/>
          <w:szCs w:val="24"/>
          <w:lang w:eastAsia="ru-RU"/>
        </w:rPr>
        <w:t xml:space="preserve">1 045 </w:t>
      </w:r>
      <w:r>
        <w:rPr>
          <w:rFonts w:ascii="PT Astra Serif" w:hAnsi="PT Astra Serif"/>
          <w:sz w:val="24"/>
          <w:szCs w:val="24"/>
          <w:lang w:eastAsia="ru-RU"/>
        </w:rPr>
        <w:t xml:space="preserve">респондентов; </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здравоохранения – 1 560 респондентов;</w:t>
      </w:r>
      <w:r>
        <w:rPr>
          <w:rFonts w:ascii="PT Astra Serif" w:hAnsi="PT Astra Serif"/>
          <w:sz w:val="24"/>
          <w:szCs w:val="24"/>
          <w:lang w:eastAsia="ru-RU"/>
        </w:rPr>
      </w:r>
      <w:r>
        <w:rPr>
          <w:rFonts w:ascii="PT Astra Serif" w:hAnsi="PT Astra Serif"/>
          <w:sz w:val="24"/>
          <w:szCs w:val="24"/>
          <w:lang w:eastAsia="ru-RU"/>
        </w:rPr>
      </w:r>
    </w:p>
    <w:p>
      <w:pPr>
        <w:pStyle w:val="1152"/>
        <w:numPr>
          <w:ilvl w:val="0"/>
          <w:numId w:val="1"/>
        </w:numPr>
        <w:ind w:left="0" w:firstLine="709"/>
        <w:jc w:val="both"/>
        <w:spacing w:after="0" w:line="240" w:lineRule="auto"/>
        <w:widowControl w:val="off"/>
        <w:tabs>
          <w:tab w:val="left" w:pos="993" w:leader="none"/>
        </w:tabs>
        <w:rPr>
          <w:rFonts w:ascii="PT Astra Serif" w:hAnsi="PT Astra Serif"/>
          <w:sz w:val="24"/>
          <w:szCs w:val="24"/>
          <w:lang w:eastAsia="ru-RU"/>
        </w:rPr>
      </w:pPr>
      <w:r>
        <w:rPr>
          <w:rFonts w:ascii="PT Astra Serif" w:hAnsi="PT Astra Serif"/>
          <w:sz w:val="24"/>
          <w:szCs w:val="24"/>
          <w:lang w:eastAsia="ru-RU"/>
        </w:rPr>
        <w:t xml:space="preserve">в сфере культуры – 7 350 респондентов.</w:t>
      </w:r>
      <w:r>
        <w:rPr>
          <w:rFonts w:ascii="PT Astra Serif" w:hAnsi="PT Astra Serif"/>
          <w:sz w:val="24"/>
          <w:szCs w:val="24"/>
          <w:lang w:eastAsia="ru-RU"/>
        </w:rPr>
      </w:r>
      <w:r>
        <w:rPr>
          <w:rFonts w:ascii="PT Astra Serif" w:hAnsi="PT Astra Serif"/>
          <w:sz w:val="24"/>
          <w:szCs w:val="24"/>
          <w:lang w:eastAsia="ru-RU"/>
        </w:rPr>
      </w:r>
    </w:p>
    <w:p>
      <w:pPr>
        <w:pStyle w:val="1152"/>
        <w:ind w:left="0" w:firstLine="709"/>
        <w:jc w:val="both"/>
        <w:spacing w:after="0" w:line="240" w:lineRule="auto"/>
        <w:widowControl w:val="off"/>
        <w:rPr>
          <w:rFonts w:ascii="PT Astra Serif" w:hAnsi="PT Astra Serif"/>
          <w:sz w:val="24"/>
          <w:szCs w:val="24"/>
          <w:lang w:eastAsia="ru-RU"/>
        </w:rPr>
      </w:pPr>
      <w:r>
        <w:rPr>
          <w:rFonts w:ascii="PT Astra Serif" w:hAnsi="PT Astra Serif"/>
          <w:sz w:val="24"/>
          <w:szCs w:val="24"/>
          <w:lang w:eastAsia="ru-RU"/>
        </w:rPr>
      </w:r>
      <w:r>
        <w:rPr>
          <w:rFonts w:ascii="PT Astra Serif" w:hAnsi="PT Astra Serif"/>
          <w:sz w:val="24"/>
          <w:szCs w:val="24"/>
          <w:lang w:eastAsia="ru-RU"/>
        </w:rPr>
      </w:r>
      <w:r>
        <w:rPr>
          <w:rFonts w:ascii="PT Astra Serif" w:hAnsi="PT Astra Serif"/>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5.3. Основные недостатки, выявленные в ходе проведения независимой оценки качества условий оказания услуг:</w:t>
      </w:r>
      <w:r>
        <w:rPr>
          <w:rFonts w:ascii="PT Astra Serif" w:hAnsi="PT Astra Serif" w:eastAsia="Calibri"/>
          <w:sz w:val="24"/>
          <w:szCs w:val="24"/>
          <w:lang w:eastAsia="ru-RU"/>
        </w:rPr>
      </w:r>
      <w:r>
        <w:rPr>
          <w:rFonts w:ascii="PT Astra Serif" w:hAnsi="PT Astra Serif" w:eastAsia="Calibri"/>
          <w:sz w:val="24"/>
          <w:szCs w:val="24"/>
          <w:lang w:eastAsia="ru-RU"/>
        </w:rPr>
      </w:r>
    </w:p>
    <w:p>
      <w:pPr>
        <w:pStyle w:val="1169"/>
        <w:numPr>
          <w:ilvl w:val="0"/>
          <w:numId w:val="3"/>
        </w:numPr>
        <w:ind w:left="0" w:firstLine="709"/>
        <w:tabs>
          <w:tab w:val="left" w:pos="567" w:leader="none"/>
          <w:tab w:val="left" w:pos="993" w:leader="none"/>
        </w:tabs>
        <w:rPr>
          <w:rFonts w:ascii="PT Astra Serif" w:hAnsi="PT Astra Serif"/>
          <w:sz w:val="24"/>
          <w:szCs w:val="24"/>
        </w:rPr>
      </w:pPr>
      <w:r>
        <w:rPr>
          <w:rFonts w:ascii="PT Astra Serif" w:hAnsi="PT Astra Serif"/>
          <w:sz w:val="24"/>
          <w:szCs w:val="24"/>
        </w:rPr>
        <w:t xml:space="preserve">в ряде учреждений и на прилегающей к ним тер</w:t>
      </w:r>
      <w:r>
        <w:rPr>
          <w:rFonts w:ascii="PT Astra Serif" w:hAnsi="PT Astra Serif"/>
          <w:sz w:val="24"/>
          <w:szCs w:val="24"/>
        </w:rPr>
        <w:t xml:space="preserve">ритории отсутствуют условия, обеспечивающие доступность получения услуг для инвалидов: отсутствуют специально оборудованные санитарно-гигиенические помещения, сменные кресла-коляски, выделенные стоянки для автотранспортных средств инвалидов. Входные группы</w:t>
      </w:r>
      <w:r>
        <w:rPr>
          <w:rFonts w:ascii="PT Astra Serif" w:hAnsi="PT Astra Serif"/>
          <w:sz w:val="24"/>
          <w:szCs w:val="24"/>
        </w:rPr>
        <w:t xml:space="preserve"> </w:t>
      </w:r>
      <w:r>
        <w:rPr>
          <w:rFonts w:ascii="PT Astra Serif" w:hAnsi="PT Astra Serif"/>
          <w:sz w:val="24"/>
          <w:szCs w:val="24"/>
        </w:rPr>
        <w:t xml:space="preserve">не оборудованы пандусами (подъемными платформами). Отсутствует </w:t>
      </w:r>
      <w:r>
        <w:rPr>
          <w:rFonts w:ascii="PT Astra Serif" w:hAnsi="PT Astra Serif"/>
          <w:sz w:val="24"/>
          <w:szCs w:val="24"/>
        </w:rPr>
        <w:t xml:space="preserve">дублирование надписей, знаков и иной текстовой и графической информации знаками, выполненными рельефно-точечным шрифтом Брайля, поручни, расширенные дверные проемы; в некоторых учреждениях не предоставляются услуги сурдопереводчика (тифлосурдопереводчика);</w:t>
      </w:r>
      <w:r>
        <w:rPr>
          <w:rFonts w:ascii="PT Astra Serif" w:hAnsi="PT Astra Serif"/>
          <w:sz w:val="24"/>
          <w:szCs w:val="24"/>
        </w:rPr>
      </w:r>
      <w:r>
        <w:rPr>
          <w:rFonts w:ascii="PT Astra Serif" w:hAnsi="PT Astra Serif"/>
          <w:sz w:val="24"/>
          <w:szCs w:val="24"/>
        </w:rPr>
      </w:r>
    </w:p>
    <w:p>
      <w:pPr>
        <w:pStyle w:val="1169"/>
        <w:numPr>
          <w:ilvl w:val="0"/>
          <w:numId w:val="3"/>
        </w:numPr>
        <w:ind w:left="0" w:firstLine="709"/>
        <w:tabs>
          <w:tab w:val="left" w:pos="567" w:leader="none"/>
          <w:tab w:val="left" w:pos="993" w:leader="none"/>
        </w:tabs>
        <w:rPr>
          <w:rFonts w:ascii="PT Astra Serif" w:hAnsi="PT Astra Serif"/>
          <w:sz w:val="24"/>
          <w:szCs w:val="24"/>
        </w:rPr>
      </w:pPr>
      <w:r>
        <w:rPr>
          <w:rFonts w:ascii="PT Astra Serif" w:hAnsi="PT Astra Serif"/>
          <w:sz w:val="24"/>
          <w:szCs w:val="24"/>
        </w:rPr>
        <w:t xml:space="preserve">на официальном сайте ряда учреждений отсутствует информация об объеме предоставляемых соци</w:t>
      </w:r>
      <w:r>
        <w:rPr>
          <w:rFonts w:ascii="PT Astra Serif" w:hAnsi="PT Astra Serif"/>
          <w:sz w:val="24"/>
          <w:szCs w:val="24"/>
        </w:rPr>
        <w:t xml:space="preserve">альных услуг за счет средств бюджета и за плату, отсутствует раздел «Часто задаваемые вопросы», альтернативная версия официального сайта учреждения для инвалидов по зрению и электронный сервис «Обратной связи» (в виде анкеты для опроса граждан). Кроме того</w:t>
      </w:r>
      <w:r>
        <w:rPr>
          <w:rFonts w:ascii="PT Astra Serif" w:hAnsi="PT Astra Serif"/>
          <w:sz w:val="24"/>
          <w:szCs w:val="24"/>
        </w:rPr>
        <w:t xml:space="preserve">,</w:t>
      </w:r>
      <w:r>
        <w:rPr>
          <w:rFonts w:ascii="PT Astra Serif" w:hAnsi="PT Astra Serif"/>
          <w:sz w:val="24"/>
          <w:szCs w:val="24"/>
        </w:rPr>
        <w:t xml:space="preserve"> в организациях </w:t>
      </w:r>
      <w:r>
        <w:rPr>
          <w:rFonts w:ascii="PT Astra Serif" w:hAnsi="PT Astra Serif" w:eastAsia="Calibri"/>
          <w:sz w:val="24"/>
          <w:szCs w:val="24"/>
        </w:rPr>
        <w:t xml:space="preserve">социального обслуживания отсутствует информация 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w:t>
      </w:r>
      <w:r>
        <w:rPr>
          <w:rFonts w:ascii="PT Astra Serif" w:hAnsi="PT Astra Serif"/>
          <w:sz w:val="24"/>
          <w:szCs w:val="24"/>
        </w:rPr>
      </w:r>
      <w:r>
        <w:rPr>
          <w:rFonts w:ascii="PT Astra Serif" w:hAnsi="PT Astra Serif"/>
          <w:sz w:val="24"/>
          <w:szCs w:val="24"/>
        </w:rPr>
      </w:r>
    </w:p>
    <w:p>
      <w:pPr>
        <w:pStyle w:val="1169"/>
        <w:numPr>
          <w:ilvl w:val="0"/>
          <w:numId w:val="3"/>
        </w:numPr>
        <w:ind w:left="0" w:firstLine="709"/>
        <w:tabs>
          <w:tab w:val="left" w:pos="567" w:leader="none"/>
          <w:tab w:val="left" w:pos="993" w:leader="none"/>
        </w:tabs>
        <w:rPr>
          <w:rFonts w:ascii="PT Astra Serif" w:hAnsi="PT Astra Serif"/>
          <w:sz w:val="24"/>
          <w:szCs w:val="24"/>
        </w:rPr>
      </w:pPr>
      <w:r>
        <w:rPr>
          <w:rFonts w:ascii="PT Astra Serif" w:hAnsi="PT Astra Serif"/>
          <w:sz w:val="24"/>
          <w:szCs w:val="24"/>
        </w:rPr>
        <w:t xml:space="preserve">информационные стенды ряда организаций требуют обновления и наполнения информацией о работе учреждения, приведения в соответствие информации о деятельности организаций, установленным нормативными правовыми актами</w:t>
      </w:r>
      <w:r>
        <w:rPr>
          <w:rFonts w:ascii="PT Astra Serif" w:hAnsi="PT Astra Serif" w:eastAsia="Calibri"/>
          <w:sz w:val="24"/>
          <w:szCs w:val="24"/>
        </w:rPr>
        <w:t xml:space="preserve"> (правилам размещения на официальном сайте организаций в сети Интернет и обновления информации согласно требованиям);</w:t>
      </w:r>
      <w:r>
        <w:rPr>
          <w:rFonts w:ascii="PT Astra Serif" w:hAnsi="PT Astra Serif"/>
          <w:sz w:val="24"/>
          <w:szCs w:val="24"/>
        </w:rPr>
      </w:r>
      <w:r>
        <w:rPr>
          <w:rFonts w:ascii="PT Astra Serif" w:hAnsi="PT Astra Serif"/>
          <w:sz w:val="24"/>
          <w:szCs w:val="24"/>
        </w:rPr>
      </w:r>
    </w:p>
    <w:p>
      <w:pPr>
        <w:pStyle w:val="1169"/>
        <w:numPr>
          <w:ilvl w:val="0"/>
          <w:numId w:val="3"/>
        </w:numPr>
        <w:ind w:left="0" w:firstLine="709"/>
        <w:tabs>
          <w:tab w:val="left" w:pos="567" w:leader="none"/>
          <w:tab w:val="left" w:pos="993" w:leader="none"/>
        </w:tabs>
        <w:rPr>
          <w:rFonts w:ascii="PT Astra Serif" w:hAnsi="PT Astra Serif"/>
          <w:sz w:val="24"/>
          <w:szCs w:val="24"/>
        </w:rPr>
      </w:pPr>
      <w:r>
        <w:rPr>
          <w:rFonts w:ascii="PT Astra Serif" w:hAnsi="PT Astra Serif"/>
          <w:sz w:val="24"/>
          <w:szCs w:val="24"/>
        </w:rPr>
        <w:t xml:space="preserve">получатели услуг высказывают пожелания по проведению большего количества массовых мероприятий, приобретению нового оборудования и обустройству помещений, развитию </w:t>
      </w:r>
      <w:r>
        <w:rPr>
          <w:rFonts w:ascii="PT Astra Serif" w:hAnsi="PT Astra Serif"/>
          <w:sz w:val="24"/>
          <w:szCs w:val="24"/>
        </w:rPr>
        <w:t xml:space="preserve">электронных сервисов и расширению перечня дополнительных услуг. Кроме того в медицинских организациях отмечают наличие очередей в регистратуру и к врачам, неудовлетворительное питание и состояние санитарно-гигиенических помещений, отсутствие питьевой воды.</w:t>
      </w:r>
      <w:r>
        <w:rPr>
          <w:rFonts w:ascii="PT Astra Serif" w:hAnsi="PT Astra Serif"/>
          <w:sz w:val="24"/>
          <w:szCs w:val="24"/>
        </w:rPr>
      </w:r>
      <w:r>
        <w:rPr>
          <w:rFonts w:ascii="PT Astra Serif" w:hAnsi="PT Astra Serif"/>
          <w:sz w:val="24"/>
          <w:szCs w:val="24"/>
        </w:rPr>
      </w:r>
    </w:p>
    <w:p>
      <w:pPr>
        <w:pStyle w:val="1169"/>
        <w:ind w:firstLine="709"/>
        <w:tabs>
          <w:tab w:val="left" w:pos="567" w:leader="none"/>
        </w:tabs>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pStyle w:val="1169"/>
        <w:ind w:firstLine="709"/>
        <w:tabs>
          <w:tab w:val="left" w:pos="709" w:leader="none"/>
        </w:tabs>
        <w:rPr>
          <w:rFonts w:ascii="PT Astra Serif" w:hAnsi="PT Astra Serif" w:eastAsia="Calibri"/>
          <w:b/>
          <w:sz w:val="24"/>
          <w:szCs w:val="24"/>
        </w:rPr>
      </w:pPr>
      <w:r>
        <w:rPr>
          <w:rFonts w:ascii="PT Astra Serif" w:hAnsi="PT Astra Serif" w:eastAsia="Calibri"/>
          <w:b/>
          <w:sz w:val="24"/>
          <w:szCs w:val="24"/>
        </w:rPr>
        <w:t xml:space="preserve">5.4. Предложения общественных советов по улучшению деятельности организаций социальной сферы.</w:t>
      </w:r>
      <w:r>
        <w:rPr>
          <w:rFonts w:ascii="PT Astra Serif" w:hAnsi="PT Astra Serif" w:eastAsia="Calibri"/>
          <w:b/>
          <w:sz w:val="24"/>
          <w:szCs w:val="24"/>
        </w:rPr>
      </w:r>
      <w:r>
        <w:rPr>
          <w:rFonts w:ascii="PT Astra Serif" w:hAnsi="PT Astra Serif" w:eastAsia="Calibri"/>
          <w:b/>
          <w:sz w:val="24"/>
          <w:szCs w:val="24"/>
        </w:rPr>
      </w:r>
    </w:p>
    <w:p>
      <w:pPr>
        <w:ind w:firstLine="709"/>
        <w:jc w:val="both"/>
        <w:spacing w:after="0" w:line="240" w:lineRule="auto"/>
        <w:widowControl w:val="off"/>
        <w:rPr>
          <w:rFonts w:ascii="PT Astra Serif" w:hAnsi="PT Astra Serif" w:eastAsia="Calibri"/>
          <w:b/>
          <w:sz w:val="24"/>
          <w:szCs w:val="24"/>
          <w:lang w:eastAsia="ru-RU"/>
        </w:rPr>
      </w:pPr>
      <w:r>
        <w:rPr>
          <w:rFonts w:ascii="PT Astra Serif" w:hAnsi="PT Astra Serif" w:eastAsia="Calibri"/>
          <w:sz w:val="24"/>
          <w:szCs w:val="24"/>
          <w:lang w:eastAsia="ru-RU"/>
        </w:rPr>
        <w:t xml:space="preserve">В сфере образования:</w:t>
      </w:r>
      <w:r>
        <w:rPr>
          <w:rFonts w:ascii="PT Astra Serif" w:hAnsi="PT Astra Serif" w:eastAsia="Calibri"/>
          <w:b/>
          <w:sz w:val="24"/>
          <w:szCs w:val="24"/>
          <w:lang w:eastAsia="ru-RU"/>
        </w:rPr>
      </w:r>
      <w:r>
        <w:rPr>
          <w:rFonts w:ascii="PT Astra Serif" w:hAnsi="PT Astra Serif" w:eastAsia="Calibri"/>
          <w:b/>
          <w:sz w:val="24"/>
          <w:szCs w:val="24"/>
          <w:lang w:eastAsia="ru-RU"/>
        </w:rPr>
      </w:r>
    </w:p>
    <w:p>
      <w:pPr>
        <w:pStyle w:val="1169"/>
        <w:ind w:firstLine="709"/>
        <w:tabs>
          <w:tab w:val="left" w:pos="851" w:leader="none"/>
        </w:tabs>
        <w:rPr>
          <w:rFonts w:ascii="PT Astra Serif" w:hAnsi="PT Astra Serif"/>
          <w:sz w:val="24"/>
          <w:szCs w:val="24"/>
        </w:rPr>
      </w:pPr>
      <w:r>
        <w:rPr>
          <w:rFonts w:ascii="PT Astra Serif" w:hAnsi="PT Astra Serif"/>
          <w:sz w:val="24"/>
          <w:szCs w:val="24"/>
        </w:rPr>
        <w:t xml:space="preserve">1) актуализировать содержание официальных сайтов</w:t>
      </w:r>
      <w:r>
        <w:rPr>
          <w:rFonts w:ascii="PT Astra Serif" w:hAnsi="PT Astra Serif"/>
          <w:sz w:val="24"/>
          <w:szCs w:val="24"/>
        </w:rPr>
        <w:t xml:space="preserve"> в сети Интернет информационных стендов в образовательных организациях в соответствии с нормативными требованиями к размещению и периодичности обновления информации, информационными запросами обучающихся и их законных представителей (родителей), актуализир</w:t>
      </w:r>
      <w:r>
        <w:rPr>
          <w:rFonts w:ascii="PT Astra Serif" w:hAnsi="PT Astra Serif"/>
          <w:sz w:val="24"/>
          <w:szCs w:val="24"/>
        </w:rPr>
        <w:t xml:space="preserve">овать информацию о материально-техническом обеспечении, разместить паспорт доступности организации социальной сферы и обеспечить контроль обновления представленной в нем информации в соответствии приказом Минобрнауки России от 09.11.2015 № 1309 «Об утвержд</w:t>
      </w:r>
      <w:r>
        <w:rPr>
          <w:rFonts w:ascii="PT Astra Serif" w:hAnsi="PT Astra Serif"/>
          <w:sz w:val="24"/>
          <w:szCs w:val="24"/>
        </w:rPr>
        <w:t xml:space="preserve">ении Порядка обеспечения условий доступности для инвалидов объектов и предоставляемых услуг в сфере образования, а также оказания им при этом необходимой помощи» насытить информационное поле материалами, отражающими реальное качество образовательных услуг;</w:t>
      </w:r>
      <w:r>
        <w:rPr>
          <w:rFonts w:ascii="PT Astra Serif" w:hAnsi="PT Astra Serif"/>
          <w:sz w:val="24"/>
          <w:szCs w:val="24"/>
        </w:rPr>
      </w:r>
      <w:r>
        <w:rPr>
          <w:rFonts w:ascii="PT Astra Serif" w:hAnsi="PT Astra Serif"/>
          <w:sz w:val="24"/>
          <w:szCs w:val="24"/>
        </w:rPr>
      </w:r>
    </w:p>
    <w:p>
      <w:pPr>
        <w:pStyle w:val="1169"/>
        <w:ind w:firstLine="709"/>
        <w:tabs>
          <w:tab w:val="left" w:pos="851" w:leader="none"/>
        </w:tabs>
        <w:rPr>
          <w:rFonts w:ascii="PT Astra Serif" w:hAnsi="PT Astra Serif"/>
          <w:sz w:val="24"/>
          <w:szCs w:val="24"/>
        </w:rPr>
      </w:pPr>
      <w:r>
        <w:rPr>
          <w:rFonts w:ascii="PT Astra Serif" w:hAnsi="PT Astra Serif"/>
          <w:sz w:val="24"/>
          <w:szCs w:val="24"/>
        </w:rPr>
        <w:t xml:space="preserve">2) обеспечить контроль рассмотрения предложений об улучшении работы, внесенных через сайт, электронную почту, опросы</w:t>
      </w:r>
      <w:r>
        <w:rPr>
          <w:rFonts w:ascii="PT Astra Serif" w:hAnsi="PT Astra Serif"/>
          <w:sz w:val="24"/>
          <w:szCs w:val="24"/>
        </w:rPr>
        <w:t xml:space="preserve">,</w:t>
      </w:r>
      <w:r>
        <w:rPr>
          <w:rFonts w:ascii="PT Astra Serif" w:hAnsi="PT Astra Serif"/>
          <w:sz w:val="24"/>
          <w:szCs w:val="24"/>
        </w:rPr>
        <w:t xml:space="preserve"> и организовать оперативную и эффективную обратную связь;</w:t>
      </w:r>
      <w:r>
        <w:rPr>
          <w:rFonts w:ascii="PT Astra Serif" w:hAnsi="PT Astra Serif"/>
          <w:sz w:val="24"/>
          <w:szCs w:val="24"/>
        </w:rPr>
      </w:r>
      <w:r>
        <w:rPr>
          <w:rFonts w:ascii="PT Astra Serif" w:hAnsi="PT Astra Serif"/>
          <w:sz w:val="24"/>
          <w:szCs w:val="24"/>
        </w:rPr>
      </w:r>
    </w:p>
    <w:p>
      <w:pPr>
        <w:pStyle w:val="1169"/>
        <w:ind w:firstLine="709"/>
        <w:tabs>
          <w:tab w:val="left" w:pos="851" w:leader="none"/>
        </w:tabs>
        <w:rPr>
          <w:rFonts w:ascii="PT Astra Serif" w:hAnsi="PT Astra Serif"/>
          <w:sz w:val="24"/>
          <w:szCs w:val="24"/>
        </w:rPr>
      </w:pPr>
      <w:r>
        <w:rPr>
          <w:rFonts w:ascii="PT Astra Serif" w:hAnsi="PT Astra Serif"/>
          <w:sz w:val="24"/>
          <w:szCs w:val="24"/>
        </w:rPr>
        <w:t xml:space="preserve">3) систематически обновлять и корректировать дополнительные образовательные программы, разрабатывать программы по востребованным направлениям дополнительного образования, в том числе для разных категорий учащихся;</w:t>
      </w:r>
      <w:r>
        <w:rPr>
          <w:rFonts w:ascii="PT Astra Serif" w:hAnsi="PT Astra Serif"/>
          <w:sz w:val="24"/>
          <w:szCs w:val="24"/>
        </w:rPr>
      </w:r>
      <w:r>
        <w:rPr>
          <w:rFonts w:ascii="PT Astra Serif" w:hAnsi="PT Astra Serif"/>
          <w:sz w:val="24"/>
          <w:szCs w:val="24"/>
        </w:rPr>
      </w:r>
    </w:p>
    <w:p>
      <w:pPr>
        <w:pStyle w:val="1169"/>
        <w:ind w:firstLine="709"/>
        <w:tabs>
          <w:tab w:val="left" w:pos="851" w:leader="none"/>
        </w:tabs>
        <w:rPr>
          <w:rFonts w:ascii="PT Astra Serif" w:hAnsi="PT Astra Serif"/>
          <w:sz w:val="24"/>
          <w:szCs w:val="24"/>
        </w:rPr>
      </w:pPr>
      <w:r>
        <w:rPr>
          <w:rFonts w:ascii="PT Astra Serif" w:hAnsi="PT Astra Serif"/>
          <w:sz w:val="24"/>
          <w:szCs w:val="24"/>
        </w:rPr>
        <w:t xml:space="preserve">4) </w:t>
      </w:r>
      <w:r>
        <w:rPr>
          <w:rFonts w:ascii="PT Astra Serif" w:hAnsi="PT Astra Serif"/>
          <w:sz w:val="24"/>
          <w:szCs w:val="24"/>
        </w:rPr>
        <w:t xml:space="preserve">совершенствовать материально-техническую базу организаций и оборудова</w:t>
      </w:r>
      <w:r>
        <w:rPr>
          <w:rFonts w:ascii="PT Astra Serif" w:hAnsi="PT Astra Serif"/>
          <w:sz w:val="24"/>
          <w:szCs w:val="24"/>
        </w:rPr>
        <w:t xml:space="preserve">ть помещения образовательных организаций и прилегающих к ним территорий с учетом требований по доступности для лиц с ограниченными возможностями здоровья и инвалидов, способствовать повышению комфортности условий осуществления образовательной деятельности.</w:t>
      </w:r>
      <w:r>
        <w:rPr>
          <w:rFonts w:ascii="PT Astra Serif" w:hAnsi="PT Astra Serif"/>
          <w:sz w:val="24"/>
          <w:szCs w:val="24"/>
        </w:rPr>
      </w:r>
      <w:r>
        <w:rPr>
          <w:rFonts w:ascii="PT Astra Serif" w:hAnsi="PT Astra Serif"/>
          <w:sz w:val="24"/>
          <w:szCs w:val="24"/>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В сфере социального обслуживания:</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1) обратить внимание специалистов, обеспечивающих непосредственное оказание услуг, на необходимость соблюдения доброжелательности и вежливости при общении с воспитанниками;</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2) привести в соответствие информацию о деятельности организации социального обслуживания, размещенной на официальном сайте организации социального обслуживания в сети Интернет, порядку размещения информации на официальном сайте поставщика социа</w:t>
      </w:r>
      <w:r>
        <w:rPr>
          <w:rFonts w:ascii="PT Astra Serif" w:hAnsi="PT Astra Serif" w:eastAsia="Calibri"/>
          <w:sz w:val="24"/>
          <w:szCs w:val="24"/>
          <w:lang w:eastAsia="ru-RU"/>
        </w:rPr>
        <w:t xml:space="preserve">льных услуг в сети Интернет, утверждаемому уполномоченным федеральным органом исполнительной власти согласно части 3 статьи 13 Федерального закона от 28 декабря 2013 г. № 442-ФЗ «Об основах социального обслуживания граждан в Российской Федерации», в части:</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 численности получателей социальных услуг по формам социального обслуживания и видам </w:t>
      </w:r>
      <w:r>
        <w:rPr>
          <w:rFonts w:ascii="PT Astra Serif" w:hAnsi="PT Astra Serif" w:eastAsia="Calibri"/>
          <w:sz w:val="24"/>
          <w:szCs w:val="24"/>
          <w:lang w:eastAsia="ru-RU"/>
        </w:rPr>
        <w:t xml:space="preserve">социальных услуг за счет средств областного бюджета, численности получателей социальных услуг по формам социального обслуживания и видам социальных услуг по договорам о предоставлении социальных услуг за счет средств физических лиц и (или) юридических лиц;</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 количества свободных мест для приема получателей социальных услуг по формам социального обслуживания,</w:t>
      </w:r>
      <w:r>
        <w:rPr>
          <w:rFonts w:ascii="PT Astra Serif" w:hAnsi="PT Astra Serif" w:eastAsia="Calibri"/>
          <w:sz w:val="24"/>
          <w:szCs w:val="24"/>
          <w:lang w:eastAsia="ru-RU"/>
        </w:rPr>
        <w:t xml:space="preserve"> финансируемых за счет средств областного бюджета, и количестве свободных мест для приема получателей социальных услуг по формам социального обслуживания по договорам о предоставлении социальных услуг за счет средств физических лиц и (или) юридических лиц;</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 объема предоставляемых социальных услуг за счет средств областного бюджета и в соответствии с договорами о предоставлении социальных услуг за счет средств физических лиц и (или) юридических лиц;</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 правил внутреннего распорядка для получ</w:t>
      </w:r>
      <w:r>
        <w:rPr>
          <w:rFonts w:ascii="PT Astra Serif" w:hAnsi="PT Astra Serif" w:eastAsia="Calibri"/>
          <w:sz w:val="24"/>
          <w:szCs w:val="24"/>
          <w:lang w:eastAsia="ru-RU"/>
        </w:rPr>
        <w:t xml:space="preserve">ателей социальных услуг, правил</w:t>
      </w:r>
      <w:r>
        <w:rPr>
          <w:rFonts w:ascii="PT Astra Serif" w:hAnsi="PT Astra Serif" w:eastAsia="Calibri"/>
          <w:sz w:val="24"/>
          <w:szCs w:val="24"/>
          <w:lang w:eastAsia="ru-RU"/>
        </w:rPr>
        <w:t xml:space="preserve"> внутреннего т</w:t>
      </w:r>
      <w:r>
        <w:rPr>
          <w:rFonts w:ascii="PT Astra Serif" w:hAnsi="PT Astra Serif" w:eastAsia="Calibri"/>
          <w:sz w:val="24"/>
          <w:szCs w:val="24"/>
          <w:lang w:eastAsia="ru-RU"/>
        </w:rPr>
        <w:t xml:space="preserve">рудового распорядка, коллективного</w:t>
      </w:r>
      <w:r>
        <w:rPr>
          <w:rFonts w:ascii="PT Astra Serif" w:hAnsi="PT Astra Serif" w:eastAsia="Calibri"/>
          <w:sz w:val="24"/>
          <w:szCs w:val="24"/>
          <w:lang w:eastAsia="ru-RU"/>
        </w:rPr>
        <w:t xml:space="preserve"> договор</w:t>
      </w:r>
      <w:r>
        <w:rPr>
          <w:rFonts w:ascii="PT Astra Serif" w:hAnsi="PT Astra Serif" w:eastAsia="Calibri"/>
          <w:sz w:val="24"/>
          <w:szCs w:val="24"/>
          <w:lang w:eastAsia="ru-RU"/>
        </w:rPr>
        <w:t xml:space="preserve">а</w:t>
      </w:r>
      <w:r>
        <w:rPr>
          <w:rFonts w:ascii="PT Astra Serif" w:hAnsi="PT Astra Serif" w:eastAsia="Calibri"/>
          <w:sz w:val="24"/>
          <w:szCs w:val="24"/>
          <w:lang w:eastAsia="ru-RU"/>
        </w:rPr>
        <w:t xml:space="preserve"> (с приложением электронного образа документов);</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 наличия предписаний органов, осуществляющих государственный контроль в сфере социального обслуживания, и отчетов об исполнении указанных предписаний;</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3) обеспечить наличие на официальном сайте организаций социального о</w:t>
      </w:r>
      <w:r>
        <w:rPr>
          <w:rFonts w:ascii="PT Astra Serif" w:hAnsi="PT Astra Serif" w:eastAsia="Calibri"/>
          <w:sz w:val="24"/>
          <w:szCs w:val="24"/>
          <w:lang w:eastAsia="ru-RU"/>
        </w:rPr>
        <w:t xml:space="preserve">бслуживания информации о дистанционных способах взаимодействия с получателями социальных услуг: электронных сервисов (форм для подачи электронного обращения (жалобы), получения консультации по оказываемым услугам и пр.), раздела «Часто задаваемые вопросы»;</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4) продолжить работу по обеспечению в организациях </w:t>
      </w:r>
      <w:r>
        <w:rPr>
          <w:rFonts w:ascii="PT Astra Serif" w:hAnsi="PT Astra Serif"/>
          <w:sz w:val="24"/>
          <w:szCs w:val="24"/>
        </w:rPr>
        <w:t xml:space="preserve">доступности для лиц с ограниченными возможностями здоровья и инвалидов</w:t>
      </w:r>
      <w:r>
        <w:rPr>
          <w:rFonts w:ascii="PT Astra Serif" w:hAnsi="PT Astra Serif" w:eastAsia="Calibri"/>
          <w:sz w:val="24"/>
          <w:szCs w:val="24"/>
          <w:lang w:eastAsia="ru-RU"/>
        </w:rPr>
        <w:t xml:space="preserve">, например, предоставить инвалидам по слуху (слуху и зрению) услуги сурдопереводчика (тифлосурдопереводчика)</w:t>
      </w:r>
      <w:r>
        <w:rPr>
          <w:rFonts w:ascii="PT Astra Serif" w:hAnsi="PT Astra Serif" w:eastAsia="Calibri"/>
          <w:sz w:val="24"/>
          <w:szCs w:val="24"/>
          <w:lang w:eastAsia="ru-RU"/>
        </w:rPr>
        <w:t xml:space="preserve">,</w:t>
      </w:r>
      <w:r>
        <w:rPr>
          <w:rFonts w:ascii="PT Astra Serif" w:hAnsi="PT Astra Serif" w:eastAsia="Calibri"/>
          <w:sz w:val="24"/>
          <w:szCs w:val="24"/>
          <w:lang w:eastAsia="ru-RU"/>
        </w:rPr>
        <w:t xml:space="preserve"> и обеспечить предоставление социальных услуг в дистанционном режиме или на дому.</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В сфере здравоохранения:</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1) разместить н</w:t>
      </w:r>
      <w:r>
        <w:rPr>
          <w:rFonts w:ascii="PT Astra Serif" w:hAnsi="PT Astra Serif" w:eastAsia="Calibri"/>
          <w:sz w:val="24"/>
          <w:szCs w:val="24"/>
          <w:lang w:eastAsia="ru-RU"/>
        </w:rPr>
        <w:t xml:space="preserve">а официальных сайтах медицинских организаций данные, обязательные к размещению в соответствии с действующим законодательством, создать раздел «Часто задаваемые вопросы», обеспечить наличие альтернативной версии официального сайта медицинской организации в </w:t>
      </w:r>
      <w:r>
        <w:rPr>
          <w:rFonts w:ascii="PT Astra Serif" w:hAnsi="PT Astra Serif" w:eastAsia="Calibri"/>
          <w:sz w:val="24"/>
          <w:szCs w:val="24"/>
          <w:lang w:eastAsia="ru-RU"/>
        </w:rPr>
        <w:t xml:space="preserve">сети </w:t>
      </w:r>
      <w:r>
        <w:rPr>
          <w:rFonts w:ascii="PT Astra Serif" w:hAnsi="PT Astra Serif" w:eastAsia="Calibri"/>
          <w:sz w:val="24"/>
          <w:szCs w:val="24"/>
          <w:lang w:eastAsia="ru-RU"/>
        </w:rPr>
        <w:t xml:space="preserve">Интернет для инвалидов по зрению.</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2) обеспечить комфортные условия оказания услуг, снизить время ожидания приема в регистратурах и у кабинетов медицинских работников. В стационаре уделить внимание качеству питания и состоянию санитарно-гигиенических помещений, наличию питьевой воды;</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3) создать условия по обеспечению доступности услуг для лиц с ограниченными  возможностями здоровья и инвалидов, оборудовать территории, прилегающие к медицинским организациям, и их помещения:</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 выделенными стоянками для автотранспортных средств инвалидов;</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 адаптированными лифтами, поручнями, расширенными дверными проемами;</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 сменными креслами-колясками;</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 специально оборудованными санитарно-гигиеническими помещениями;</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 предоставить инвалидам по слуху (зрению) услуги сурдопере</w:t>
      </w:r>
      <w:r>
        <w:rPr>
          <w:rFonts w:ascii="PT Astra Serif" w:hAnsi="PT Astra Serif" w:eastAsia="Calibri"/>
          <w:sz w:val="24"/>
          <w:szCs w:val="24"/>
          <w:lang w:eastAsia="ru-RU"/>
        </w:rPr>
        <w:t xml:space="preserve">водчика (тифлосурдопереводчика);</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4) при обеспечении условий доступности, позволяющих инвалидам получать услуги наравне с другими, обратить внимание на наличие в медицинской организации:  </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 дублирования для инвалидов по слуху и зрению звуковой и зрительной информации; </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 возможности предоставления инвалидам по слуху (слуху и зрению) услуг сурдопереводчика (тифлосурдопереводчика);</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 дублирования надписей, знаков и иной текстовой и графической информации знаками, выполненными рельефно-точечным шрифтом Брайля;</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 возможности сопровождения инвалида работниками медицинской организации</w:t>
      </w:r>
      <w:r>
        <w:rPr>
          <w:rFonts w:ascii="PT Astra Serif" w:hAnsi="PT Astra Serif" w:eastAsia="Calibri"/>
          <w:sz w:val="24"/>
          <w:szCs w:val="24"/>
          <w:lang w:eastAsia="ru-RU"/>
        </w:rPr>
        <w:t xml:space="preserve">;</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 возможности оказания первичной медико-санитарной и паллиативной медицинской помощи инвалидам на дому.</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В сфере культуры:</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1) совершенствовать работу официальных сайтов организаций культуры, своевременно обновлять и напо</w:t>
      </w:r>
      <w:r>
        <w:rPr>
          <w:rFonts w:ascii="PT Astra Serif" w:hAnsi="PT Astra Serif" w:eastAsia="Calibri"/>
          <w:sz w:val="24"/>
          <w:szCs w:val="24"/>
          <w:lang w:eastAsia="ru-RU"/>
        </w:rPr>
        <w:t xml:space="preserve">лнять необходимой информацией в соответствии с правилами и установленной периодичностью размещения на официальном сайте в сети Интернет и обновления информации об организации культуры согласно требованиям приказа Министерства культуры Российской Федерации </w:t>
      </w:r>
      <w:r>
        <w:rPr>
          <w:rFonts w:ascii="PT Astra Serif" w:hAnsi="PT Astra Serif" w:eastAsia="Calibri"/>
          <w:sz w:val="24"/>
          <w:szCs w:val="24"/>
          <w:lang w:eastAsia="ru-RU"/>
        </w:rPr>
        <w:t xml:space="preserve">от 20 февраля 2015 г. № 277 «Об </w:t>
      </w:r>
      <w:r>
        <w:rPr>
          <w:rFonts w:ascii="PT Astra Serif" w:hAnsi="PT Astra Serif" w:eastAsia="Calibri"/>
          <w:sz w:val="24"/>
          <w:szCs w:val="24"/>
          <w:lang w:eastAsia="ru-RU"/>
        </w:rPr>
        <w:t xml:space="preserve">утверждении требований к содержанию и форме предоставления информации о деятел</w:t>
      </w:r>
      <w:r>
        <w:rPr>
          <w:rFonts w:ascii="PT Astra Serif" w:hAnsi="PT Astra Serif" w:eastAsia="Calibri"/>
          <w:sz w:val="24"/>
          <w:szCs w:val="24"/>
          <w:lang w:eastAsia="ru-RU"/>
        </w:rPr>
        <w:t xml:space="preserve">ьности организаций культуры, размещенной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организаций культуры в сети Интернет;</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2) повысить комфортность условий оказания услуг, в том числе получателей услуг с ограниченными возможностями здоровья и инвалидов, оборудовать помещения организаций культуры и прилегающих к ним территорий с учетом требований по доступности для инвалидов; </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3) проводить целенаправленную и системную работу по привлече</w:t>
      </w:r>
      <w:r>
        <w:rPr>
          <w:rFonts w:ascii="PT Astra Serif" w:hAnsi="PT Astra Serif" w:eastAsia="Calibri"/>
          <w:sz w:val="24"/>
          <w:szCs w:val="24"/>
          <w:lang w:eastAsia="ru-RU"/>
        </w:rPr>
        <w:t xml:space="preserve">нию активных пользователей сайтов организаций культуры, способствовать воспитанию информационной культуры и формированию привычки получения информации на сайтах и стендах организаций культуры, обеспечить взаимодействие с общественностью по данному вопросу;</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4) осуществлять мониторинг удовлетворенности качеством получателей услуг.</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tabs>
          <w:tab w:val="left" w:pos="993" w:leader="none"/>
        </w:tabs>
        <w:rPr>
          <w:rFonts w:ascii="PT Astra Serif" w:hAnsi="PT Astra Serif" w:eastAsia="Calibri"/>
          <w:b/>
          <w:sz w:val="24"/>
          <w:szCs w:val="24"/>
          <w:lang w:eastAsia="ru-RU"/>
        </w:rPr>
      </w:pPr>
      <w:r>
        <w:rPr>
          <w:rFonts w:ascii="PT Astra Serif" w:hAnsi="PT Astra Serif" w:eastAsia="Calibri"/>
          <w:b/>
          <w:sz w:val="24"/>
          <w:szCs w:val="24"/>
          <w:lang w:eastAsia="ru-RU"/>
        </w:rPr>
        <w:t xml:space="preserve">6.</w:t>
      </w:r>
      <w:r>
        <w:rPr>
          <w:rFonts w:ascii="PT Astra Serif" w:hAnsi="PT Astra Serif" w:eastAsia="Calibri"/>
          <w:b/>
          <w:sz w:val="24"/>
          <w:szCs w:val="24"/>
          <w:lang w:eastAsia="ru-RU"/>
        </w:rPr>
        <w:tab/>
        <w:t xml:space="preserve">Меры по совершенствованию деятельности организаций социальной сферы, принимаемые по результатам независимой оценки качества условий оказания услуг.</w:t>
      </w:r>
      <w:r>
        <w:rPr>
          <w:rFonts w:ascii="PT Astra Serif" w:hAnsi="PT Astra Serif" w:eastAsia="Calibri"/>
          <w:b/>
          <w:sz w:val="24"/>
          <w:szCs w:val="24"/>
          <w:lang w:eastAsia="ru-RU"/>
        </w:rPr>
      </w:r>
      <w:r>
        <w:rPr>
          <w:rFonts w:ascii="PT Astra Serif" w:hAnsi="PT Astra Serif" w:eastAsia="Calibri"/>
          <w:b/>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6.1. Информация об утверждении планов по устранению недостатков, выявленных в ходе независимой оценки качества условий оказания услуг, а также об иных проведенных мероприятиях.</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В декабре 2023 года разработаны планы по устранению недостатков, выявленных в ходе независимой оценки качества условий оказания услуг за 2023 год.</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6.2. Организация контроля выполнения утвержденных планов по устранению недостатков, выявленных в ходе независимой оценки качества условий оказания услуг, и принятых решений.</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В сфере образования:</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Контроль за исполнением планов по устранению недостатков, выявленных в ходе проведения независимой оценки качества условий оказания услуг, в отношении образовательных организаций осуществляет учредитель (муниципальный о</w:t>
      </w:r>
      <w:r>
        <w:rPr>
          <w:rFonts w:ascii="PT Astra Serif" w:hAnsi="PT Astra Serif" w:eastAsia="Calibri"/>
          <w:sz w:val="24"/>
          <w:szCs w:val="24"/>
          <w:lang w:eastAsia="ru-RU"/>
        </w:rPr>
        <w:t xml:space="preserve">рган управления образованием в отношении муниципальных образовательных организаций; исполнительных органов государственной власти в отношении подведомственных областных государственных организаций). В муниципальном органе управления образованием и органе и</w:t>
      </w:r>
      <w:r>
        <w:rPr>
          <w:rFonts w:ascii="PT Astra Serif" w:hAnsi="PT Astra Serif" w:eastAsia="Calibri"/>
          <w:sz w:val="24"/>
          <w:szCs w:val="24"/>
          <w:lang w:eastAsia="ru-RU"/>
        </w:rPr>
        <w:t xml:space="preserve">сполнительной власти правовым актом определен ответственный за проведение независимой оценки качества условий оказания услуг и осуществление контроля исполнения планов. Контроль осуществляется ежегодно. Форма контроля – запрос отчетов об исполнении планов.</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Ответственность за выполнение планов по устранению недостатков, выявленных в ходе проведения независимой оценки, возложена на руководителей профессиональных образовательных организаций То</w:t>
      </w:r>
      <w:r>
        <w:rPr>
          <w:rFonts w:ascii="PT Astra Serif" w:hAnsi="PT Astra Serif" w:eastAsia="Calibri"/>
          <w:sz w:val="24"/>
          <w:szCs w:val="24"/>
          <w:lang w:eastAsia="ru-RU"/>
        </w:rPr>
        <w:t xml:space="preserve">мской области. В целях организации контроля выполнения планов по устранению недостатков, выявленных в ходе проведения независимой оценки, проводятся ежеквартальные совещания с руководителями и заместителями руководителей профессиональных образовательных ор</w:t>
      </w:r>
      <w:r>
        <w:rPr>
          <w:rFonts w:ascii="PT Astra Serif" w:hAnsi="PT Astra Serif" w:eastAsia="Calibri"/>
          <w:sz w:val="24"/>
          <w:szCs w:val="24"/>
          <w:lang w:eastAsia="ru-RU"/>
        </w:rPr>
        <w:t xml:space="preserve">ганизаций Томской области, в ходе которых заслушиваются мероприятия по устранению недостатков. Информация о выполнении планов по устранению нарушений в системе профессионального образования Томской области дополнительно рассматривается на «Дне директора». </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В рамках осуществления контроля по итогам выполнения зап</w:t>
      </w:r>
      <w:r>
        <w:rPr>
          <w:rFonts w:ascii="PT Astra Serif" w:hAnsi="PT Astra Serif" w:eastAsia="Calibri"/>
          <w:sz w:val="24"/>
          <w:szCs w:val="24"/>
          <w:lang w:eastAsia="ru-RU"/>
        </w:rPr>
        <w:t xml:space="preserve">ланированных мероприятий по устранению недостатков, выявленных в ходе независимой оценки качества, руководители организаций, в отношении которых проводилась независимая оценка качества условий оказания услуг, один раз в год направляют в муниципальные орган</w:t>
      </w:r>
      <w:r>
        <w:rPr>
          <w:rFonts w:ascii="PT Astra Serif" w:hAnsi="PT Astra Serif" w:eastAsia="Calibri"/>
          <w:sz w:val="24"/>
          <w:szCs w:val="24"/>
          <w:lang w:eastAsia="ru-RU"/>
        </w:rPr>
        <w:t xml:space="preserve">ы управления в сфере физической культуры и спорта отчет с приложением подтверждающих документов. Муниципальные органы управления в сфере физической культуры и спорта информируют Департамент спорта Томской области о выполнении планов устранения недостатков.</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В муниципальных органах управления в сфере физической культуры и спорта пра</w:t>
      </w:r>
      <w:r>
        <w:rPr>
          <w:rFonts w:ascii="PT Astra Serif" w:hAnsi="PT Astra Serif" w:eastAsia="Calibri"/>
          <w:sz w:val="24"/>
          <w:szCs w:val="24"/>
          <w:lang w:eastAsia="ru-RU"/>
        </w:rPr>
        <w:t xml:space="preserve">вовыми актами закреплены ответственные за проведение независимой оценки качества условий оказания услуг и осуществление контроля исполнения планов – главные специалисты по физической культуре и спорту. Форма контроля – запрос отчетов об исполнении планов. </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В сфере социального обслуживания:</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Департаментом социальной защиты населения Томской области утвержден план по устранению недостатков на 2024 год, выявленных в ходе независимой оценки качества условий оказания услуг в 2023 году, организациями социального обслуживания, подведомственными Деп</w:t>
      </w:r>
      <w:r>
        <w:rPr>
          <w:rFonts w:ascii="PT Astra Serif" w:hAnsi="PT Astra Serif" w:eastAsia="Calibri"/>
          <w:sz w:val="24"/>
          <w:szCs w:val="24"/>
          <w:lang w:eastAsia="ru-RU"/>
        </w:rPr>
        <w:t xml:space="preserve">артаменту социальной защиты населения Томской области. Контроль за исполнением осуществляет специалист, ответственный за организацию и результаты работы по устранению выявленных недостатков по результатам независимой оценки качества условий оказания услуг.</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Департаментом по вопро</w:t>
      </w:r>
      <w:r>
        <w:rPr>
          <w:rFonts w:ascii="PT Astra Serif" w:hAnsi="PT Astra Serif" w:eastAsia="Calibri"/>
          <w:sz w:val="24"/>
          <w:szCs w:val="24"/>
          <w:lang w:eastAsia="ru-RU"/>
        </w:rPr>
        <w:t xml:space="preserve">сам семьи и детей Томской области утвержден план по устранению недостатков на 2024 год, выявленных в ходе независимой оценки качества условий оказания услуг в 2023 году в учреждениях, подведомственных Департаменту по вопросам семьи и детей Томской области.</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Контроль за исполнением осуществляют специалисты, ответственные за организацию и результаты работы по устранению выявленных недостатков по результатам независимой оценки качества условий оказания услуг.</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В сфере здравоохранения:</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Контроль исполнения мероприятий по устранению недостатков, выявленных в ходе независимой оценки качества условий оказания услуг, будет проводиться в течение года специалистами Департамента здравоохранения Томской области.</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В сфере культуры:</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В декабре 2023 года Департаментом по культуре Томской области утвержден план по устранению недостатков, выявленных в ходе независимой оценки качества условий оказания услуг организациям</w:t>
      </w:r>
      <w:r>
        <w:rPr>
          <w:rFonts w:ascii="PT Astra Serif" w:hAnsi="PT Astra Serif" w:eastAsia="Calibri"/>
          <w:sz w:val="24"/>
          <w:szCs w:val="24"/>
          <w:lang w:eastAsia="ru-RU"/>
        </w:rPr>
        <w:t xml:space="preserve">и культуры. В конце текущего года руководители учреждений, подведомственных Департаменту по культуре Томской области, представят отчеты по исполнению устранений недостатков, выявленных в ходе независимой оценки качества условий оказания услуг, за 2024 год.</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b/>
          <w:sz w:val="24"/>
          <w:szCs w:val="24"/>
          <w:lang w:eastAsia="ru-RU"/>
        </w:rPr>
      </w:pPr>
      <w:r>
        <w:rPr>
          <w:rFonts w:ascii="PT Astra Serif" w:hAnsi="PT Astra Serif" w:eastAsia="Calibri"/>
          <w:sz w:val="24"/>
          <w:szCs w:val="24"/>
          <w:lang w:eastAsia="ru-RU"/>
        </w:rPr>
        <w:t xml:space="preserve">Контроль исполнения мероприятий </w:t>
      </w:r>
      <w:r>
        <w:rPr>
          <w:rFonts w:ascii="PT Astra Serif" w:hAnsi="PT Astra Serif" w:eastAsia="Calibri"/>
          <w:sz w:val="24"/>
          <w:szCs w:val="24"/>
          <w:lang w:eastAsia="ru-RU"/>
        </w:rPr>
        <w:t xml:space="preserve">по устранению недостатков, выявленных в ходе независимой оценки качества условий оказания услуг, будет в течение года проводиться специалистами Департамента по культуре Томской области в рамках текущих проверок за деятельностью подведомственных учреждений.</w:t>
      </w:r>
      <w:r>
        <w:rPr>
          <w:rFonts w:ascii="PT Astra Serif" w:hAnsi="PT Astra Serif" w:eastAsia="Calibri"/>
          <w:b/>
          <w:sz w:val="24"/>
          <w:szCs w:val="24"/>
          <w:lang w:eastAsia="ru-RU"/>
        </w:rPr>
        <w:t xml:space="preserve"> </w:t>
      </w:r>
      <w:r>
        <w:rPr>
          <w:rFonts w:ascii="PT Astra Serif" w:hAnsi="PT Astra Serif" w:eastAsia="Calibri"/>
          <w:b/>
          <w:sz w:val="24"/>
          <w:szCs w:val="24"/>
          <w:lang w:eastAsia="ru-RU"/>
        </w:rPr>
      </w:r>
      <w:r>
        <w:rPr>
          <w:rFonts w:ascii="PT Astra Serif" w:hAnsi="PT Astra Serif" w:eastAsia="Calibri"/>
          <w:b/>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6.3. Принятые поощрительные меры и дисциплинарные взыскания в отношении руководителей соответствующих организаций или других уполномоченных лиц, дополнительные меры по улучшению качества условий оказания услуг.</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В сфере образования:</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tabs>
          <w:tab w:val="left" w:pos="851" w:leader="none"/>
        </w:tabs>
        <w:rPr>
          <w:rFonts w:ascii="PT Astra Serif" w:hAnsi="PT Astra Serif"/>
          <w:sz w:val="24"/>
          <w:szCs w:val="24"/>
        </w:rPr>
      </w:pPr>
      <w:r>
        <w:rPr>
          <w:rFonts w:ascii="PT Astra Serif" w:hAnsi="PT Astra Serif"/>
          <w:sz w:val="24"/>
          <w:szCs w:val="24"/>
        </w:rPr>
        <w:t xml:space="preserve">- руководителям 60 общеобразовательных организаций системы общего образования Томской области вручены сертификаты лидеров рейтинга по итогам проведения независимой оценки качества условий оказания услуг в 2023 году;</w:t>
      </w:r>
      <w:r>
        <w:rPr>
          <w:rFonts w:ascii="PT Astra Serif" w:hAnsi="PT Astra Serif"/>
          <w:sz w:val="24"/>
          <w:szCs w:val="24"/>
        </w:rPr>
      </w:r>
      <w:r>
        <w:rPr>
          <w:rFonts w:ascii="PT Astra Serif" w:hAnsi="PT Astra Serif"/>
          <w:sz w:val="24"/>
          <w:szCs w:val="24"/>
        </w:rPr>
      </w:r>
    </w:p>
    <w:p>
      <w:pPr>
        <w:pStyle w:val="1169"/>
        <w:ind w:firstLine="709"/>
        <w:tabs>
          <w:tab w:val="left" w:pos="851" w:leader="none"/>
        </w:tabs>
        <w:rPr>
          <w:rFonts w:ascii="PT Astra Serif" w:hAnsi="PT Astra Serif"/>
          <w:sz w:val="24"/>
          <w:szCs w:val="24"/>
        </w:rPr>
      </w:pPr>
      <w:r>
        <w:rPr>
          <w:rFonts w:ascii="PT Astra Serif" w:hAnsi="PT Astra Serif"/>
          <w:sz w:val="24"/>
          <w:szCs w:val="24"/>
        </w:rPr>
        <w:t xml:space="preserve">- в системе профессионального образования 3 организациям, набравшим наибольшее количество баллов, выданы сертификаты за</w:t>
      </w:r>
      <w:r>
        <w:rPr>
          <w:rFonts w:ascii="PT Astra Serif" w:hAnsi="PT Astra Serif"/>
          <w:sz w:val="24"/>
          <w:szCs w:val="24"/>
        </w:rPr>
        <w:t xml:space="preserve"> первое, второе и третье места;</w:t>
      </w:r>
      <w:r>
        <w:rPr>
          <w:rFonts w:ascii="PT Astra Serif" w:hAnsi="PT Astra Serif"/>
          <w:sz w:val="24"/>
          <w:szCs w:val="24"/>
        </w:rPr>
      </w:r>
      <w:r>
        <w:rPr>
          <w:rFonts w:ascii="PT Astra Serif" w:hAnsi="PT Astra Serif"/>
          <w:sz w:val="24"/>
          <w:szCs w:val="24"/>
        </w:rPr>
      </w:r>
    </w:p>
    <w:p>
      <w:pPr>
        <w:pStyle w:val="1169"/>
        <w:ind w:firstLine="709"/>
        <w:tabs>
          <w:tab w:val="left" w:pos="851" w:leader="none"/>
        </w:tabs>
        <w:rPr>
          <w:rFonts w:ascii="PT Astra Serif" w:hAnsi="PT Astra Serif"/>
          <w:sz w:val="24"/>
          <w:szCs w:val="24"/>
        </w:rPr>
      </w:pPr>
      <w:r>
        <w:rPr>
          <w:rFonts w:ascii="PT Astra Serif" w:hAnsi="PT Astra Serif"/>
          <w:sz w:val="24"/>
          <w:szCs w:val="24"/>
        </w:rPr>
        <w:t xml:space="preserve">- по организациям физической культуры и спорта объявлена благодарность руководителям 2 учреждений. </w:t>
      </w:r>
      <w:r>
        <w:rPr>
          <w:rFonts w:ascii="PT Astra Serif" w:hAnsi="PT Astra Serif"/>
          <w:sz w:val="24"/>
          <w:szCs w:val="24"/>
        </w:rPr>
      </w:r>
      <w:r>
        <w:rPr>
          <w:rFonts w:ascii="PT Astra Serif" w:hAnsi="PT Astra Serif"/>
          <w:sz w:val="24"/>
          <w:szCs w:val="24"/>
        </w:rPr>
      </w:r>
    </w:p>
    <w:p>
      <w:pPr>
        <w:pStyle w:val="1169"/>
        <w:ind w:firstLine="709"/>
        <w:tabs>
          <w:tab w:val="left" w:pos="851" w:leader="none"/>
        </w:tabs>
        <w:rPr>
          <w:rFonts w:ascii="PT Astra Serif" w:hAnsi="PT Astra Serif" w:cs="Courier New"/>
          <w:sz w:val="24"/>
          <w:szCs w:val="24"/>
        </w:rPr>
      </w:pPr>
      <w:r>
        <w:rPr>
          <w:rFonts w:ascii="PT Astra Serif" w:hAnsi="PT Astra Serif" w:cs="PT Astra Serif"/>
          <w:sz w:val="24"/>
          <w:szCs w:val="24"/>
        </w:rPr>
        <w:t xml:space="preserve">Дисциплинарные взыскания в сфере образования не применялись.</w:t>
      </w:r>
      <w:r>
        <w:rPr>
          <w:rFonts w:ascii="PT Astra Serif" w:hAnsi="PT Astra Serif" w:cs="Courier New"/>
          <w:sz w:val="24"/>
          <w:szCs w:val="24"/>
        </w:rPr>
      </w:r>
      <w:r>
        <w:rPr>
          <w:rFonts w:ascii="PT Astra Serif" w:hAnsi="PT Astra Serif" w:cs="Courier New"/>
          <w:sz w:val="24"/>
          <w:szCs w:val="24"/>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В сфере социального обслуживания:</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 в адрес коллективов организаций социального обслуживания, занявших высшие места в рейтинге</w:t>
      </w:r>
      <w:r>
        <w:rPr>
          <w:rFonts w:ascii="PT Astra Serif" w:hAnsi="PT Astra Serif" w:eastAsia="Calibri"/>
          <w:sz w:val="24"/>
          <w:szCs w:val="24"/>
          <w:lang w:eastAsia="ru-RU"/>
        </w:rPr>
        <w:t xml:space="preserve">,</w:t>
      </w:r>
      <w:r>
        <w:rPr>
          <w:rFonts w:ascii="PT Astra Serif" w:hAnsi="PT Astra Serif" w:eastAsia="Calibri"/>
          <w:sz w:val="24"/>
          <w:szCs w:val="24"/>
          <w:lang w:eastAsia="ru-RU"/>
        </w:rPr>
        <w:t xml:space="preserve"> направлены благодарственные письма. </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В сфере здравоохранения:</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 дисциплинарные взыскания и поощрительные меры в сфере здравоохранения не применялись.</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В сфере культуры:</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 в отношении 3 учреждений, получивших по итогам работы до 92 от 100 баллов</w:t>
      </w:r>
      <w:r>
        <w:rPr>
          <w:rFonts w:ascii="PT Astra Serif" w:hAnsi="PT Astra Serif" w:eastAsia="Calibri"/>
          <w:sz w:val="24"/>
          <w:szCs w:val="24"/>
          <w:lang w:eastAsia="ru-RU"/>
        </w:rPr>
        <w:t xml:space="preserve">,</w:t>
      </w:r>
      <w:r>
        <w:rPr>
          <w:rFonts w:ascii="PT Astra Serif" w:hAnsi="PT Astra Serif" w:eastAsia="Calibri"/>
          <w:sz w:val="24"/>
          <w:szCs w:val="24"/>
          <w:lang w:eastAsia="ru-RU"/>
        </w:rPr>
        <w:t xml:space="preserve"> вручены дипломы «Лидер рейтинга по результатам независимой оценки качества условий оказания услуг организациями культуры Томской области в 2023 году», дисциплинарные взыскания в сфере культуры в 2023 году к руководителям организаций не применялись.</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b/>
          <w:sz w:val="24"/>
          <w:szCs w:val="24"/>
          <w:lang w:eastAsia="ru-RU"/>
        </w:rPr>
      </w:pPr>
      <w:r>
        <w:rPr>
          <w:rFonts w:ascii="PT Astra Serif" w:hAnsi="PT Astra Serif" w:eastAsia="Calibri"/>
          <w:b/>
          <w:sz w:val="24"/>
          <w:szCs w:val="24"/>
          <w:lang w:eastAsia="ru-RU"/>
        </w:rPr>
        <w:t xml:space="preserve">7. Информационно-разъяснительная работа среди населения.</w:t>
      </w:r>
      <w:r>
        <w:rPr>
          <w:rFonts w:ascii="PT Astra Serif" w:hAnsi="PT Astra Serif" w:eastAsia="Calibri"/>
          <w:b/>
          <w:sz w:val="24"/>
          <w:szCs w:val="24"/>
          <w:lang w:eastAsia="ru-RU"/>
        </w:rPr>
      </w:r>
      <w:r>
        <w:rPr>
          <w:rFonts w:ascii="PT Astra Serif" w:hAnsi="PT Astra Serif" w:eastAsia="Calibri"/>
          <w:b/>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7.1. Сведения о мероприятиях по информированию граждан о возможности их участия в проведении независимой оценки качества условий оказания услуг: </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В соответствии с приказом Министерства финансов Российской Федерации от 07.05.2019 № 66н «О со</w:t>
      </w:r>
      <w:r>
        <w:rPr>
          <w:rFonts w:ascii="PT Astra Serif" w:hAnsi="PT Astra Serif" w:eastAsia="Calibri"/>
          <w:sz w:val="24"/>
          <w:szCs w:val="24"/>
          <w:lang w:eastAsia="ru-RU"/>
        </w:rPr>
        <w:t xml:space="preserve">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w:t>
      </w:r>
      <w:r>
        <w:rPr>
          <w:rFonts w:ascii="PT Astra Serif" w:hAnsi="PT Astra Serif" w:eastAsia="Calibri"/>
          <w:sz w:val="24"/>
          <w:szCs w:val="24"/>
          <w:lang w:eastAsia="ru-RU"/>
        </w:rPr>
        <w:t xml:space="preserve">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сети Интернет, включая единые требования к такой информации, и порядке ее раз</w:t>
      </w:r>
      <w:r>
        <w:rPr>
          <w:rFonts w:ascii="PT Astra Serif" w:hAnsi="PT Astra Serif" w:eastAsia="Calibri"/>
          <w:sz w:val="24"/>
          <w:szCs w:val="24"/>
          <w:lang w:eastAsia="ru-RU"/>
        </w:rPr>
        <w:t xml:space="preserve">мещения, а также требования к качеству, удобству и простоте поиска указанной информации» на официальном сайте bus.gov.ru исполнительными органами Томской области в социальной сфере (далее – уполномоченный орган) информация размещена в установленные  сроки.</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Кроме того, на официальных сайтах организаций, на сайтах уполномоченных органов, в печатных средствах массовой информации в течение года публиковались информационные сообщения о проведении независимой оценки качеств</w:t>
      </w:r>
      <w:r>
        <w:rPr>
          <w:rFonts w:ascii="PT Astra Serif" w:hAnsi="PT Astra Serif" w:eastAsia="Calibri"/>
          <w:sz w:val="24"/>
          <w:szCs w:val="24"/>
          <w:lang w:eastAsia="ru-RU"/>
        </w:rPr>
        <w:t xml:space="preserve">а условий оказания услуг в 2023 году, на встречах с представителями общественных организаций  были рассмотрены вопросы проведения независимой оценки качества условий оказания услуг в организациях, в том числе доводилась информация о возможности участия в е</w:t>
      </w:r>
      <w:r>
        <w:rPr>
          <w:rFonts w:ascii="PT Astra Serif" w:hAnsi="PT Astra Serif" w:eastAsia="Calibri"/>
          <w:sz w:val="24"/>
          <w:szCs w:val="24"/>
          <w:lang w:eastAsia="ru-RU"/>
        </w:rPr>
        <w:t xml:space="preserve">е</w:t>
      </w:r>
      <w:r>
        <w:rPr>
          <w:rFonts w:ascii="PT Astra Serif" w:hAnsi="PT Astra Serif" w:eastAsia="Calibri"/>
          <w:sz w:val="24"/>
          <w:szCs w:val="24"/>
          <w:lang w:eastAsia="ru-RU"/>
        </w:rPr>
        <w:t xml:space="preserve"> проведении.</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b/>
          <w:sz w:val="24"/>
          <w:szCs w:val="24"/>
          <w:lang w:eastAsia="ru-RU"/>
        </w:rPr>
      </w:pPr>
      <w:r>
        <w:rPr>
          <w:rFonts w:ascii="PT Astra Serif" w:hAnsi="PT Astra Serif" w:eastAsia="Calibri"/>
          <w:sz w:val="24"/>
          <w:szCs w:val="24"/>
          <w:lang w:eastAsia="ru-RU"/>
        </w:rPr>
        <w:t xml:space="preserve">7.2. Сведения о популяризации официального сайта для размещения информации о государственных и муниципальных учреждениях в сети Интернет, на котором размеща</w:t>
      </w:r>
      <w:r>
        <w:rPr>
          <w:rFonts w:ascii="PT Astra Serif" w:hAnsi="PT Astra Serif" w:eastAsia="Calibri"/>
          <w:sz w:val="24"/>
          <w:szCs w:val="24"/>
          <w:lang w:eastAsia="ru-RU"/>
        </w:rPr>
        <w:t xml:space="preserve">е</w:t>
      </w:r>
      <w:r>
        <w:rPr>
          <w:rFonts w:ascii="PT Astra Serif" w:hAnsi="PT Astra Serif" w:eastAsia="Calibri"/>
          <w:sz w:val="24"/>
          <w:szCs w:val="24"/>
          <w:lang w:eastAsia="ru-RU"/>
        </w:rPr>
        <w:t xml:space="preserve">тся информация о результатах независимой оценки качества условий оказания услуг, а также отзывы граждан о качестве услуг, предоставляемых организациями социальной сферы.</w:t>
      </w:r>
      <w:r>
        <w:rPr>
          <w:rFonts w:ascii="PT Astra Serif" w:hAnsi="PT Astra Serif" w:eastAsia="Calibri"/>
          <w:b/>
          <w:sz w:val="24"/>
          <w:szCs w:val="24"/>
          <w:lang w:eastAsia="ru-RU"/>
        </w:rPr>
      </w:r>
      <w:r>
        <w:rPr>
          <w:rFonts w:ascii="PT Astra Serif" w:hAnsi="PT Astra Serif" w:eastAsia="Calibri"/>
          <w:b/>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Для популяризации сайта bus.gov.ru и увеличения его посещаемости в 2023 году приняты следующие меры:</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tabs>
          <w:tab w:val="left" w:pos="993" w:leader="none"/>
        </w:tabs>
        <w:rPr>
          <w:rFonts w:ascii="PT Astra Serif" w:hAnsi="PT Astra Serif" w:eastAsia="Calibri"/>
          <w:sz w:val="24"/>
          <w:szCs w:val="24"/>
          <w:lang w:eastAsia="ru-RU"/>
        </w:rPr>
      </w:pPr>
      <w:r>
        <w:rPr>
          <w:rFonts w:ascii="PT Astra Serif" w:hAnsi="PT Astra Serif" w:eastAsia="Calibri"/>
          <w:sz w:val="24"/>
          <w:szCs w:val="24"/>
          <w:lang w:eastAsia="ru-RU"/>
        </w:rPr>
        <w:t xml:space="preserve">1)</w:t>
      </w:r>
      <w:r>
        <w:rPr>
          <w:rFonts w:ascii="PT Astra Serif" w:hAnsi="PT Astra Serif" w:eastAsia="Calibri"/>
          <w:sz w:val="24"/>
          <w:szCs w:val="24"/>
          <w:lang w:eastAsia="ru-RU"/>
        </w:rPr>
        <w:tab/>
        <w:t xml:space="preserve">на официальных сайтах уполномоченных органов и подведомственных им организаций, а также на информационных стендах, официальных страницах в социальных сетях размещены ссылк</w:t>
      </w:r>
      <w:r>
        <w:rPr>
          <w:rFonts w:ascii="PT Astra Serif" w:hAnsi="PT Astra Serif" w:eastAsia="Calibri"/>
          <w:sz w:val="24"/>
          <w:szCs w:val="24"/>
          <w:lang w:eastAsia="ru-RU"/>
        </w:rPr>
        <w:t xml:space="preserve">и</w:t>
      </w:r>
      <w:r>
        <w:rPr>
          <w:rFonts w:ascii="PT Astra Serif" w:hAnsi="PT Astra Serif" w:eastAsia="Calibri"/>
          <w:sz w:val="24"/>
          <w:szCs w:val="24"/>
          <w:lang w:eastAsia="ru-RU"/>
        </w:rPr>
        <w:t xml:space="preserve"> на сайт bus.gov.ru, информация о независимой оценке качества условий оказания услуг и ссылка на результаты, по которой можно также оставить отзыв или выразить согласие (несогласие) с результатами независимой оценки качества;</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2) руководители организаций, осуществляющих образовательную деятельность в сфере физической культуры и спо</w:t>
      </w:r>
      <w:r>
        <w:rPr>
          <w:rFonts w:ascii="PT Astra Serif" w:hAnsi="PT Astra Serif" w:eastAsia="Calibri"/>
          <w:sz w:val="24"/>
          <w:szCs w:val="24"/>
          <w:lang w:eastAsia="ru-RU"/>
        </w:rPr>
        <w:t xml:space="preserve">рта, информируют получателей услуг о возможности участия в независимой оценке качества оказания образовательных услуг на родительских собраниях с распространением памяток о порядке проведения независимой оценки и формах участия в проверочных мероприятиях. </w:t>
      </w:r>
      <w:r>
        <w:rPr>
          <w:rFonts w:ascii="PT Astra Serif" w:hAnsi="PT Astra Serif" w:eastAsia="Times New Roman" w:cs="PT Astra Serif"/>
          <w:sz w:val="24"/>
          <w:szCs w:val="24"/>
          <w:lang w:eastAsia="ru-RU"/>
        </w:rPr>
        <w:t xml:space="preserve">По итогам года получателей услуг информируют о проведенных мероприятиях по устранению </w:t>
      </w:r>
      <w:r>
        <w:rPr>
          <w:rFonts w:ascii="PT Astra Serif" w:hAnsi="PT Astra Serif" w:eastAsia="Times New Roman"/>
          <w:sz w:val="24"/>
          <w:szCs w:val="24"/>
          <w:lang w:eastAsia="ru-RU"/>
        </w:rPr>
        <w:t xml:space="preserve">недостатков, выявленных в ходе независимой оценки качества</w:t>
      </w:r>
      <w:r>
        <w:rPr>
          <w:rFonts w:ascii="PT Astra Serif" w:hAnsi="PT Astra Serif" w:eastAsia="Times New Roman" w:cs="PT Astra Serif"/>
          <w:sz w:val="24"/>
          <w:szCs w:val="24"/>
          <w:lang w:eastAsia="ru-RU"/>
        </w:rPr>
        <w:t xml:space="preserve">.</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3) специалистами организаций социального обслуживания до получателей социальных услуг регулярно доводится информация о возможности осуществить оценку качества условий оказания услуг организациями социальной сферы на сайте bus.gov.ru; </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tabs>
          <w:tab w:val="left" w:pos="993" w:leader="none"/>
        </w:tabs>
        <w:rPr>
          <w:rFonts w:ascii="PT Astra Serif" w:hAnsi="PT Astra Serif" w:eastAsia="Calibri"/>
          <w:sz w:val="24"/>
          <w:szCs w:val="24"/>
          <w:lang w:eastAsia="ru-RU"/>
        </w:rPr>
      </w:pPr>
      <w:r>
        <w:rPr>
          <w:rFonts w:ascii="PT Astra Serif" w:hAnsi="PT Astra Serif" w:eastAsia="Calibri"/>
          <w:sz w:val="24"/>
          <w:szCs w:val="24"/>
          <w:lang w:eastAsia="ru-RU"/>
        </w:rPr>
        <w:t xml:space="preserve">4)</w:t>
      </w:r>
      <w:r>
        <w:rPr>
          <w:rFonts w:ascii="PT Astra Serif" w:hAnsi="PT Astra Serif" w:eastAsia="Calibri"/>
          <w:sz w:val="24"/>
          <w:szCs w:val="24"/>
          <w:lang w:eastAsia="ru-RU"/>
        </w:rPr>
        <w:tab/>
        <w:t xml:space="preserve">уполномоченными органами на постоянной основе проводится мониторинг посещения гражданами сайта bus.gov.ru и их от</w:t>
      </w:r>
      <w:r>
        <w:rPr>
          <w:rFonts w:ascii="PT Astra Serif" w:hAnsi="PT Astra Serif" w:eastAsia="Calibri"/>
          <w:sz w:val="24"/>
          <w:szCs w:val="24"/>
          <w:lang w:eastAsia="ru-RU"/>
        </w:rPr>
        <w:t xml:space="preserve">зывов об управленческой деятельности и организационно-кадровой работе. На отраслевых селекторных совещаниях с руководителями подведомственных организаций регулярно обращается внимание на необходимость постоянного анализа отзывов и информирования населения.</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widowControl w:val="off"/>
        <w:rPr>
          <w:rFonts w:ascii="PT Astra Serif" w:hAnsi="PT Astra Serif" w:eastAsia="Calibri"/>
          <w:sz w:val="24"/>
          <w:szCs w:val="24"/>
          <w:lang w:eastAsia="ru-RU"/>
        </w:rPr>
      </w:pPr>
      <w:r>
        <w:rPr>
          <w:rFonts w:ascii="PT Astra Serif" w:hAnsi="PT Astra Serif" w:eastAsia="Calibri"/>
          <w:sz w:val="24"/>
          <w:szCs w:val="24"/>
          <w:lang w:eastAsia="ru-RU"/>
        </w:rPr>
        <w:t xml:space="preserve">7.3. Сведения о проводимой работе по устранению выявленных в результате независимой оценки качества недостатков и </w:t>
      </w:r>
      <w:r>
        <w:rPr>
          <w:rFonts w:ascii="PT Astra Serif" w:hAnsi="PT Astra Serif" w:eastAsia="Calibri"/>
          <w:sz w:val="24"/>
          <w:szCs w:val="24"/>
          <w:lang w:eastAsia="ru-RU"/>
        </w:rPr>
        <w:t xml:space="preserve">об </w:t>
      </w:r>
      <w:r>
        <w:rPr>
          <w:rFonts w:ascii="PT Astra Serif" w:hAnsi="PT Astra Serif" w:eastAsia="Calibri"/>
          <w:sz w:val="24"/>
          <w:szCs w:val="24"/>
          <w:lang w:eastAsia="ru-RU"/>
        </w:rPr>
        <w:t xml:space="preserve">информировании граждан о принятых мерах.</w:t>
      </w:r>
      <w:r>
        <w:rPr>
          <w:rFonts w:ascii="PT Astra Serif" w:hAnsi="PT Astra Serif" w:eastAsia="Calibri"/>
          <w:sz w:val="24"/>
          <w:szCs w:val="24"/>
          <w:lang w:eastAsia="ru-RU"/>
        </w:rPr>
      </w:r>
      <w:r>
        <w:rPr>
          <w:rFonts w:ascii="PT Astra Serif" w:hAnsi="PT Astra Serif" w:eastAsia="Calibri"/>
          <w:sz w:val="24"/>
          <w:szCs w:val="24"/>
          <w:lang w:eastAsia="ru-RU"/>
        </w:rPr>
      </w:r>
    </w:p>
    <w:p>
      <w:pPr>
        <w:ind w:firstLine="709"/>
        <w:jc w:val="both"/>
        <w:spacing w:after="0" w:line="240" w:lineRule="auto"/>
        <w:tabs>
          <w:tab w:val="left" w:pos="851" w:leader="none"/>
        </w:tabs>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По итогам проведения независимой оценки качества условий оказания услуг в 2023 году руководителями организаций сформированы планы по устранению выявленных недостатков (далее – Планы) с учетом рекомендаций Общественных советов.</w:t>
      </w:r>
      <w:r>
        <w:rPr>
          <w:rFonts w:ascii="PT Astra Serif" w:hAnsi="PT Astra Serif" w:eastAsia="Times New Roman"/>
          <w:sz w:val="24"/>
          <w:szCs w:val="24"/>
          <w:lang w:eastAsia="ru-RU"/>
        </w:rPr>
      </w:r>
      <w:r>
        <w:rPr>
          <w:rFonts w:ascii="PT Astra Serif" w:hAnsi="PT Astra Serif" w:eastAsia="Times New Roman"/>
          <w:sz w:val="24"/>
          <w:szCs w:val="24"/>
          <w:lang w:eastAsia="ru-RU"/>
        </w:rPr>
      </w:r>
    </w:p>
    <w:p>
      <w:pPr>
        <w:ind w:firstLine="709"/>
        <w:jc w:val="both"/>
        <w:spacing w:after="0" w:line="240" w:lineRule="auto"/>
        <w:tabs>
          <w:tab w:val="left" w:pos="851" w:leader="none"/>
        </w:tabs>
        <w:rPr>
          <w:rFonts w:ascii="PT Astra Serif" w:hAnsi="PT Astra Serif"/>
          <w:sz w:val="24"/>
          <w:szCs w:val="24"/>
        </w:rPr>
      </w:pPr>
      <w:r>
        <w:rPr>
          <w:rFonts w:ascii="PT Astra Serif" w:hAnsi="PT Astra Serif"/>
          <w:sz w:val="24"/>
          <w:szCs w:val="24"/>
        </w:rPr>
        <w:t xml:space="preserve">Планы и информация об их исполнении размещаются на официальном сайте </w:t>
      </w:r>
      <w:r>
        <w:rPr>
          <w:rFonts w:ascii="PT Astra Serif" w:hAnsi="PT Astra Serif"/>
          <w:sz w:val="24"/>
          <w:szCs w:val="24"/>
          <w:lang w:val="en-US"/>
        </w:rPr>
        <w:t xml:space="preserve">bus</w:t>
      </w:r>
      <w:r>
        <w:rPr>
          <w:rFonts w:ascii="PT Astra Serif" w:hAnsi="PT Astra Serif"/>
          <w:sz w:val="24"/>
          <w:szCs w:val="24"/>
        </w:rPr>
        <w:t xml:space="preserve">.</w:t>
      </w:r>
      <w:r>
        <w:rPr>
          <w:rFonts w:ascii="PT Astra Serif" w:hAnsi="PT Astra Serif"/>
          <w:sz w:val="24"/>
          <w:szCs w:val="24"/>
          <w:lang w:val="en-US"/>
        </w:rPr>
        <w:t xml:space="preserve">gov</w:t>
      </w:r>
      <w:r>
        <w:rPr>
          <w:rFonts w:ascii="PT Astra Serif" w:hAnsi="PT Astra Serif"/>
          <w:sz w:val="24"/>
          <w:szCs w:val="24"/>
        </w:rPr>
        <w:t xml:space="preserve">.</w:t>
      </w:r>
      <w:r>
        <w:rPr>
          <w:rFonts w:ascii="PT Astra Serif" w:hAnsi="PT Astra Serif"/>
          <w:sz w:val="24"/>
          <w:szCs w:val="24"/>
          <w:lang w:val="en-US"/>
        </w:rPr>
        <w:t xml:space="preserve">ru</w:t>
      </w:r>
      <w:r>
        <w:rPr>
          <w:rFonts w:ascii="PT Astra Serif" w:hAnsi="PT Astra Serif"/>
          <w:sz w:val="24"/>
          <w:szCs w:val="24"/>
        </w:rPr>
        <w:t xml:space="preserve"> и официальных сайтах организаций Томской области. </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851" w:leader="none"/>
        </w:tabs>
        <w:rPr>
          <w:rFonts w:ascii="PT Astra Serif" w:hAnsi="PT Astra Serif"/>
          <w:sz w:val="24"/>
          <w:szCs w:val="24"/>
        </w:rPr>
      </w:pPr>
      <w:r>
        <w:rPr>
          <w:rFonts w:ascii="PT Astra Serif" w:hAnsi="PT Astra Serif"/>
          <w:sz w:val="24"/>
          <w:szCs w:val="24"/>
        </w:rPr>
        <w:t xml:space="preserve">В сфере образования при оценке эффективности работы руководителей организаций рекомендовано учитывать результаты независимой оценки качества условий </w:t>
      </w:r>
      <w:r>
        <w:rPr>
          <w:rFonts w:ascii="PT Astra Serif" w:hAnsi="PT Astra Serif" w:eastAsia="Calibri"/>
          <w:sz w:val="24"/>
          <w:szCs w:val="24"/>
          <w:lang w:eastAsia="ru-RU"/>
        </w:rPr>
        <w:t xml:space="preserve">оказания услуг </w:t>
      </w:r>
      <w:r>
        <w:rPr>
          <w:rFonts w:ascii="PT Astra Serif" w:hAnsi="PT Astra Serif"/>
          <w:sz w:val="24"/>
          <w:szCs w:val="24"/>
        </w:rPr>
        <w:t xml:space="preserve">и выполнение плана по устранению недостатков, выявленных в ходе оценки.</w:t>
      </w:r>
      <w:r>
        <w:rPr>
          <w:rFonts w:ascii="PT Astra Serif" w:hAnsi="PT Astra Serif"/>
          <w:sz w:val="24"/>
          <w:szCs w:val="24"/>
        </w:rPr>
      </w:r>
      <w:r>
        <w:rPr>
          <w:rFonts w:ascii="PT Astra Serif" w:hAnsi="PT Astra Serif"/>
          <w:sz w:val="24"/>
          <w:szCs w:val="24"/>
        </w:rPr>
      </w:r>
    </w:p>
    <w:p>
      <w:pPr>
        <w:ind w:firstLine="709"/>
        <w:jc w:val="both"/>
        <w:spacing w:after="0" w:line="240" w:lineRule="auto"/>
        <w:tabs>
          <w:tab w:val="left" w:pos="851" w:leader="none"/>
        </w:tabs>
        <w:rPr>
          <w:rFonts w:ascii="PT Astra Serif" w:hAnsi="PT Astra Serif"/>
          <w:sz w:val="24"/>
          <w:szCs w:val="24"/>
        </w:rPr>
      </w:pPr>
      <w:r>
        <w:rPr>
          <w:rFonts w:ascii="PT Astra Serif" w:hAnsi="PT Astra Serif"/>
          <w:sz w:val="24"/>
          <w:szCs w:val="24"/>
        </w:rPr>
        <w:t xml:space="preserve">Мероприятия по устранению недостатков, выявленных в результате независимой оценки качества условий оказания услуг</w:t>
      </w:r>
      <w:r>
        <w:rPr>
          <w:rFonts w:ascii="PT Astra Serif" w:hAnsi="PT Astra Serif"/>
          <w:sz w:val="24"/>
          <w:szCs w:val="24"/>
        </w:rPr>
        <w:t xml:space="preserve">,</w:t>
      </w:r>
      <w:r>
        <w:rPr>
          <w:rFonts w:ascii="PT Astra Serif" w:hAnsi="PT Astra Serif"/>
          <w:sz w:val="24"/>
          <w:szCs w:val="24"/>
        </w:rPr>
        <w:t xml:space="preserve"> осуществля</w:t>
      </w:r>
      <w:r>
        <w:rPr>
          <w:rFonts w:ascii="PT Astra Serif" w:hAnsi="PT Astra Serif"/>
          <w:sz w:val="24"/>
          <w:szCs w:val="24"/>
        </w:rPr>
        <w:t xml:space="preserve">ю</w:t>
      </w:r>
      <w:r>
        <w:rPr>
          <w:rFonts w:ascii="PT Astra Serif" w:hAnsi="PT Astra Serif"/>
          <w:sz w:val="24"/>
          <w:szCs w:val="24"/>
        </w:rPr>
        <w:t xml:space="preserve">тся в установленные </w:t>
      </w:r>
      <w:r>
        <w:rPr>
          <w:rFonts w:ascii="PT Astra Serif" w:hAnsi="PT Astra Serif"/>
          <w:sz w:val="24"/>
          <w:szCs w:val="24"/>
        </w:rPr>
        <w:t xml:space="preserve">П</w:t>
      </w:r>
      <w:r>
        <w:rPr>
          <w:rFonts w:ascii="PT Astra Serif" w:hAnsi="PT Astra Serif"/>
          <w:sz w:val="24"/>
          <w:szCs w:val="24"/>
        </w:rPr>
        <w:t xml:space="preserve">ланом сроки.</w:t>
      </w:r>
      <w:r>
        <w:rPr>
          <w:rFonts w:ascii="PT Astra Serif" w:hAnsi="PT Astra Serif"/>
          <w:sz w:val="24"/>
          <w:szCs w:val="24"/>
        </w:rPr>
      </w:r>
      <w:r>
        <w:rPr>
          <w:rFonts w:ascii="PT Astra Serif" w:hAnsi="PT Astra Serif"/>
          <w:sz w:val="24"/>
          <w:szCs w:val="24"/>
        </w:rPr>
      </w:r>
    </w:p>
    <w:p>
      <w:pPr>
        <w:ind w:firstLine="709"/>
        <w:jc w:val="both"/>
        <w:spacing w:after="0" w:line="240" w:lineRule="auto"/>
        <w:widowControl w:val="off"/>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firstLine="709"/>
        <w:jc w:val="both"/>
        <w:spacing w:after="0" w:line="240" w:lineRule="auto"/>
        <w:widowControl w:val="off"/>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pStyle w:val="1169"/>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sectPr>
      <w:footnotePr/>
      <w:endnotePr/>
      <w:type w:val="nextPage"/>
      <w:pgSz w:w="11906" w:h="16838" w:orient="portrait"/>
      <w:pgMar w:top="1134" w:right="850" w:bottom="1134"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Symbol">
    <w:panose1 w:val="05050102010706020507"/>
  </w:font>
  <w:font w:name="Wingdings">
    <w:panose1 w:val="05000000000000000000"/>
  </w:font>
  <w:font w:name="Cambria">
    <w:panose1 w:val="02040503050406030204"/>
  </w:font>
  <w:font w:name="Courier New">
    <w:panose1 w:val="02070309020205020404"/>
  </w:font>
  <w:font w:name="Vrinda">
    <w:panose1 w:val="020B0502040204020203"/>
  </w:font>
  <w:font w:name="Octava">
    <w:panose1 w:val="05050102010205020202"/>
  </w:font>
  <w:font w:name="Calibri">
    <w:panose1 w:val="020F0502020204030204"/>
  </w:font>
  <w:font w:name="JournalC">
    <w:panose1 w:val="05050102010205020202"/>
  </w:font>
  <w:font w:name="Tahoma">
    <w:panose1 w:val="020B0604030504040204"/>
  </w:font>
  <w:font w:name="Times New Roman">
    <w:panose1 w:val="02020603050405020304"/>
  </w:font>
  <w:font w:name="PT Astra Serif">
    <w:panose1 w:val="020A0603040505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01392900"/>
      <w:docPartObj>
        <w:docPartGallery w:val="Page Numbers (Bottom of Page)"/>
        <w:docPartUnique w:val="true"/>
      </w:docPartObj>
      <w:rPr/>
    </w:sdtPr>
    <w:sdtContent>
      <w:p>
        <w:pPr>
          <w:pStyle w:val="1158"/>
          <w:jc w:val="right"/>
        </w:pPr>
        <w:r>
          <w:fldChar w:fldCharType="begin"/>
        </w:r>
        <w:r>
          <w:instrText xml:space="preserve">PAGE   \* MERGEFORMAT</w:instrText>
        </w:r>
        <w:r>
          <w:fldChar w:fldCharType="separate"/>
        </w:r>
        <w:r>
          <w:t xml:space="preserve">10</w:t>
        </w:r>
        <w:r>
          <w:fldChar w:fldCharType="end"/>
        </w:r>
        <w:r/>
      </w:p>
    </w:sdtContent>
  </w:sdt>
  <w:p>
    <w:pPr>
      <w:pStyle w:val="11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136"/>
        <w:jc w:val="both"/>
      </w:pPr>
      <w:r>
        <w:rPr>
          <w:rStyle w:val="1138"/>
        </w:rPr>
        <w:footnoteRef/>
      </w:r>
      <w:r>
        <w:t xml:space="preserve"> Здесь и далее значения ВРП за 2023  год – расчетная оценка Департамента экономики Администрации Томской области.</w:t>
      </w:r>
      <w:r/>
    </w:p>
  </w:footnote>
  <w:footnote w:id="3">
    <w:p>
      <w:pPr>
        <w:pStyle w:val="1139"/>
      </w:pPr>
      <w:r>
        <w:rPr>
          <w:rStyle w:val="1138"/>
        </w:rPr>
        <w:footnoteRef/>
      </w:r>
      <w:r>
        <w:t xml:space="preserve"> </w:t>
      </w:r>
      <w:r>
        <w:rPr>
          <w:sz w:val="18"/>
          <w:szCs w:val="18"/>
        </w:rPr>
        <w:t xml:space="preserve">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r/>
    </w:p>
  </w:footnote>
  <w:footnote w:id="4">
    <w:p>
      <w:pPr>
        <w:pStyle w:val="1139"/>
        <w:jc w:val="both"/>
      </w:pPr>
      <w:r>
        <w:rPr>
          <w:rStyle w:val="1138"/>
        </w:rPr>
        <w:footnoteRef/>
      </w:r>
      <w:r>
        <w:t xml:space="preserve"> </w:t>
      </w:r>
      <w:r>
        <w:rPr>
          <w:sz w:val="18"/>
          <w:szCs w:val="18"/>
        </w:rPr>
        <w:t xml:space="preserve">см. Приложение № 5. Информация о ходе реализации региональных проектов Томской области, направленных</w:t>
      </w:r>
      <w:r>
        <w:rPr>
          <w:sz w:val="18"/>
          <w:szCs w:val="18"/>
        </w:rPr>
        <w:br/>
        <w:t xml:space="preserve">на достижение национальных целей и стратегических задач развития Российской Федерации на период до 2024 года.</w:t>
      </w:r>
      <w:r/>
    </w:p>
  </w:footnote>
  <w:footnote w:id="5">
    <w:p>
      <w:pPr>
        <w:pStyle w:val="1139"/>
        <w:jc w:val="both"/>
      </w:pPr>
      <w:r>
        <w:rPr>
          <w:rStyle w:val="1138"/>
        </w:rPr>
        <w:footnoteRef/>
      </w:r>
      <w:r>
        <w:t xml:space="preserve"> </w:t>
      </w:r>
      <w:r>
        <w:rPr>
          <w:sz w:val="18"/>
          <w:szCs w:val="18"/>
        </w:rPr>
        <w:t xml:space="preserve">см. Приложение № 5. Информация о ходе реализации региональных проектов Томской области, направленных</w:t>
      </w:r>
      <w:r>
        <w:rPr>
          <w:sz w:val="18"/>
          <w:szCs w:val="18"/>
        </w:rPr>
        <w:br/>
        <w:t xml:space="preserve">на достижение национальных целей и стратегических задач развития Российской Федерации на период до 2024 года.</w:t>
      </w:r>
      <w:r/>
    </w:p>
  </w:footnote>
  <w:footnote w:id="6">
    <w:p>
      <w:pPr>
        <w:pStyle w:val="1139"/>
        <w:jc w:val="both"/>
      </w:pPr>
      <w:r>
        <w:rPr>
          <w:rStyle w:val="1138"/>
        </w:rPr>
        <w:footnoteRef/>
      </w:r>
      <w:r>
        <w:t xml:space="preserve"> </w:t>
      </w:r>
      <w:r>
        <w:rPr>
          <w:sz w:val="18"/>
          <w:szCs w:val="18"/>
        </w:rPr>
        <w:t xml:space="preserve">см. Приложение № 5. Информация о ходе реализации региональных проектов Томской области, направленных</w:t>
      </w:r>
      <w:r>
        <w:rPr>
          <w:sz w:val="18"/>
          <w:szCs w:val="18"/>
        </w:rPr>
        <w:br/>
        <w:t xml:space="preserve"> на достижение национальных целей и стратегических задач развития Российской Федерации на период до 2024 года.</w:t>
      </w:r>
      <w:r/>
    </w:p>
  </w:footnote>
  <w:footnote w:id="7">
    <w:p>
      <w:pPr>
        <w:pStyle w:val="1139"/>
        <w:jc w:val="both"/>
      </w:pPr>
      <w:r>
        <w:rPr>
          <w:rStyle w:val="1138"/>
        </w:rPr>
        <w:footnoteRef/>
      </w:r>
      <w:r>
        <w:t xml:space="preserve"> </w:t>
      </w:r>
      <w:r>
        <w:rPr>
          <w:sz w:val="18"/>
          <w:szCs w:val="18"/>
        </w:rPr>
        <w:t xml:space="preserve">см. Приложение № 5. Информация о ходе реализации региональных проектов Томской области, направленных</w:t>
      </w:r>
      <w:r>
        <w:rPr>
          <w:sz w:val="18"/>
          <w:szCs w:val="18"/>
        </w:rPr>
        <w:br/>
        <w:t xml:space="preserve">на достижение национальных целей и стратегических задач развития Российской Федерации на период до 2024 года.</w:t>
      </w:r>
      <w:r/>
    </w:p>
  </w:footnote>
  <w:footnote w:id="8">
    <w:p>
      <w:pPr>
        <w:pStyle w:val="1139"/>
        <w:jc w:val="both"/>
      </w:pPr>
      <w:r>
        <w:rPr>
          <w:rStyle w:val="1138"/>
        </w:rPr>
        <w:footnoteRef/>
      </w:r>
      <w:r>
        <w:t xml:space="preserve"> </w:t>
      </w:r>
      <w:r>
        <w:rPr>
          <w:sz w:val="18"/>
          <w:szCs w:val="18"/>
        </w:rPr>
        <w:t xml:space="preserve">см. Приложение № 5. Информация о ходе реализации региональных проектов Томской области, направленных</w:t>
      </w:r>
      <w:r>
        <w:rPr>
          <w:sz w:val="18"/>
          <w:szCs w:val="18"/>
        </w:rPr>
        <w:br/>
        <w:t xml:space="preserve"> на достижение национальных целей и стратегических задач развития Российской Федерации на период до 2024 года.</w:t>
      </w:r>
      <w:r/>
    </w:p>
  </w:footnote>
  <w:footnote w:id="9">
    <w:p>
      <w:pPr>
        <w:pStyle w:val="1139"/>
        <w:jc w:val="both"/>
      </w:pPr>
      <w:r>
        <w:rPr>
          <w:rStyle w:val="1138"/>
        </w:rPr>
        <w:footnoteRef/>
      </w:r>
      <w:r>
        <w:t xml:space="preserve"> </w:t>
      </w:r>
      <w:r>
        <w:rPr>
          <w:sz w:val="18"/>
          <w:szCs w:val="18"/>
        </w:rPr>
        <w:t xml:space="preserve">см. Приложение № 5. Информация о ходе реализации региональных проектов Томской области, направленных</w:t>
      </w:r>
      <w:r>
        <w:rPr>
          <w:sz w:val="18"/>
          <w:szCs w:val="18"/>
        </w:rPr>
        <w:br/>
        <w:t xml:space="preserve">на достижение национальных целей и стратегических задач развития Российской Федерации на период до 2024 года</w:t>
      </w:r>
      <w:r/>
    </w:p>
  </w:footnote>
  <w:footnote w:id="10">
    <w:p>
      <w:pPr>
        <w:pStyle w:val="1139"/>
        <w:jc w:val="both"/>
      </w:pPr>
      <w:r>
        <w:rPr>
          <w:rStyle w:val="1138"/>
        </w:rPr>
        <w:footnoteRef/>
      </w:r>
      <w:r>
        <w:t xml:space="preserve"> </w:t>
      </w:r>
      <w:r>
        <w:rPr>
          <w:sz w:val="18"/>
          <w:szCs w:val="18"/>
        </w:rPr>
        <w:t xml:space="preserve">см. Приложение № 5. Информация о ходе реализации региональных проектов Томской области, направленных</w:t>
      </w:r>
      <w:r>
        <w:rPr>
          <w:sz w:val="18"/>
          <w:szCs w:val="18"/>
        </w:rPr>
        <w:br/>
        <w:t xml:space="preserve">на достижение национальных целей и стратегических задач развития Российской Федерации на период до 2024 года.</w:t>
      </w:r>
      <w:r/>
    </w:p>
  </w:footnote>
  <w:footnote w:id="11">
    <w:p>
      <w:pPr>
        <w:pStyle w:val="1139"/>
        <w:jc w:val="both"/>
      </w:pPr>
      <w:r>
        <w:rPr>
          <w:rStyle w:val="1138"/>
        </w:rPr>
        <w:footnoteRef/>
      </w:r>
      <w:r>
        <w:t xml:space="preserve"> </w:t>
      </w:r>
      <w:r>
        <w:rPr>
          <w:sz w:val="18"/>
          <w:szCs w:val="18"/>
        </w:rPr>
        <w:t xml:space="preserve">см. Приложение № 5. Информация о ходе реализации региональных проектов Томской области, направленных</w:t>
      </w:r>
      <w:r>
        <w:rPr>
          <w:sz w:val="18"/>
          <w:szCs w:val="18"/>
        </w:rPr>
        <w:br/>
        <w:t xml:space="preserve">на достижение национальных целей и стратегических задач развития Российской Федерации на период до 2024 года.</w:t>
      </w:r>
      <w:r/>
    </w:p>
  </w:footnote>
  <w:footnote w:id="12">
    <w:p>
      <w:pPr>
        <w:pStyle w:val="1139"/>
        <w:jc w:val="both"/>
      </w:pPr>
      <w:r>
        <w:rPr>
          <w:rStyle w:val="1138"/>
        </w:rPr>
        <w:footnoteRef/>
      </w:r>
      <w:r>
        <w:t xml:space="preserve"> </w:t>
      </w:r>
      <w:r>
        <w:rPr>
          <w:sz w:val="18"/>
          <w:szCs w:val="18"/>
        </w:rPr>
        <w:t xml:space="preserve">см. Приложение № 5. Информация о ходе реализации региональных проектов Томской области, направленных</w:t>
      </w:r>
      <w:r>
        <w:rPr>
          <w:sz w:val="18"/>
          <w:szCs w:val="18"/>
        </w:rPr>
        <w:br/>
        <w:t xml:space="preserve">на достижение национальных целей и стратегических задач развития Российской Федерации на период до 2024 года.</w:t>
      </w:r>
      <w:r/>
    </w:p>
  </w:footnote>
  <w:footnote w:id="13">
    <w:p>
      <w:pPr>
        <w:pStyle w:val="1139"/>
        <w:jc w:val="both"/>
      </w:pPr>
      <w:r>
        <w:rPr>
          <w:rStyle w:val="1138"/>
        </w:rPr>
        <w:footnoteRef/>
      </w:r>
      <w:r>
        <w:t xml:space="preserve"> </w:t>
      </w:r>
      <w:r>
        <w:rPr>
          <w:sz w:val="18"/>
          <w:szCs w:val="18"/>
        </w:rPr>
        <w:t xml:space="preserve">см. Приложение № 5. Информация о ходе реализации региональных проектов Томской области, направленных</w:t>
      </w:r>
      <w:r>
        <w:rPr>
          <w:sz w:val="18"/>
          <w:szCs w:val="18"/>
        </w:rPr>
        <w:br/>
        <w:t xml:space="preserve">на достижение национальных целей и стратегических задач развития Российской Федерации на период до 2024 года.</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27" w:hanging="36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2">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3">
    <w:multiLevelType w:val="hybridMultilevel"/>
    <w:lvl w:ilvl="0">
      <w:start w:val="2"/>
      <w:numFmt w:val="bullet"/>
      <w:isLgl w:val="false"/>
      <w:suff w:val="tab"/>
      <w:lvlText w:val="‒"/>
      <w:lvlJc w:val="left"/>
      <w:pPr>
        <w:ind w:left="720" w:hanging="360"/>
      </w:pPr>
      <w:rPr>
        <w:rFonts w:hint="default"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4">
    <w:multiLevelType w:val="hybridMultilevel"/>
    <w:lvl w:ilvl="0">
      <w:start w:val="1"/>
      <w:numFmt w:val="bullet"/>
      <w:isLgl w:val="false"/>
      <w:suff w:val="tab"/>
      <w:lvlText w:val="−"/>
      <w:lvlJc w:val="left"/>
      <w:pPr>
        <w:ind w:left="928" w:hanging="360"/>
      </w:pPr>
      <w:rPr>
        <w:rFonts w:hint="default" w:ascii="Times New Roman" w:hAnsi="Times New Roman" w:cs="Times New Roman"/>
      </w:rPr>
    </w:lvl>
    <w:lvl w:ilvl="1">
      <w:start w:val="1"/>
      <w:numFmt w:val="bullet"/>
      <w:isLgl w:val="false"/>
      <w:suff w:val="tab"/>
      <w:lvlText w:val="o"/>
      <w:lvlJc w:val="left"/>
      <w:pPr>
        <w:ind w:left="2302" w:hanging="360"/>
      </w:pPr>
      <w:rPr>
        <w:rFonts w:hint="default" w:ascii="Courier New" w:hAnsi="Courier New" w:cs="Courier New"/>
      </w:rPr>
    </w:lvl>
    <w:lvl w:ilvl="2">
      <w:start w:val="1"/>
      <w:numFmt w:val="bullet"/>
      <w:isLgl w:val="false"/>
      <w:suff w:val="tab"/>
      <w:lvlText w:val=""/>
      <w:lvlJc w:val="left"/>
      <w:pPr>
        <w:ind w:left="3022" w:hanging="360"/>
      </w:pPr>
      <w:rPr>
        <w:rFonts w:hint="default" w:ascii="Wingdings" w:hAnsi="Wingdings"/>
      </w:rPr>
    </w:lvl>
    <w:lvl w:ilvl="3">
      <w:start w:val="1"/>
      <w:numFmt w:val="bullet"/>
      <w:isLgl w:val="false"/>
      <w:suff w:val="tab"/>
      <w:lvlText w:val=""/>
      <w:lvlJc w:val="left"/>
      <w:pPr>
        <w:ind w:left="3742" w:hanging="360"/>
      </w:pPr>
      <w:rPr>
        <w:rFonts w:hint="default" w:ascii="Symbol" w:hAnsi="Symbol"/>
      </w:rPr>
    </w:lvl>
    <w:lvl w:ilvl="4">
      <w:start w:val="1"/>
      <w:numFmt w:val="bullet"/>
      <w:isLgl w:val="false"/>
      <w:suff w:val="tab"/>
      <w:lvlText w:val="o"/>
      <w:lvlJc w:val="left"/>
      <w:pPr>
        <w:ind w:left="4462" w:hanging="360"/>
      </w:pPr>
      <w:rPr>
        <w:rFonts w:hint="default" w:ascii="Courier New" w:hAnsi="Courier New" w:cs="Courier New"/>
      </w:rPr>
    </w:lvl>
    <w:lvl w:ilvl="5">
      <w:start w:val="1"/>
      <w:numFmt w:val="bullet"/>
      <w:isLgl w:val="false"/>
      <w:suff w:val="tab"/>
      <w:lvlText w:val=""/>
      <w:lvlJc w:val="left"/>
      <w:pPr>
        <w:ind w:left="5182" w:hanging="360"/>
      </w:pPr>
      <w:rPr>
        <w:rFonts w:hint="default" w:ascii="Wingdings" w:hAnsi="Wingdings"/>
      </w:rPr>
    </w:lvl>
    <w:lvl w:ilvl="6">
      <w:start w:val="1"/>
      <w:numFmt w:val="bullet"/>
      <w:isLgl w:val="false"/>
      <w:suff w:val="tab"/>
      <w:lvlText w:val=""/>
      <w:lvlJc w:val="left"/>
      <w:pPr>
        <w:ind w:left="5902" w:hanging="360"/>
      </w:pPr>
      <w:rPr>
        <w:rFonts w:hint="default" w:ascii="Symbol" w:hAnsi="Symbol"/>
      </w:rPr>
    </w:lvl>
    <w:lvl w:ilvl="7">
      <w:start w:val="1"/>
      <w:numFmt w:val="bullet"/>
      <w:isLgl w:val="false"/>
      <w:suff w:val="tab"/>
      <w:lvlText w:val="o"/>
      <w:lvlJc w:val="left"/>
      <w:pPr>
        <w:ind w:left="6622" w:hanging="360"/>
      </w:pPr>
      <w:rPr>
        <w:rFonts w:hint="default" w:ascii="Courier New" w:hAnsi="Courier New" w:cs="Courier New"/>
      </w:rPr>
    </w:lvl>
    <w:lvl w:ilvl="8">
      <w:start w:val="1"/>
      <w:numFmt w:val="bullet"/>
      <w:isLgl w:val="false"/>
      <w:suff w:val="tab"/>
      <w:lvlText w:val=""/>
      <w:lvlJc w:val="left"/>
      <w:pPr>
        <w:ind w:left="7342" w:hanging="360"/>
      </w:pPr>
      <w:rPr>
        <w:rFonts w:hint="default" w:ascii="Wingdings" w:hAnsi="Wingdings"/>
      </w:rPr>
    </w:lvl>
  </w:abstractNum>
  <w:abstractNum w:abstractNumId="5">
    <w:multiLevelType w:val="hybridMultilevel"/>
    <w:lvl w:ilvl="0">
      <w:start w:val="1"/>
      <w:numFmt w:val="decimal"/>
      <w:isLgl w:val="false"/>
      <w:suff w:val="tab"/>
      <w:lvlText w:val="%1."/>
      <w:lvlJc w:val="left"/>
      <w:pPr>
        <w:ind w:left="927" w:hanging="36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6">
    <w:multiLevelType w:val="hybridMultilevel"/>
    <w:lvl w:ilvl="0">
      <w:start w:val="2"/>
      <w:numFmt w:val="bullet"/>
      <w:isLgl w:val="false"/>
      <w:suff w:val="tab"/>
      <w:lvlText w:val="‒"/>
      <w:lvlJc w:val="left"/>
      <w:pPr>
        <w:ind w:left="1287" w:hanging="360"/>
      </w:pPr>
      <w:rPr>
        <w:rFonts w:hint="default" w:ascii="Times New Roman" w:hAnsi="Times New Roman" w:eastAsia="Times New Roman" w:cs="Times New Roman"/>
      </w:rPr>
    </w:lvl>
    <w:lvl w:ilvl="1">
      <w:start w:val="1"/>
      <w:numFmt w:val="bullet"/>
      <w:isLgl w:val="false"/>
      <w:suff w:val="tab"/>
      <w:lvlText w:val="o"/>
      <w:lvlJc w:val="left"/>
      <w:pPr>
        <w:ind w:left="2007" w:hanging="360"/>
      </w:pPr>
      <w:rPr>
        <w:rFonts w:hint="default" w:ascii="Courier New" w:hAnsi="Courier New" w:cs="Courier New"/>
      </w:rPr>
    </w:lvl>
    <w:lvl w:ilvl="2">
      <w:start w:val="1"/>
      <w:numFmt w:val="bullet"/>
      <w:isLgl w:val="false"/>
      <w:suff w:val="tab"/>
      <w:lvlText w:val=""/>
      <w:lvlJc w:val="left"/>
      <w:pPr>
        <w:ind w:left="2727" w:hanging="360"/>
      </w:pPr>
      <w:rPr>
        <w:rFonts w:hint="default" w:ascii="Wingdings" w:hAnsi="Wingdings"/>
      </w:rPr>
    </w:lvl>
    <w:lvl w:ilvl="3">
      <w:start w:val="1"/>
      <w:numFmt w:val="bullet"/>
      <w:isLgl w:val="false"/>
      <w:suff w:val="tab"/>
      <w:lvlText w:val=""/>
      <w:lvlJc w:val="left"/>
      <w:pPr>
        <w:ind w:left="3447" w:hanging="360"/>
      </w:pPr>
      <w:rPr>
        <w:rFonts w:hint="default" w:ascii="Symbol" w:hAnsi="Symbol"/>
      </w:rPr>
    </w:lvl>
    <w:lvl w:ilvl="4">
      <w:start w:val="1"/>
      <w:numFmt w:val="bullet"/>
      <w:isLgl w:val="false"/>
      <w:suff w:val="tab"/>
      <w:lvlText w:val="o"/>
      <w:lvlJc w:val="left"/>
      <w:pPr>
        <w:ind w:left="4167" w:hanging="360"/>
      </w:pPr>
      <w:rPr>
        <w:rFonts w:hint="default" w:ascii="Courier New" w:hAnsi="Courier New" w:cs="Courier New"/>
      </w:rPr>
    </w:lvl>
    <w:lvl w:ilvl="5">
      <w:start w:val="1"/>
      <w:numFmt w:val="bullet"/>
      <w:isLgl w:val="false"/>
      <w:suff w:val="tab"/>
      <w:lvlText w:val=""/>
      <w:lvlJc w:val="left"/>
      <w:pPr>
        <w:ind w:left="4887" w:hanging="360"/>
      </w:pPr>
      <w:rPr>
        <w:rFonts w:hint="default" w:ascii="Wingdings" w:hAnsi="Wingdings"/>
      </w:rPr>
    </w:lvl>
    <w:lvl w:ilvl="6">
      <w:start w:val="1"/>
      <w:numFmt w:val="bullet"/>
      <w:isLgl w:val="false"/>
      <w:suff w:val="tab"/>
      <w:lvlText w:val=""/>
      <w:lvlJc w:val="left"/>
      <w:pPr>
        <w:ind w:left="5607" w:hanging="360"/>
      </w:pPr>
      <w:rPr>
        <w:rFonts w:hint="default" w:ascii="Symbol" w:hAnsi="Symbol"/>
      </w:rPr>
    </w:lvl>
    <w:lvl w:ilvl="7">
      <w:start w:val="1"/>
      <w:numFmt w:val="bullet"/>
      <w:isLgl w:val="false"/>
      <w:suff w:val="tab"/>
      <w:lvlText w:val="o"/>
      <w:lvlJc w:val="left"/>
      <w:pPr>
        <w:ind w:left="6327" w:hanging="360"/>
      </w:pPr>
      <w:rPr>
        <w:rFonts w:hint="default" w:ascii="Courier New" w:hAnsi="Courier New" w:cs="Courier New"/>
      </w:rPr>
    </w:lvl>
    <w:lvl w:ilvl="8">
      <w:start w:val="1"/>
      <w:numFmt w:val="bullet"/>
      <w:isLgl w:val="false"/>
      <w:suff w:val="tab"/>
      <w:lvlText w:val=""/>
      <w:lvlJc w:val="left"/>
      <w:pPr>
        <w:ind w:left="7047" w:hanging="360"/>
      </w:pPr>
      <w:rPr>
        <w:rFonts w:hint="default" w:ascii="Wingdings" w:hAnsi="Wingdings"/>
      </w:rPr>
    </w:lvl>
  </w:abstractNum>
  <w:abstractNum w:abstractNumId="7">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8">
    <w:multiLevelType w:val="hybridMultilevel"/>
    <w:lvl w:ilvl="0">
      <w:start w:val="2"/>
      <w:numFmt w:val="bullet"/>
      <w:isLgl w:val="false"/>
      <w:suff w:val="tab"/>
      <w:lvlText w:val="‒"/>
      <w:lvlJc w:val="left"/>
      <w:pPr>
        <w:ind w:left="1287" w:hanging="360"/>
      </w:pPr>
      <w:rPr>
        <w:rFonts w:hint="default" w:ascii="Times New Roman" w:hAnsi="Times New Roman" w:eastAsia="Times New Roman" w:cs="Times New Roman"/>
      </w:rPr>
    </w:lvl>
    <w:lvl w:ilvl="1">
      <w:start w:val="1"/>
      <w:numFmt w:val="bullet"/>
      <w:isLgl w:val="false"/>
      <w:suff w:val="tab"/>
      <w:lvlText w:val="o"/>
      <w:lvlJc w:val="left"/>
      <w:pPr>
        <w:ind w:left="2007" w:hanging="360"/>
      </w:pPr>
      <w:rPr>
        <w:rFonts w:hint="default" w:ascii="Courier New" w:hAnsi="Courier New" w:cs="Courier New"/>
      </w:rPr>
    </w:lvl>
    <w:lvl w:ilvl="2">
      <w:start w:val="1"/>
      <w:numFmt w:val="bullet"/>
      <w:isLgl w:val="false"/>
      <w:suff w:val="tab"/>
      <w:lvlText w:val=""/>
      <w:lvlJc w:val="left"/>
      <w:pPr>
        <w:ind w:left="2727" w:hanging="360"/>
      </w:pPr>
      <w:rPr>
        <w:rFonts w:hint="default" w:ascii="Wingdings" w:hAnsi="Wingdings"/>
      </w:rPr>
    </w:lvl>
    <w:lvl w:ilvl="3">
      <w:start w:val="1"/>
      <w:numFmt w:val="bullet"/>
      <w:isLgl w:val="false"/>
      <w:suff w:val="tab"/>
      <w:lvlText w:val=""/>
      <w:lvlJc w:val="left"/>
      <w:pPr>
        <w:ind w:left="3447" w:hanging="360"/>
      </w:pPr>
      <w:rPr>
        <w:rFonts w:hint="default" w:ascii="Symbol" w:hAnsi="Symbol"/>
      </w:rPr>
    </w:lvl>
    <w:lvl w:ilvl="4">
      <w:start w:val="1"/>
      <w:numFmt w:val="bullet"/>
      <w:isLgl w:val="false"/>
      <w:suff w:val="tab"/>
      <w:lvlText w:val="o"/>
      <w:lvlJc w:val="left"/>
      <w:pPr>
        <w:ind w:left="4167" w:hanging="360"/>
      </w:pPr>
      <w:rPr>
        <w:rFonts w:hint="default" w:ascii="Courier New" w:hAnsi="Courier New" w:cs="Courier New"/>
      </w:rPr>
    </w:lvl>
    <w:lvl w:ilvl="5">
      <w:start w:val="1"/>
      <w:numFmt w:val="bullet"/>
      <w:isLgl w:val="false"/>
      <w:suff w:val="tab"/>
      <w:lvlText w:val=""/>
      <w:lvlJc w:val="left"/>
      <w:pPr>
        <w:ind w:left="4887" w:hanging="360"/>
      </w:pPr>
      <w:rPr>
        <w:rFonts w:hint="default" w:ascii="Wingdings" w:hAnsi="Wingdings"/>
      </w:rPr>
    </w:lvl>
    <w:lvl w:ilvl="6">
      <w:start w:val="1"/>
      <w:numFmt w:val="bullet"/>
      <w:isLgl w:val="false"/>
      <w:suff w:val="tab"/>
      <w:lvlText w:val=""/>
      <w:lvlJc w:val="left"/>
      <w:pPr>
        <w:ind w:left="5607" w:hanging="360"/>
      </w:pPr>
      <w:rPr>
        <w:rFonts w:hint="default" w:ascii="Symbol" w:hAnsi="Symbol"/>
      </w:rPr>
    </w:lvl>
    <w:lvl w:ilvl="7">
      <w:start w:val="1"/>
      <w:numFmt w:val="bullet"/>
      <w:isLgl w:val="false"/>
      <w:suff w:val="tab"/>
      <w:lvlText w:val="o"/>
      <w:lvlJc w:val="left"/>
      <w:pPr>
        <w:ind w:left="6327" w:hanging="360"/>
      </w:pPr>
      <w:rPr>
        <w:rFonts w:hint="default" w:ascii="Courier New" w:hAnsi="Courier New" w:cs="Courier New"/>
      </w:rPr>
    </w:lvl>
    <w:lvl w:ilvl="8">
      <w:start w:val="1"/>
      <w:numFmt w:val="bullet"/>
      <w:isLgl w:val="false"/>
      <w:suff w:val="tab"/>
      <w:lvlText w:val=""/>
      <w:lvlJc w:val="left"/>
      <w:pPr>
        <w:ind w:left="7047" w:hanging="360"/>
      </w:pPr>
      <w:rPr>
        <w:rFonts w:hint="default" w:ascii="Wingdings" w:hAnsi="Wingdings"/>
      </w:rPr>
    </w:lvl>
  </w:abstractNum>
  <w:abstractNum w:abstractNumId="9">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10">
    <w:multiLevelType w:val="hybridMultilevel"/>
    <w:lvl w:ilvl="0">
      <w:start w:val="2"/>
      <w:numFmt w:val="bullet"/>
      <w:isLgl w:val="false"/>
      <w:suff w:val="tab"/>
      <w:lvlText w:val="‒"/>
      <w:lvlJc w:val="left"/>
      <w:pPr>
        <w:ind w:left="1429" w:hanging="360"/>
      </w:pPr>
      <w:rPr>
        <w:rFonts w:hint="default" w:ascii="Times New Roman" w:hAnsi="Times New Roman" w:eastAsia="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11">
    <w:multiLevelType w:val="hybridMultilevel"/>
    <w:lvl w:ilvl="0">
      <w:start w:val="2"/>
      <w:numFmt w:val="bullet"/>
      <w:isLgl w:val="false"/>
      <w:suff w:val="tab"/>
      <w:lvlText w:val="‒"/>
      <w:lvlJc w:val="left"/>
      <w:pPr>
        <w:ind w:left="2487" w:hanging="360"/>
      </w:pPr>
      <w:rPr>
        <w:rFonts w:hint="default"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2">
    <w:multiLevelType w:val="hybridMultilevel"/>
    <w:lvl w:ilvl="0">
      <w:start w:val="1"/>
      <w:numFmt w:val="decimal"/>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13">
    <w:multiLevelType w:val="hybridMultilevel"/>
    <w:lvl w:ilvl="0">
      <w:start w:val="1"/>
      <w:numFmt w:val="decimal"/>
      <w:isLgl w:val="false"/>
      <w:suff w:val="tab"/>
      <w:lvlText w:val="%1."/>
      <w:lvlJc w:val="left"/>
      <w:pPr>
        <w:ind w:left="1069" w:hanging="360"/>
      </w:pPr>
      <w:rPr>
        <w:rFonts w:ascii="Times New Roman" w:hAnsi="Times New Roman" w:cs="Times New Roman" w:eastAsiaTheme="minorHAnsi"/>
        <w:b w:val="0"/>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4">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5">
    <w:multiLevelType w:val="hybridMultilevel"/>
    <w:lvl w:ilvl="0">
      <w:start w:val="1"/>
      <w:numFmt w:val="bullet"/>
      <w:isLgl w:val="false"/>
      <w:suff w:val="tab"/>
      <w:lvlText w:val=""/>
      <w:lvlJc w:val="left"/>
      <w:pPr>
        <w:ind w:left="1287" w:hanging="360"/>
      </w:pPr>
      <w:rPr>
        <w:rFonts w:hint="default" w:ascii="Symbol" w:hAnsi="Symbol"/>
      </w:rPr>
    </w:lvl>
    <w:lvl w:ilvl="1">
      <w:start w:val="1"/>
      <w:numFmt w:val="bullet"/>
      <w:isLgl w:val="false"/>
      <w:suff w:val="tab"/>
      <w:lvlText w:val="o"/>
      <w:lvlJc w:val="left"/>
      <w:pPr>
        <w:ind w:left="2007" w:hanging="360"/>
      </w:pPr>
      <w:rPr>
        <w:rFonts w:hint="default" w:ascii="Courier New" w:hAnsi="Courier New" w:cs="Courier New"/>
      </w:rPr>
    </w:lvl>
    <w:lvl w:ilvl="2">
      <w:start w:val="1"/>
      <w:numFmt w:val="bullet"/>
      <w:isLgl w:val="false"/>
      <w:suff w:val="tab"/>
      <w:lvlText w:val=""/>
      <w:lvlJc w:val="left"/>
      <w:pPr>
        <w:ind w:left="2727" w:hanging="360"/>
      </w:pPr>
      <w:rPr>
        <w:rFonts w:hint="default" w:ascii="Wingdings" w:hAnsi="Wingdings"/>
      </w:rPr>
    </w:lvl>
    <w:lvl w:ilvl="3">
      <w:start w:val="1"/>
      <w:numFmt w:val="bullet"/>
      <w:isLgl w:val="false"/>
      <w:suff w:val="tab"/>
      <w:lvlText w:val=""/>
      <w:lvlJc w:val="left"/>
      <w:pPr>
        <w:ind w:left="3447" w:hanging="360"/>
      </w:pPr>
      <w:rPr>
        <w:rFonts w:hint="default" w:ascii="Symbol" w:hAnsi="Symbol"/>
      </w:rPr>
    </w:lvl>
    <w:lvl w:ilvl="4">
      <w:start w:val="1"/>
      <w:numFmt w:val="bullet"/>
      <w:isLgl w:val="false"/>
      <w:suff w:val="tab"/>
      <w:lvlText w:val="o"/>
      <w:lvlJc w:val="left"/>
      <w:pPr>
        <w:ind w:left="4167" w:hanging="360"/>
      </w:pPr>
      <w:rPr>
        <w:rFonts w:hint="default" w:ascii="Courier New" w:hAnsi="Courier New" w:cs="Courier New"/>
      </w:rPr>
    </w:lvl>
    <w:lvl w:ilvl="5">
      <w:start w:val="1"/>
      <w:numFmt w:val="bullet"/>
      <w:isLgl w:val="false"/>
      <w:suff w:val="tab"/>
      <w:lvlText w:val=""/>
      <w:lvlJc w:val="left"/>
      <w:pPr>
        <w:ind w:left="4887" w:hanging="360"/>
      </w:pPr>
      <w:rPr>
        <w:rFonts w:hint="default" w:ascii="Wingdings" w:hAnsi="Wingdings"/>
      </w:rPr>
    </w:lvl>
    <w:lvl w:ilvl="6">
      <w:start w:val="1"/>
      <w:numFmt w:val="bullet"/>
      <w:isLgl w:val="false"/>
      <w:suff w:val="tab"/>
      <w:lvlText w:val=""/>
      <w:lvlJc w:val="left"/>
      <w:pPr>
        <w:ind w:left="5607" w:hanging="360"/>
      </w:pPr>
      <w:rPr>
        <w:rFonts w:hint="default" w:ascii="Symbol" w:hAnsi="Symbol"/>
      </w:rPr>
    </w:lvl>
    <w:lvl w:ilvl="7">
      <w:start w:val="1"/>
      <w:numFmt w:val="bullet"/>
      <w:isLgl w:val="false"/>
      <w:suff w:val="tab"/>
      <w:lvlText w:val="o"/>
      <w:lvlJc w:val="left"/>
      <w:pPr>
        <w:ind w:left="6327" w:hanging="360"/>
      </w:pPr>
      <w:rPr>
        <w:rFonts w:hint="default" w:ascii="Courier New" w:hAnsi="Courier New" w:cs="Courier New"/>
      </w:rPr>
    </w:lvl>
    <w:lvl w:ilvl="8">
      <w:start w:val="1"/>
      <w:numFmt w:val="bullet"/>
      <w:isLgl w:val="false"/>
      <w:suff w:val="tab"/>
      <w:lvlText w:val=""/>
      <w:lvlJc w:val="left"/>
      <w:pPr>
        <w:ind w:left="7047" w:hanging="360"/>
      </w:pPr>
      <w:rPr>
        <w:rFonts w:hint="default" w:ascii="Wingdings" w:hAnsi="Wingdings"/>
      </w:rPr>
    </w:lvl>
  </w:abstractNum>
  <w:abstractNum w:abstractNumId="16">
    <w:multiLevelType w:val="hybridMultilevel"/>
    <w:lvl w:ilvl="0">
      <w:start w:val="1"/>
      <w:numFmt w:val="decimal"/>
      <w:isLgl w:val="false"/>
      <w:suff w:val="tab"/>
      <w:lvlText w:val="%1."/>
      <w:lvlJc w:val="left"/>
      <w:pPr>
        <w:ind w:left="720" w:hanging="360"/>
      </w:pPr>
      <w:rPr>
        <w:rFonts w:ascii="PT Astra Serif" w:hAnsi="PT Astra Serif" w:eastAsiaTheme="minorHAnsi" w:cstheme="minorBidi"/>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7">
    <w:multiLevelType w:val="hybridMultilevel"/>
    <w:lvl w:ilvl="0">
      <w:start w:val="1"/>
      <w:numFmt w:val="bullet"/>
      <w:isLgl w:val="false"/>
      <w:suff w:val="tab"/>
      <w:lvlText w:val=""/>
      <w:lvlJc w:val="left"/>
      <w:pPr>
        <w:ind w:left="5606" w:hanging="360"/>
      </w:pPr>
      <w:rPr>
        <w:rFonts w:hint="default" w:ascii="Symbol" w:hAnsi="Symbol"/>
      </w:rPr>
    </w:lvl>
    <w:lvl w:ilvl="1">
      <w:start w:val="1"/>
      <w:numFmt w:val="bullet"/>
      <w:isLgl w:val="false"/>
      <w:suff w:val="tab"/>
      <w:lvlText w:val="o"/>
      <w:lvlJc w:val="left"/>
      <w:pPr>
        <w:ind w:left="2205" w:hanging="360"/>
      </w:pPr>
      <w:rPr>
        <w:rFonts w:hint="default" w:ascii="Courier New" w:hAnsi="Courier New" w:cs="Courier New"/>
      </w:rPr>
    </w:lvl>
    <w:lvl w:ilvl="2">
      <w:start w:val="1"/>
      <w:numFmt w:val="bullet"/>
      <w:isLgl w:val="false"/>
      <w:suff w:val="tab"/>
      <w:lvlText w:val=""/>
      <w:lvlJc w:val="left"/>
      <w:pPr>
        <w:ind w:left="2925" w:hanging="360"/>
      </w:pPr>
      <w:rPr>
        <w:rFonts w:hint="default" w:ascii="Wingdings" w:hAnsi="Wingdings"/>
      </w:rPr>
    </w:lvl>
    <w:lvl w:ilvl="3">
      <w:start w:val="1"/>
      <w:numFmt w:val="bullet"/>
      <w:isLgl w:val="false"/>
      <w:suff w:val="tab"/>
      <w:lvlText w:val=""/>
      <w:lvlJc w:val="left"/>
      <w:pPr>
        <w:ind w:left="3645" w:hanging="360"/>
      </w:pPr>
      <w:rPr>
        <w:rFonts w:hint="default" w:ascii="Symbol" w:hAnsi="Symbol"/>
      </w:rPr>
    </w:lvl>
    <w:lvl w:ilvl="4">
      <w:start w:val="1"/>
      <w:numFmt w:val="bullet"/>
      <w:isLgl w:val="false"/>
      <w:suff w:val="tab"/>
      <w:lvlText w:val="o"/>
      <w:lvlJc w:val="left"/>
      <w:pPr>
        <w:ind w:left="4365" w:hanging="360"/>
      </w:pPr>
      <w:rPr>
        <w:rFonts w:hint="default" w:ascii="Courier New" w:hAnsi="Courier New" w:cs="Courier New"/>
      </w:rPr>
    </w:lvl>
    <w:lvl w:ilvl="5">
      <w:start w:val="1"/>
      <w:numFmt w:val="bullet"/>
      <w:isLgl w:val="false"/>
      <w:suff w:val="tab"/>
      <w:lvlText w:val=""/>
      <w:lvlJc w:val="left"/>
      <w:pPr>
        <w:ind w:left="5085" w:hanging="360"/>
      </w:pPr>
      <w:rPr>
        <w:rFonts w:hint="default" w:ascii="Wingdings" w:hAnsi="Wingdings"/>
      </w:rPr>
    </w:lvl>
    <w:lvl w:ilvl="6">
      <w:start w:val="1"/>
      <w:numFmt w:val="bullet"/>
      <w:isLgl w:val="false"/>
      <w:suff w:val="tab"/>
      <w:lvlText w:val=""/>
      <w:lvlJc w:val="left"/>
      <w:pPr>
        <w:ind w:left="5805" w:hanging="360"/>
      </w:pPr>
      <w:rPr>
        <w:rFonts w:hint="default" w:ascii="Symbol" w:hAnsi="Symbol"/>
      </w:rPr>
    </w:lvl>
    <w:lvl w:ilvl="7">
      <w:start w:val="1"/>
      <w:numFmt w:val="bullet"/>
      <w:isLgl w:val="false"/>
      <w:suff w:val="tab"/>
      <w:lvlText w:val="o"/>
      <w:lvlJc w:val="left"/>
      <w:pPr>
        <w:ind w:left="6525" w:hanging="360"/>
      </w:pPr>
      <w:rPr>
        <w:rFonts w:hint="default" w:ascii="Courier New" w:hAnsi="Courier New" w:cs="Courier New"/>
      </w:rPr>
    </w:lvl>
    <w:lvl w:ilvl="8">
      <w:start w:val="1"/>
      <w:numFmt w:val="bullet"/>
      <w:isLgl w:val="false"/>
      <w:suff w:val="tab"/>
      <w:lvlText w:val=""/>
      <w:lvlJc w:val="left"/>
      <w:pPr>
        <w:ind w:left="7245" w:hanging="360"/>
      </w:pPr>
      <w:rPr>
        <w:rFonts w:hint="default" w:ascii="Wingdings" w:hAnsi="Wingdings"/>
      </w:rPr>
    </w:lvl>
  </w:abstractNum>
  <w:abstractNum w:abstractNumId="18">
    <w:multiLevelType w:val="hybridMultilevel"/>
    <w:lvl w:ilvl="0">
      <w:start w:val="2"/>
      <w:numFmt w:val="bullet"/>
      <w:isLgl w:val="false"/>
      <w:suff w:val="tab"/>
      <w:lvlText w:val="‒"/>
      <w:lvlJc w:val="left"/>
      <w:pPr>
        <w:ind w:left="720" w:hanging="360"/>
      </w:pPr>
      <w:rPr>
        <w:rFonts w:hint="default"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9">
    <w:multiLevelType w:val="hybridMultilevel"/>
    <w:lvl w:ilvl="0">
      <w:start w:val="1"/>
      <w:numFmt w:val="bullet"/>
      <w:isLgl w:val="false"/>
      <w:suff w:val="tab"/>
      <w:lvlText w:val="-"/>
      <w:lvlJc w:val="left"/>
      <w:pPr>
        <w:ind w:left="1429" w:hanging="360"/>
      </w:pPr>
      <w:rPr>
        <w:rFonts w:hint="default" w:ascii="Vrinda" w:hAnsi="Vrinda"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20">
    <w:multiLevelType w:val="hybridMultilevel"/>
    <w:lvl w:ilvl="0">
      <w:start w:val="1"/>
      <w:numFmt w:val="decimal"/>
      <w:isLgl w:val="false"/>
      <w:suff w:val="tab"/>
      <w:lvlText w:val="%1."/>
      <w:lvlJc w:val="left"/>
      <w:pPr>
        <w:ind w:left="1069" w:hanging="360"/>
      </w:pPr>
      <w:rPr>
        <w:rFonts w:ascii="Times New Roman" w:hAnsi="Times New Roman" w:cs="Times New Roman" w:eastAsiaTheme="minorHAnsi"/>
        <w:b w:val="0"/>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1">
    <w:multiLevelType w:val="hybridMultilevel"/>
    <w:lvl w:ilvl="0">
      <w:start w:val="1"/>
      <w:numFmt w:val="decimal"/>
      <w:isLgl w:val="false"/>
      <w:suff w:val="tab"/>
      <w:lvlText w:val="%1."/>
      <w:lvlJc w:val="left"/>
      <w:pPr>
        <w:ind w:left="1571" w:hanging="360"/>
      </w:pPr>
    </w:lvl>
    <w:lvl w:ilvl="1">
      <w:start w:val="1"/>
      <w:numFmt w:val="lowerLetter"/>
      <w:isLgl w:val="false"/>
      <w:suff w:val="tab"/>
      <w:lvlText w:val="%2."/>
      <w:lvlJc w:val="left"/>
      <w:pPr>
        <w:ind w:left="2291" w:hanging="360"/>
      </w:pPr>
    </w:lvl>
    <w:lvl w:ilvl="2">
      <w:start w:val="1"/>
      <w:numFmt w:val="lowerRoman"/>
      <w:isLgl w:val="false"/>
      <w:suff w:val="tab"/>
      <w:lvlText w:val="%3."/>
      <w:lvlJc w:val="right"/>
      <w:pPr>
        <w:ind w:left="3011" w:hanging="180"/>
      </w:pPr>
    </w:lvl>
    <w:lvl w:ilvl="3">
      <w:start w:val="2"/>
      <w:numFmt w:val="bullet"/>
      <w:isLgl w:val="false"/>
      <w:suff w:val="tab"/>
      <w:lvlText w:val="‒"/>
      <w:lvlJc w:val="left"/>
      <w:pPr>
        <w:ind w:left="3731" w:hanging="360"/>
      </w:pPr>
      <w:rPr>
        <w:rFonts w:hint="default" w:ascii="Times New Roman" w:hAnsi="Times New Roman" w:eastAsia="Times New Roman" w:cs="Times New Roman"/>
      </w:rPr>
    </w:lvl>
    <w:lvl w:ilvl="4">
      <w:start w:val="1"/>
      <w:numFmt w:val="lowerLetter"/>
      <w:isLgl w:val="false"/>
      <w:suff w:val="tab"/>
      <w:lvlText w:val="%5."/>
      <w:lvlJc w:val="left"/>
      <w:pPr>
        <w:ind w:left="4451" w:hanging="360"/>
      </w:pPr>
    </w:lvl>
    <w:lvl w:ilvl="5">
      <w:start w:val="1"/>
      <w:numFmt w:val="lowerRoman"/>
      <w:isLgl w:val="false"/>
      <w:suff w:val="tab"/>
      <w:lvlText w:val="%6."/>
      <w:lvlJc w:val="right"/>
      <w:pPr>
        <w:ind w:left="5171" w:hanging="180"/>
      </w:pPr>
    </w:lvl>
    <w:lvl w:ilvl="6">
      <w:start w:val="1"/>
      <w:numFmt w:val="decimal"/>
      <w:isLgl w:val="false"/>
      <w:suff w:val="tab"/>
      <w:lvlText w:val="%7."/>
      <w:lvlJc w:val="left"/>
      <w:pPr>
        <w:ind w:left="5891" w:hanging="360"/>
      </w:pPr>
    </w:lvl>
    <w:lvl w:ilvl="7">
      <w:start w:val="1"/>
      <w:numFmt w:val="lowerLetter"/>
      <w:isLgl w:val="false"/>
      <w:suff w:val="tab"/>
      <w:lvlText w:val="%8."/>
      <w:lvlJc w:val="left"/>
      <w:pPr>
        <w:ind w:left="6611" w:hanging="360"/>
      </w:pPr>
    </w:lvl>
    <w:lvl w:ilvl="8">
      <w:start w:val="1"/>
      <w:numFmt w:val="lowerRoman"/>
      <w:isLgl w:val="false"/>
      <w:suff w:val="tab"/>
      <w:lvlText w:val="%9."/>
      <w:lvlJc w:val="right"/>
      <w:pPr>
        <w:ind w:left="7331" w:hanging="180"/>
      </w:pPr>
    </w:lvl>
  </w:abstractNum>
  <w:abstractNum w:abstractNumId="22">
    <w:multiLevelType w:val="hybridMultilevel"/>
    <w:lvl w:ilvl="0">
      <w:start w:val="2"/>
      <w:numFmt w:val="bullet"/>
      <w:isLgl w:val="false"/>
      <w:suff w:val="tab"/>
      <w:lvlText w:val="‒"/>
      <w:lvlJc w:val="left"/>
      <w:pPr>
        <w:ind w:left="1429" w:hanging="360"/>
      </w:pPr>
      <w:rPr>
        <w:rFonts w:hint="default" w:ascii="Times New Roman" w:hAnsi="Times New Roman" w:eastAsia="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23">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24">
    <w:multiLevelType w:val="hybridMultilevel"/>
    <w:lvl w:ilvl="0">
      <w:start w:val="2"/>
      <w:numFmt w:val="bullet"/>
      <w:isLgl w:val="false"/>
      <w:suff w:val="tab"/>
      <w:lvlText w:val="‒"/>
      <w:lvlJc w:val="left"/>
      <w:pPr>
        <w:ind w:left="644" w:hanging="360"/>
      </w:pPr>
      <w:rPr>
        <w:rFonts w:hint="default" w:ascii="Times New Roman" w:hAnsi="Times New Roman" w:eastAsia="Times New Roman" w:cs="Times New Roman"/>
      </w:rPr>
    </w:lvl>
    <w:lvl w:ilvl="1">
      <w:start w:val="1"/>
      <w:numFmt w:val="bullet"/>
      <w:isLgl w:val="false"/>
      <w:suff w:val="tab"/>
      <w:lvlText w:val="o"/>
      <w:lvlJc w:val="left"/>
      <w:pPr>
        <w:ind w:left="1364" w:hanging="360"/>
      </w:pPr>
      <w:rPr>
        <w:rFonts w:hint="default" w:ascii="Courier New" w:hAnsi="Courier New" w:cs="Courier New"/>
      </w:rPr>
    </w:lvl>
    <w:lvl w:ilvl="2">
      <w:start w:val="1"/>
      <w:numFmt w:val="bullet"/>
      <w:isLgl w:val="false"/>
      <w:suff w:val="tab"/>
      <w:lvlText w:val=""/>
      <w:lvlJc w:val="left"/>
      <w:pPr>
        <w:ind w:left="2084" w:hanging="360"/>
      </w:pPr>
      <w:rPr>
        <w:rFonts w:hint="default" w:ascii="Wingdings" w:hAnsi="Wingdings"/>
      </w:rPr>
    </w:lvl>
    <w:lvl w:ilvl="3">
      <w:start w:val="1"/>
      <w:numFmt w:val="bullet"/>
      <w:isLgl w:val="false"/>
      <w:suff w:val="tab"/>
      <w:lvlText w:val=""/>
      <w:lvlJc w:val="left"/>
      <w:pPr>
        <w:ind w:left="2804" w:hanging="360"/>
      </w:pPr>
      <w:rPr>
        <w:rFonts w:hint="default" w:ascii="Symbol" w:hAnsi="Symbol"/>
      </w:rPr>
    </w:lvl>
    <w:lvl w:ilvl="4">
      <w:start w:val="1"/>
      <w:numFmt w:val="bullet"/>
      <w:isLgl w:val="false"/>
      <w:suff w:val="tab"/>
      <w:lvlText w:val="o"/>
      <w:lvlJc w:val="left"/>
      <w:pPr>
        <w:ind w:left="3524" w:hanging="360"/>
      </w:pPr>
      <w:rPr>
        <w:rFonts w:hint="default" w:ascii="Courier New" w:hAnsi="Courier New" w:cs="Courier New"/>
      </w:rPr>
    </w:lvl>
    <w:lvl w:ilvl="5">
      <w:start w:val="1"/>
      <w:numFmt w:val="bullet"/>
      <w:isLgl w:val="false"/>
      <w:suff w:val="tab"/>
      <w:lvlText w:val=""/>
      <w:lvlJc w:val="left"/>
      <w:pPr>
        <w:ind w:left="4244" w:hanging="360"/>
      </w:pPr>
      <w:rPr>
        <w:rFonts w:hint="default" w:ascii="Wingdings" w:hAnsi="Wingdings"/>
      </w:rPr>
    </w:lvl>
    <w:lvl w:ilvl="6">
      <w:start w:val="1"/>
      <w:numFmt w:val="bullet"/>
      <w:isLgl w:val="false"/>
      <w:suff w:val="tab"/>
      <w:lvlText w:val=""/>
      <w:lvlJc w:val="left"/>
      <w:pPr>
        <w:ind w:left="4964" w:hanging="360"/>
      </w:pPr>
      <w:rPr>
        <w:rFonts w:hint="default" w:ascii="Symbol" w:hAnsi="Symbol"/>
      </w:rPr>
    </w:lvl>
    <w:lvl w:ilvl="7">
      <w:start w:val="1"/>
      <w:numFmt w:val="bullet"/>
      <w:isLgl w:val="false"/>
      <w:suff w:val="tab"/>
      <w:lvlText w:val="o"/>
      <w:lvlJc w:val="left"/>
      <w:pPr>
        <w:ind w:left="5684" w:hanging="360"/>
      </w:pPr>
      <w:rPr>
        <w:rFonts w:hint="default" w:ascii="Courier New" w:hAnsi="Courier New" w:cs="Courier New"/>
      </w:rPr>
    </w:lvl>
    <w:lvl w:ilvl="8">
      <w:start w:val="1"/>
      <w:numFmt w:val="bullet"/>
      <w:isLgl w:val="false"/>
      <w:suff w:val="tab"/>
      <w:lvlText w:val=""/>
      <w:lvlJc w:val="left"/>
      <w:pPr>
        <w:ind w:left="6404" w:hanging="360"/>
      </w:pPr>
      <w:rPr>
        <w:rFonts w:hint="default" w:ascii="Wingdings" w:hAnsi="Wingdings"/>
      </w:rPr>
    </w:lvl>
  </w:abstractNum>
  <w:abstractNum w:abstractNumId="25">
    <w:multiLevelType w:val="hybridMultilevel"/>
    <w:lvl w:ilvl="0">
      <w:start w:val="1"/>
      <w:numFmt w:val="bullet"/>
      <w:isLgl w:val="false"/>
      <w:suff w:val="tab"/>
      <w:lvlText w:val=""/>
      <w:lvlJc w:val="left"/>
      <w:pPr>
        <w:ind w:left="1429" w:hanging="360"/>
      </w:pPr>
      <w:rPr>
        <w:rFonts w:hint="default" w:ascii="Symbol" w:hAnsi="Symbol"/>
      </w:rPr>
    </w:lvl>
    <w:lvl w:ilvl="1">
      <w:start w:val="1"/>
      <w:numFmt w:val="bullet"/>
      <w:isLgl w:val="false"/>
      <w:suff w:val="tab"/>
      <w:lvlText w:val="•"/>
      <w:lvlJc w:val="left"/>
      <w:pPr>
        <w:ind w:left="3199" w:hanging="1410"/>
      </w:pPr>
      <w:rPr>
        <w:rFonts w:hint="default" w:ascii="PT Astra Serif" w:hAnsi="PT Astra Serif" w:eastAsia="Calibri" w:cs="Times New Roman"/>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26">
    <w:multiLevelType w:val="hybridMultilevel"/>
    <w:lvl w:ilvl="0">
      <w:start w:val="2"/>
      <w:numFmt w:val="bullet"/>
      <w:isLgl w:val="false"/>
      <w:suff w:val="tab"/>
      <w:lvlText w:val="‒"/>
      <w:lvlJc w:val="left"/>
      <w:pPr>
        <w:ind w:left="1778" w:hanging="360"/>
      </w:pPr>
      <w:rPr>
        <w:rFonts w:hint="default" w:ascii="Times New Roman" w:hAnsi="Times New Roman" w:eastAsia="Times New Roman" w:cs="Times New Roman"/>
        <w:b w:val="0"/>
      </w:r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27">
    <w:multiLevelType w:val="hybridMultilevel"/>
    <w:lvl w:ilvl="0">
      <w:start w:val="1"/>
      <w:numFmt w:val="decimal"/>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28">
    <w:multiLevelType w:val="hybridMultilevel"/>
    <w:lvl w:ilvl="0">
      <w:start w:val="1"/>
      <w:numFmt w:val="bullet"/>
      <w:isLgl w:val="false"/>
      <w:suff w:val="tab"/>
      <w:lvlText w:val=""/>
      <w:lvlJc w:val="left"/>
      <w:pPr>
        <w:ind w:left="1920" w:hanging="360"/>
      </w:pPr>
      <w:rPr>
        <w:rFonts w:hint="default" w:ascii="Symbol" w:hAnsi="Symbol"/>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29">
    <w:multiLevelType w:val="hybridMultilevel"/>
    <w:lvl w:ilvl="0">
      <w:start w:val="1"/>
      <w:numFmt w:val="bullet"/>
      <w:isLgl w:val="false"/>
      <w:suff w:val="tab"/>
      <w:lvlText w:val="−"/>
      <w:lvlJc w:val="left"/>
      <w:pPr>
        <w:ind w:left="720" w:hanging="36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30">
    <w:multiLevelType w:val="hybridMultilevel"/>
    <w:lvl w:ilvl="0">
      <w:start w:val="1"/>
      <w:numFmt w:val="decimal"/>
      <w:isLgl w:val="false"/>
      <w:suff w:val="tab"/>
      <w:lvlText w:val="%1."/>
      <w:lvlJc w:val="left"/>
      <w:pPr>
        <w:ind w:left="720" w:hanging="360"/>
      </w:pPr>
      <w:rPr>
        <w:i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786"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1">
    <w:multiLevelType w:val="hybridMultilevel"/>
    <w:lvl w:ilvl="0">
      <w:start w:val="2"/>
      <w:numFmt w:val="bullet"/>
      <w:isLgl w:val="false"/>
      <w:suff w:val="tab"/>
      <w:lvlText w:val="‒"/>
      <w:lvlJc w:val="left"/>
      <w:pPr>
        <w:ind w:left="1429" w:hanging="360"/>
      </w:pPr>
      <w:rPr>
        <w:rFonts w:hint="default" w:ascii="Times New Roman" w:hAnsi="Times New Roman" w:eastAsia="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32">
    <w:multiLevelType w:val="hybridMultilevel"/>
    <w:lvl w:ilvl="0">
      <w:start w:val="1"/>
      <w:numFmt w:val="decimal"/>
      <w:isLgl w:val="false"/>
      <w:suff w:val="tab"/>
      <w:lvlText w:val="%1)"/>
      <w:lvlJc w:val="left"/>
      <w:pPr>
        <w:ind w:left="1069" w:hanging="360"/>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33">
    <w:multiLevelType w:val="hybridMultilevel"/>
    <w:lvl w:ilvl="0">
      <w:start w:val="1"/>
      <w:numFmt w:val="bullet"/>
      <w:isLgl w:val="false"/>
      <w:suff w:val="tab"/>
      <w:lvlText w:val=""/>
      <w:lvlJc w:val="left"/>
      <w:pPr>
        <w:ind w:left="1287" w:hanging="360"/>
      </w:pPr>
      <w:rPr>
        <w:rFonts w:hint="default" w:ascii="Symbol" w:hAnsi="Symbol"/>
      </w:rPr>
    </w:lvl>
    <w:lvl w:ilvl="1">
      <w:start w:val="1"/>
      <w:numFmt w:val="bullet"/>
      <w:isLgl w:val="false"/>
      <w:suff w:val="tab"/>
      <w:lvlText w:val="o"/>
      <w:lvlJc w:val="left"/>
      <w:pPr>
        <w:ind w:left="2007" w:hanging="360"/>
      </w:pPr>
      <w:rPr>
        <w:rFonts w:hint="default" w:ascii="Courier New" w:hAnsi="Courier New" w:cs="Courier New"/>
      </w:rPr>
    </w:lvl>
    <w:lvl w:ilvl="2">
      <w:start w:val="1"/>
      <w:numFmt w:val="bullet"/>
      <w:isLgl w:val="false"/>
      <w:suff w:val="tab"/>
      <w:lvlText w:val=""/>
      <w:lvlJc w:val="left"/>
      <w:pPr>
        <w:ind w:left="2727" w:hanging="360"/>
      </w:pPr>
      <w:rPr>
        <w:rFonts w:hint="default" w:ascii="Wingdings" w:hAnsi="Wingdings"/>
      </w:rPr>
    </w:lvl>
    <w:lvl w:ilvl="3">
      <w:start w:val="1"/>
      <w:numFmt w:val="bullet"/>
      <w:isLgl w:val="false"/>
      <w:suff w:val="tab"/>
      <w:lvlText w:val=""/>
      <w:lvlJc w:val="left"/>
      <w:pPr>
        <w:ind w:left="3447" w:hanging="360"/>
      </w:pPr>
      <w:rPr>
        <w:rFonts w:hint="default" w:ascii="Symbol" w:hAnsi="Symbol"/>
      </w:rPr>
    </w:lvl>
    <w:lvl w:ilvl="4">
      <w:start w:val="1"/>
      <w:numFmt w:val="bullet"/>
      <w:isLgl w:val="false"/>
      <w:suff w:val="tab"/>
      <w:lvlText w:val="o"/>
      <w:lvlJc w:val="left"/>
      <w:pPr>
        <w:ind w:left="4167" w:hanging="360"/>
      </w:pPr>
      <w:rPr>
        <w:rFonts w:hint="default" w:ascii="Courier New" w:hAnsi="Courier New" w:cs="Courier New"/>
      </w:rPr>
    </w:lvl>
    <w:lvl w:ilvl="5">
      <w:start w:val="1"/>
      <w:numFmt w:val="bullet"/>
      <w:isLgl w:val="false"/>
      <w:suff w:val="tab"/>
      <w:lvlText w:val=""/>
      <w:lvlJc w:val="left"/>
      <w:pPr>
        <w:ind w:left="4887" w:hanging="360"/>
      </w:pPr>
      <w:rPr>
        <w:rFonts w:hint="default" w:ascii="Wingdings" w:hAnsi="Wingdings"/>
      </w:rPr>
    </w:lvl>
    <w:lvl w:ilvl="6">
      <w:start w:val="1"/>
      <w:numFmt w:val="bullet"/>
      <w:isLgl w:val="false"/>
      <w:suff w:val="tab"/>
      <w:lvlText w:val=""/>
      <w:lvlJc w:val="left"/>
      <w:pPr>
        <w:ind w:left="5607" w:hanging="360"/>
      </w:pPr>
      <w:rPr>
        <w:rFonts w:hint="default" w:ascii="Symbol" w:hAnsi="Symbol"/>
      </w:rPr>
    </w:lvl>
    <w:lvl w:ilvl="7">
      <w:start w:val="1"/>
      <w:numFmt w:val="bullet"/>
      <w:isLgl w:val="false"/>
      <w:suff w:val="tab"/>
      <w:lvlText w:val="o"/>
      <w:lvlJc w:val="left"/>
      <w:pPr>
        <w:ind w:left="6327" w:hanging="360"/>
      </w:pPr>
      <w:rPr>
        <w:rFonts w:hint="default" w:ascii="Courier New" w:hAnsi="Courier New" w:cs="Courier New"/>
      </w:rPr>
    </w:lvl>
    <w:lvl w:ilvl="8">
      <w:start w:val="1"/>
      <w:numFmt w:val="bullet"/>
      <w:isLgl w:val="false"/>
      <w:suff w:val="tab"/>
      <w:lvlText w:val=""/>
      <w:lvlJc w:val="left"/>
      <w:pPr>
        <w:ind w:left="7047" w:hanging="360"/>
      </w:pPr>
      <w:rPr>
        <w:rFonts w:hint="default" w:ascii="Wingdings" w:hAnsi="Wingdings"/>
      </w:rPr>
    </w:lvl>
  </w:abstractNum>
  <w:abstractNum w:abstractNumId="34">
    <w:multiLevelType w:val="hybridMultilevel"/>
    <w:lvl w:ilvl="0">
      <w:start w:val="2"/>
      <w:numFmt w:val="bullet"/>
      <w:isLgl w:val="false"/>
      <w:suff w:val="tab"/>
      <w:lvlText w:val="‒"/>
      <w:lvlJc w:val="left"/>
      <w:pPr>
        <w:ind w:left="786" w:hanging="360"/>
      </w:pPr>
      <w:rPr>
        <w:rFonts w:hint="default" w:ascii="Times New Roman" w:hAnsi="Times New Roman" w:eastAsia="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35">
    <w:multiLevelType w:val="hybridMultilevel"/>
    <w:lvl w:ilvl="0">
      <w:start w:val="1"/>
      <w:numFmt w:val="bullet"/>
      <w:isLgl w:val="false"/>
      <w:suff w:val="tab"/>
      <w:lvlText w:val="•"/>
      <w:lvlJc w:val="left"/>
      <w:pPr>
        <w:ind w:left="1429" w:hanging="360"/>
      </w:pPr>
      <w:rPr>
        <w:rFonts w:hint="default" w:ascii="PT Astra Serif" w:hAnsi="PT Astra Serif" w:eastAsia="Calibri" w:cs="Times New Roman"/>
      </w:rPr>
    </w:lvl>
    <w:lvl w:ilvl="1">
      <w:start w:val="1"/>
      <w:numFmt w:val="bullet"/>
      <w:isLgl w:val="false"/>
      <w:suff w:val="tab"/>
      <w:lvlText w:val="•"/>
      <w:lvlJc w:val="left"/>
      <w:pPr>
        <w:ind w:left="3199" w:hanging="1410"/>
      </w:pPr>
      <w:rPr>
        <w:rFonts w:hint="default" w:ascii="PT Astra Serif" w:hAnsi="PT Astra Serif" w:eastAsia="Calibri" w:cs="Times New Roman"/>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36">
    <w:multiLevelType w:val="hybridMultilevel"/>
    <w:lvl w:ilvl="0">
      <w:start w:val="2"/>
      <w:numFmt w:val="bullet"/>
      <w:isLgl w:val="false"/>
      <w:suff w:val="tab"/>
      <w:lvlText w:val="‒"/>
      <w:lvlJc w:val="left"/>
      <w:pPr>
        <w:ind w:left="1429" w:hanging="360"/>
      </w:pPr>
      <w:rPr>
        <w:rFonts w:hint="default" w:ascii="Times New Roman" w:hAnsi="Times New Roman" w:eastAsia="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37">
    <w:multiLevelType w:val="hybridMultilevel"/>
    <w:lvl w:ilvl="0">
      <w:start w:val="1"/>
      <w:numFmt w:val="decimal"/>
      <w:isLgl w:val="false"/>
      <w:suff w:val="tab"/>
      <w:lvlText w:val="%1."/>
      <w:lvlJc w:val="left"/>
      <w:pPr>
        <w:ind w:left="1571" w:hanging="360"/>
      </w:pPr>
    </w:lvl>
    <w:lvl w:ilvl="1">
      <w:start w:val="1"/>
      <w:numFmt w:val="lowerLetter"/>
      <w:isLgl w:val="false"/>
      <w:suff w:val="tab"/>
      <w:lvlText w:val="%2."/>
      <w:lvlJc w:val="left"/>
      <w:pPr>
        <w:ind w:left="2291" w:hanging="360"/>
      </w:pPr>
    </w:lvl>
    <w:lvl w:ilvl="2">
      <w:start w:val="1"/>
      <w:numFmt w:val="lowerRoman"/>
      <w:isLgl w:val="false"/>
      <w:suff w:val="tab"/>
      <w:lvlText w:val="%3."/>
      <w:lvlJc w:val="right"/>
      <w:pPr>
        <w:ind w:left="3011" w:hanging="180"/>
      </w:pPr>
    </w:lvl>
    <w:lvl w:ilvl="3">
      <w:start w:val="1"/>
      <w:numFmt w:val="decimal"/>
      <w:isLgl w:val="false"/>
      <w:suff w:val="tab"/>
      <w:lvlText w:val="%4."/>
      <w:lvlJc w:val="left"/>
      <w:pPr>
        <w:ind w:left="3731" w:hanging="360"/>
      </w:pPr>
    </w:lvl>
    <w:lvl w:ilvl="4">
      <w:start w:val="1"/>
      <w:numFmt w:val="lowerLetter"/>
      <w:isLgl w:val="false"/>
      <w:suff w:val="tab"/>
      <w:lvlText w:val="%5."/>
      <w:lvlJc w:val="left"/>
      <w:pPr>
        <w:ind w:left="4451" w:hanging="360"/>
      </w:pPr>
    </w:lvl>
    <w:lvl w:ilvl="5">
      <w:start w:val="1"/>
      <w:numFmt w:val="lowerRoman"/>
      <w:isLgl w:val="false"/>
      <w:suff w:val="tab"/>
      <w:lvlText w:val="%6."/>
      <w:lvlJc w:val="right"/>
      <w:pPr>
        <w:ind w:left="5171" w:hanging="180"/>
      </w:pPr>
    </w:lvl>
    <w:lvl w:ilvl="6">
      <w:start w:val="1"/>
      <w:numFmt w:val="decimal"/>
      <w:isLgl w:val="false"/>
      <w:suff w:val="tab"/>
      <w:lvlText w:val="%7."/>
      <w:lvlJc w:val="left"/>
      <w:pPr>
        <w:ind w:left="5891" w:hanging="360"/>
      </w:pPr>
    </w:lvl>
    <w:lvl w:ilvl="7">
      <w:start w:val="1"/>
      <w:numFmt w:val="lowerLetter"/>
      <w:isLgl w:val="false"/>
      <w:suff w:val="tab"/>
      <w:lvlText w:val="%8."/>
      <w:lvlJc w:val="left"/>
      <w:pPr>
        <w:ind w:left="6611" w:hanging="360"/>
      </w:pPr>
    </w:lvl>
    <w:lvl w:ilvl="8">
      <w:start w:val="1"/>
      <w:numFmt w:val="lowerRoman"/>
      <w:isLgl w:val="false"/>
      <w:suff w:val="tab"/>
      <w:lvlText w:val="%9."/>
      <w:lvlJc w:val="right"/>
      <w:pPr>
        <w:ind w:left="7331" w:hanging="180"/>
      </w:pPr>
    </w:lvl>
  </w:abstractNum>
  <w:abstractNum w:abstractNumId="38">
    <w:multiLevelType w:val="hybridMultilevel"/>
    <w:lvl w:ilvl="0">
      <w:start w:val="2"/>
      <w:numFmt w:val="bullet"/>
      <w:isLgl w:val="false"/>
      <w:suff w:val="tab"/>
      <w:lvlText w:val="‒"/>
      <w:lvlJc w:val="left"/>
      <w:pPr>
        <w:ind w:left="1429" w:hanging="360"/>
      </w:pPr>
      <w:rPr>
        <w:rFonts w:hint="default" w:ascii="Times New Roman" w:hAnsi="Times New Roman" w:eastAsia="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39">
    <w:multiLevelType w:val="hybridMultilevel"/>
    <w:lvl w:ilvl="0">
      <w:start w:val="1"/>
      <w:numFmt w:val="decimal"/>
      <w:isLgl w:val="false"/>
      <w:suff w:val="tab"/>
      <w:lvlText w:val="%1."/>
      <w:lvlJc w:val="left"/>
      <w:pPr>
        <w:ind w:left="720" w:hanging="360"/>
      </w:pPr>
    </w:lvl>
    <w:lvl w:ilvl="1">
      <w:start w:val="2"/>
      <w:numFmt w:val="decimal"/>
      <w:isLgl w:val="false"/>
      <w:suff w:val="tab"/>
      <w:lvlText w:val="%2"/>
      <w:lvlJc w:val="left"/>
      <w:pPr>
        <w:ind w:left="1440" w:hanging="360"/>
      </w:pPr>
      <w:rPr>
        <w:rFonts w:hint="default"/>
      </w:r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786"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0">
    <w:multiLevelType w:val="hybridMultilevel"/>
    <w:lvl w:ilvl="0">
      <w:start w:val="2"/>
      <w:numFmt w:val="bullet"/>
      <w:isLgl w:val="false"/>
      <w:suff w:val="tab"/>
      <w:lvlText w:val="‒"/>
      <w:lvlJc w:val="left"/>
      <w:pPr>
        <w:ind w:left="1440" w:hanging="360"/>
      </w:pPr>
      <w:rPr>
        <w:rFonts w:hint="default" w:ascii="Times New Roman" w:hAnsi="Times New Roman" w:eastAsia="Times New Roman" w:cs="Times New Roman"/>
      </w:rPr>
    </w:lvl>
    <w:lvl w:ilvl="1">
      <w:start w:val="1"/>
      <w:numFmt w:val="bullet"/>
      <w:isLgl w:val="false"/>
      <w:suff w:val="tab"/>
      <w:lvlText w:val="o"/>
      <w:lvlJc w:val="left"/>
      <w:pPr>
        <w:ind w:left="2160" w:hanging="360"/>
      </w:pPr>
      <w:rPr>
        <w:rFonts w:hint="default" w:ascii="Courier New" w:hAnsi="Courier New" w:cs="Courier New"/>
      </w:rPr>
    </w:lvl>
    <w:lvl w:ilvl="2">
      <w:start w:val="1"/>
      <w:numFmt w:val="bullet"/>
      <w:isLgl w:val="false"/>
      <w:suff w:val="tab"/>
      <w:lvlText w:val=""/>
      <w:lvlJc w:val="left"/>
      <w:pPr>
        <w:ind w:left="2880" w:hanging="360"/>
      </w:pPr>
      <w:rPr>
        <w:rFonts w:hint="default" w:ascii="Wingdings" w:hAnsi="Wingdings"/>
      </w:rPr>
    </w:lvl>
    <w:lvl w:ilvl="3">
      <w:start w:val="1"/>
      <w:numFmt w:val="bullet"/>
      <w:isLgl w:val="false"/>
      <w:suff w:val="tab"/>
      <w:lvlText w:val=""/>
      <w:lvlJc w:val="left"/>
      <w:pPr>
        <w:ind w:left="3600" w:hanging="360"/>
      </w:pPr>
      <w:rPr>
        <w:rFonts w:hint="default" w:ascii="Symbol" w:hAnsi="Symbol"/>
      </w:rPr>
    </w:lvl>
    <w:lvl w:ilvl="4">
      <w:start w:val="1"/>
      <w:numFmt w:val="bullet"/>
      <w:isLgl w:val="false"/>
      <w:suff w:val="tab"/>
      <w:lvlText w:val="o"/>
      <w:lvlJc w:val="left"/>
      <w:pPr>
        <w:ind w:left="4320" w:hanging="360"/>
      </w:pPr>
      <w:rPr>
        <w:rFonts w:hint="default" w:ascii="Courier New" w:hAnsi="Courier New" w:cs="Courier New"/>
      </w:rPr>
    </w:lvl>
    <w:lvl w:ilvl="5">
      <w:start w:val="1"/>
      <w:numFmt w:val="bullet"/>
      <w:isLgl w:val="false"/>
      <w:suff w:val="tab"/>
      <w:lvlText w:val=""/>
      <w:lvlJc w:val="left"/>
      <w:pPr>
        <w:ind w:left="5040" w:hanging="360"/>
      </w:pPr>
      <w:rPr>
        <w:rFonts w:hint="default" w:ascii="Wingdings" w:hAnsi="Wingdings"/>
      </w:rPr>
    </w:lvl>
    <w:lvl w:ilvl="6">
      <w:start w:val="1"/>
      <w:numFmt w:val="bullet"/>
      <w:isLgl w:val="false"/>
      <w:suff w:val="tab"/>
      <w:lvlText w:val=""/>
      <w:lvlJc w:val="left"/>
      <w:pPr>
        <w:ind w:left="5760" w:hanging="360"/>
      </w:pPr>
      <w:rPr>
        <w:rFonts w:hint="default" w:ascii="Symbol" w:hAnsi="Symbol"/>
      </w:rPr>
    </w:lvl>
    <w:lvl w:ilvl="7">
      <w:start w:val="1"/>
      <w:numFmt w:val="bullet"/>
      <w:isLgl w:val="false"/>
      <w:suff w:val="tab"/>
      <w:lvlText w:val="o"/>
      <w:lvlJc w:val="left"/>
      <w:pPr>
        <w:ind w:left="6480" w:hanging="360"/>
      </w:pPr>
      <w:rPr>
        <w:rFonts w:hint="default" w:ascii="Courier New" w:hAnsi="Courier New" w:cs="Courier New"/>
      </w:rPr>
    </w:lvl>
    <w:lvl w:ilvl="8">
      <w:start w:val="1"/>
      <w:numFmt w:val="bullet"/>
      <w:isLgl w:val="false"/>
      <w:suff w:val="tab"/>
      <w:lvlText w:val=""/>
      <w:lvlJc w:val="left"/>
      <w:pPr>
        <w:ind w:left="7200" w:hanging="360"/>
      </w:pPr>
      <w:rPr>
        <w:rFonts w:hint="default" w:ascii="Wingdings" w:hAnsi="Wingdings"/>
      </w:rPr>
    </w:lvl>
  </w:abstractNum>
  <w:abstractNum w:abstractNumId="41">
    <w:multiLevelType w:val="hybridMultilevel"/>
    <w:lvl w:ilvl="0">
      <w:start w:val="1"/>
      <w:numFmt w:val="decimal"/>
      <w:isLgl w:val="false"/>
      <w:suff w:val="tab"/>
      <w:lvlText w:val="%1."/>
      <w:lvlJc w:val="left"/>
      <w:pPr>
        <w:ind w:left="1428" w:hanging="360"/>
      </w:pPr>
      <w:rPr>
        <w:rFonts w:ascii="PT Astra Serif" w:hAnsi="PT Astra Serif" w:cs="Times New Roman" w:eastAsiaTheme="minorHAnsi"/>
      </w:rPr>
    </w:lvl>
    <w:lvl w:ilvl="1">
      <w:start w:val="1"/>
      <w:numFmt w:val="bullet"/>
      <w:isLgl w:val="false"/>
      <w:suff w:val="tab"/>
      <w:lvlText w:val="o"/>
      <w:lvlJc w:val="left"/>
      <w:pPr>
        <w:ind w:left="2148" w:hanging="360"/>
      </w:pPr>
      <w:rPr>
        <w:rFonts w:hint="default" w:ascii="Courier New" w:hAnsi="Courier New" w:cs="Courier New"/>
      </w:rPr>
    </w:lvl>
    <w:lvl w:ilvl="2">
      <w:start w:val="1"/>
      <w:numFmt w:val="bullet"/>
      <w:isLgl w:val="false"/>
      <w:suff w:val="tab"/>
      <w:lvlText w:val=""/>
      <w:lvlJc w:val="left"/>
      <w:pPr>
        <w:ind w:left="2868" w:hanging="360"/>
      </w:pPr>
      <w:rPr>
        <w:rFonts w:hint="default" w:ascii="Wingdings" w:hAnsi="Wingdings"/>
      </w:rPr>
    </w:lvl>
    <w:lvl w:ilvl="3">
      <w:start w:val="1"/>
      <w:numFmt w:val="bullet"/>
      <w:isLgl w:val="false"/>
      <w:suff w:val="tab"/>
      <w:lvlText w:val=""/>
      <w:lvlJc w:val="left"/>
      <w:pPr>
        <w:ind w:left="3588" w:hanging="360"/>
      </w:pPr>
      <w:rPr>
        <w:rFonts w:hint="default" w:ascii="Symbol" w:hAnsi="Symbol"/>
      </w:rPr>
    </w:lvl>
    <w:lvl w:ilvl="4">
      <w:start w:val="1"/>
      <w:numFmt w:val="bullet"/>
      <w:isLgl w:val="false"/>
      <w:suff w:val="tab"/>
      <w:lvlText w:val="o"/>
      <w:lvlJc w:val="left"/>
      <w:pPr>
        <w:ind w:left="4308" w:hanging="360"/>
      </w:pPr>
      <w:rPr>
        <w:rFonts w:hint="default" w:ascii="Courier New" w:hAnsi="Courier New" w:cs="Courier New"/>
      </w:rPr>
    </w:lvl>
    <w:lvl w:ilvl="5">
      <w:start w:val="1"/>
      <w:numFmt w:val="bullet"/>
      <w:isLgl w:val="false"/>
      <w:suff w:val="tab"/>
      <w:lvlText w:val=""/>
      <w:lvlJc w:val="left"/>
      <w:pPr>
        <w:ind w:left="5028" w:hanging="360"/>
      </w:pPr>
      <w:rPr>
        <w:rFonts w:hint="default" w:ascii="Wingdings" w:hAnsi="Wingdings"/>
      </w:rPr>
    </w:lvl>
    <w:lvl w:ilvl="6">
      <w:start w:val="1"/>
      <w:numFmt w:val="bullet"/>
      <w:isLgl w:val="false"/>
      <w:suff w:val="tab"/>
      <w:lvlText w:val=""/>
      <w:lvlJc w:val="left"/>
      <w:pPr>
        <w:ind w:left="5748" w:hanging="360"/>
      </w:pPr>
      <w:rPr>
        <w:rFonts w:hint="default" w:ascii="Symbol" w:hAnsi="Symbol"/>
      </w:rPr>
    </w:lvl>
    <w:lvl w:ilvl="7">
      <w:start w:val="1"/>
      <w:numFmt w:val="bullet"/>
      <w:isLgl w:val="false"/>
      <w:suff w:val="tab"/>
      <w:lvlText w:val="o"/>
      <w:lvlJc w:val="left"/>
      <w:pPr>
        <w:ind w:left="6468" w:hanging="360"/>
      </w:pPr>
      <w:rPr>
        <w:rFonts w:hint="default" w:ascii="Courier New" w:hAnsi="Courier New" w:cs="Courier New"/>
      </w:rPr>
    </w:lvl>
    <w:lvl w:ilvl="8">
      <w:start w:val="1"/>
      <w:numFmt w:val="bullet"/>
      <w:isLgl w:val="false"/>
      <w:suff w:val="tab"/>
      <w:lvlText w:val=""/>
      <w:lvlJc w:val="left"/>
      <w:pPr>
        <w:ind w:left="7188" w:hanging="360"/>
      </w:pPr>
      <w:rPr>
        <w:rFonts w:hint="default" w:ascii="Wingdings" w:hAnsi="Wingdings"/>
      </w:rPr>
    </w:lvl>
  </w:abstractNum>
  <w:abstractNum w:abstractNumId="42">
    <w:multiLevelType w:val="hybridMultilevel"/>
    <w:lvl w:ilvl="0">
      <w:start w:val="1"/>
      <w:numFmt w:val="decimal"/>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43">
    <w:multiLevelType w:val="hybridMultilevel"/>
    <w:lvl w:ilvl="0">
      <w:start w:val="2"/>
      <w:numFmt w:val="bullet"/>
      <w:isLgl w:val="false"/>
      <w:suff w:val="tab"/>
      <w:lvlText w:val="‒"/>
      <w:lvlJc w:val="left"/>
      <w:pPr>
        <w:ind w:left="720" w:hanging="360"/>
      </w:pPr>
      <w:rPr>
        <w:rFonts w:hint="default"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44">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5">
    <w:multiLevelType w:val="hybridMultilevel"/>
    <w:lvl w:ilvl="0">
      <w:start w:val="2"/>
      <w:numFmt w:val="bullet"/>
      <w:isLgl w:val="false"/>
      <w:suff w:val="tab"/>
      <w:lvlText w:val="‒"/>
      <w:lvlJc w:val="left"/>
      <w:pPr>
        <w:ind w:left="1429" w:hanging="360"/>
      </w:pPr>
      <w:rPr>
        <w:rFonts w:hint="default" w:ascii="Times New Roman" w:hAnsi="Times New Roman" w:eastAsia="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46">
    <w:multiLevelType w:val="hybridMultilevel"/>
    <w:lvl w:ilvl="0">
      <w:start w:val="1"/>
      <w:numFmt w:val="decimal"/>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47">
    <w:multiLevelType w:val="hybridMultilevel"/>
    <w:lvl w:ilvl="0">
      <w:start w:val="2"/>
      <w:numFmt w:val="bullet"/>
      <w:isLgl w:val="false"/>
      <w:suff w:val="tab"/>
      <w:lvlText w:val="‒"/>
      <w:lvlJc w:val="left"/>
      <w:pPr>
        <w:ind w:left="1429" w:hanging="360"/>
      </w:pPr>
      <w:rPr>
        <w:rFonts w:hint="default" w:ascii="Times New Roman" w:hAnsi="Times New Roman" w:eastAsia="Times New Roman" w:cs="Times New Roman"/>
        <w:strike w:val="0"/>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48">
    <w:multiLevelType w:val="hybridMultilevel"/>
    <w:lvl w:ilvl="0">
      <w:start w:val="1"/>
      <w:numFmt w:val="bullet"/>
      <w:isLgl w:val="false"/>
      <w:suff w:val="tab"/>
      <w:lvlText w:val=""/>
      <w:lvlJc w:val="left"/>
      <w:pPr>
        <w:ind w:left="1353" w:hanging="360"/>
      </w:pPr>
      <w:rPr>
        <w:rFonts w:hint="default" w:ascii="Symbol" w:hAnsi="Symbol"/>
      </w:rPr>
    </w:lvl>
    <w:lvl w:ilvl="1">
      <w:start w:val="1"/>
      <w:numFmt w:val="bullet"/>
      <w:isLgl w:val="false"/>
      <w:suff w:val="tab"/>
      <w:lvlText w:val="o"/>
      <w:lvlJc w:val="left"/>
      <w:pPr>
        <w:ind w:left="2073" w:hanging="360"/>
      </w:pPr>
      <w:rPr>
        <w:rFonts w:hint="default" w:ascii="Courier New" w:hAnsi="Courier New" w:cs="Courier New"/>
      </w:rPr>
    </w:lvl>
    <w:lvl w:ilvl="2">
      <w:start w:val="1"/>
      <w:numFmt w:val="bullet"/>
      <w:isLgl w:val="false"/>
      <w:suff w:val="tab"/>
      <w:lvlText w:val=""/>
      <w:lvlJc w:val="left"/>
      <w:pPr>
        <w:ind w:left="2793" w:hanging="360"/>
      </w:pPr>
      <w:rPr>
        <w:rFonts w:hint="default" w:ascii="Wingdings" w:hAnsi="Wingdings"/>
      </w:rPr>
    </w:lvl>
    <w:lvl w:ilvl="3">
      <w:start w:val="1"/>
      <w:numFmt w:val="bullet"/>
      <w:isLgl w:val="false"/>
      <w:suff w:val="tab"/>
      <w:lvlText w:val=""/>
      <w:lvlJc w:val="left"/>
      <w:pPr>
        <w:ind w:left="3513" w:hanging="360"/>
      </w:pPr>
      <w:rPr>
        <w:rFonts w:hint="default" w:ascii="Symbol" w:hAnsi="Symbol"/>
      </w:rPr>
    </w:lvl>
    <w:lvl w:ilvl="4">
      <w:start w:val="1"/>
      <w:numFmt w:val="bullet"/>
      <w:isLgl w:val="false"/>
      <w:suff w:val="tab"/>
      <w:lvlText w:val="o"/>
      <w:lvlJc w:val="left"/>
      <w:pPr>
        <w:ind w:left="4233" w:hanging="360"/>
      </w:pPr>
      <w:rPr>
        <w:rFonts w:hint="default" w:ascii="Courier New" w:hAnsi="Courier New" w:cs="Courier New"/>
      </w:rPr>
    </w:lvl>
    <w:lvl w:ilvl="5">
      <w:start w:val="1"/>
      <w:numFmt w:val="bullet"/>
      <w:isLgl w:val="false"/>
      <w:suff w:val="tab"/>
      <w:lvlText w:val=""/>
      <w:lvlJc w:val="left"/>
      <w:pPr>
        <w:ind w:left="4953" w:hanging="360"/>
      </w:pPr>
      <w:rPr>
        <w:rFonts w:hint="default" w:ascii="Wingdings" w:hAnsi="Wingdings"/>
      </w:rPr>
    </w:lvl>
    <w:lvl w:ilvl="6">
      <w:start w:val="1"/>
      <w:numFmt w:val="bullet"/>
      <w:isLgl w:val="false"/>
      <w:suff w:val="tab"/>
      <w:lvlText w:val=""/>
      <w:lvlJc w:val="left"/>
      <w:pPr>
        <w:ind w:left="5673" w:hanging="360"/>
      </w:pPr>
      <w:rPr>
        <w:rFonts w:hint="default" w:ascii="Symbol" w:hAnsi="Symbol"/>
      </w:rPr>
    </w:lvl>
    <w:lvl w:ilvl="7">
      <w:start w:val="1"/>
      <w:numFmt w:val="bullet"/>
      <w:isLgl w:val="false"/>
      <w:suff w:val="tab"/>
      <w:lvlText w:val="o"/>
      <w:lvlJc w:val="left"/>
      <w:pPr>
        <w:ind w:left="6393" w:hanging="360"/>
      </w:pPr>
      <w:rPr>
        <w:rFonts w:hint="default" w:ascii="Courier New" w:hAnsi="Courier New" w:cs="Courier New"/>
      </w:rPr>
    </w:lvl>
    <w:lvl w:ilvl="8">
      <w:start w:val="1"/>
      <w:numFmt w:val="bullet"/>
      <w:isLgl w:val="false"/>
      <w:suff w:val="tab"/>
      <w:lvlText w:val=""/>
      <w:lvlJc w:val="left"/>
      <w:pPr>
        <w:ind w:left="7113" w:hanging="360"/>
      </w:pPr>
      <w:rPr>
        <w:rFonts w:hint="default" w:ascii="Wingdings" w:hAnsi="Wingdings"/>
      </w:rPr>
    </w:lvl>
  </w:abstractNum>
  <w:abstractNum w:abstractNumId="49">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50">
    <w:multiLevelType w:val="hybridMultilevel"/>
    <w:lvl w:ilvl="0">
      <w:start w:val="2"/>
      <w:numFmt w:val="bullet"/>
      <w:isLgl w:val="false"/>
      <w:suff w:val="tab"/>
      <w:lvlText w:val="‒"/>
      <w:lvlJc w:val="left"/>
      <w:pPr>
        <w:ind w:left="720" w:hanging="360"/>
      </w:pPr>
      <w:rPr>
        <w:rFonts w:hint="default"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51">
    <w:multiLevelType w:val="hybridMultilevel"/>
    <w:lvl w:ilvl="0">
      <w:start w:val="1"/>
      <w:numFmt w:val="bullet"/>
      <w:isLgl w:val="false"/>
      <w:suff w:val="tab"/>
      <w:lvlText w:val="-"/>
      <w:lvlJc w:val="left"/>
      <w:pPr>
        <w:ind w:left="1429" w:hanging="360"/>
      </w:pPr>
      <w:rPr>
        <w:rFonts w:hint="default" w:ascii="Vrinda" w:hAnsi="Vrinda"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52">
    <w:multiLevelType w:val="hybridMultilevel"/>
    <w:lvl w:ilvl="0">
      <w:start w:val="1"/>
      <w:numFmt w:val="decimal"/>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53">
    <w:multiLevelType w:val="hybridMultilevel"/>
    <w:lvl w:ilvl="0">
      <w:start w:val="2"/>
      <w:numFmt w:val="bullet"/>
      <w:isLgl w:val="false"/>
      <w:suff w:val="tab"/>
      <w:lvlText w:val="‒"/>
      <w:lvlJc w:val="left"/>
      <w:pPr>
        <w:ind w:left="1778" w:hanging="360"/>
      </w:pPr>
      <w:rPr>
        <w:rFonts w:hint="default" w:ascii="Times New Roman" w:hAnsi="Times New Roman" w:eastAsia="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54">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55">
    <w:multiLevelType w:val="hybridMultilevel"/>
    <w:lvl w:ilvl="0">
      <w:start w:val="2"/>
      <w:numFmt w:val="bullet"/>
      <w:isLgl w:val="false"/>
      <w:suff w:val="tab"/>
      <w:lvlText w:val="‒"/>
      <w:lvlJc w:val="left"/>
      <w:pPr>
        <w:ind w:left="3196" w:hanging="360"/>
      </w:pPr>
      <w:rPr>
        <w:rFonts w:hint="default" w:ascii="Times New Roman" w:hAnsi="Times New Roman" w:eastAsia="Times New Roman" w:cs="Times New Roman"/>
        <w:color w:val="auto"/>
      </w:rPr>
    </w:lvl>
    <w:lvl w:ilvl="1">
      <w:start w:val="1"/>
      <w:numFmt w:val="bullet"/>
      <w:isLgl w:val="false"/>
      <w:suff w:val="tab"/>
      <w:lvlText w:val="o"/>
      <w:lvlJc w:val="left"/>
      <w:pPr>
        <w:ind w:left="3916" w:hanging="360"/>
      </w:pPr>
      <w:rPr>
        <w:rFonts w:hint="default" w:ascii="Courier New" w:hAnsi="Courier New" w:cs="Courier New"/>
      </w:rPr>
    </w:lvl>
    <w:lvl w:ilvl="2">
      <w:start w:val="1"/>
      <w:numFmt w:val="bullet"/>
      <w:isLgl w:val="false"/>
      <w:suff w:val="tab"/>
      <w:lvlText w:val=""/>
      <w:lvlJc w:val="left"/>
      <w:pPr>
        <w:ind w:left="4636" w:hanging="360"/>
      </w:pPr>
      <w:rPr>
        <w:rFonts w:hint="default" w:ascii="Wingdings" w:hAnsi="Wingdings"/>
      </w:rPr>
    </w:lvl>
    <w:lvl w:ilvl="3">
      <w:start w:val="1"/>
      <w:numFmt w:val="bullet"/>
      <w:isLgl w:val="false"/>
      <w:suff w:val="tab"/>
      <w:lvlText w:val=""/>
      <w:lvlJc w:val="left"/>
      <w:pPr>
        <w:ind w:left="5356" w:hanging="360"/>
      </w:pPr>
      <w:rPr>
        <w:rFonts w:hint="default" w:ascii="Symbol" w:hAnsi="Symbol"/>
      </w:rPr>
    </w:lvl>
    <w:lvl w:ilvl="4">
      <w:start w:val="1"/>
      <w:numFmt w:val="bullet"/>
      <w:isLgl w:val="false"/>
      <w:suff w:val="tab"/>
      <w:lvlText w:val="o"/>
      <w:lvlJc w:val="left"/>
      <w:pPr>
        <w:ind w:left="6076" w:hanging="360"/>
      </w:pPr>
      <w:rPr>
        <w:rFonts w:hint="default" w:ascii="Courier New" w:hAnsi="Courier New" w:cs="Courier New"/>
      </w:rPr>
    </w:lvl>
    <w:lvl w:ilvl="5">
      <w:start w:val="1"/>
      <w:numFmt w:val="bullet"/>
      <w:isLgl w:val="false"/>
      <w:suff w:val="tab"/>
      <w:lvlText w:val=""/>
      <w:lvlJc w:val="left"/>
      <w:pPr>
        <w:ind w:left="6796" w:hanging="360"/>
      </w:pPr>
      <w:rPr>
        <w:rFonts w:hint="default" w:ascii="Wingdings" w:hAnsi="Wingdings"/>
      </w:rPr>
    </w:lvl>
    <w:lvl w:ilvl="6">
      <w:start w:val="1"/>
      <w:numFmt w:val="bullet"/>
      <w:isLgl w:val="false"/>
      <w:suff w:val="tab"/>
      <w:lvlText w:val=""/>
      <w:lvlJc w:val="left"/>
      <w:pPr>
        <w:ind w:left="7516" w:hanging="360"/>
      </w:pPr>
      <w:rPr>
        <w:rFonts w:hint="default" w:ascii="Symbol" w:hAnsi="Symbol"/>
      </w:rPr>
    </w:lvl>
    <w:lvl w:ilvl="7">
      <w:start w:val="1"/>
      <w:numFmt w:val="bullet"/>
      <w:isLgl w:val="false"/>
      <w:suff w:val="tab"/>
      <w:lvlText w:val="o"/>
      <w:lvlJc w:val="left"/>
      <w:pPr>
        <w:ind w:left="8236" w:hanging="360"/>
      </w:pPr>
      <w:rPr>
        <w:rFonts w:hint="default" w:ascii="Courier New" w:hAnsi="Courier New" w:cs="Courier New"/>
      </w:rPr>
    </w:lvl>
    <w:lvl w:ilvl="8">
      <w:start w:val="1"/>
      <w:numFmt w:val="bullet"/>
      <w:isLgl w:val="false"/>
      <w:suff w:val="tab"/>
      <w:lvlText w:val=""/>
      <w:lvlJc w:val="left"/>
      <w:pPr>
        <w:ind w:left="8956" w:hanging="360"/>
      </w:pPr>
      <w:rPr>
        <w:rFonts w:hint="default" w:ascii="Wingdings" w:hAnsi="Wingdings"/>
      </w:rPr>
    </w:lvl>
  </w:abstractNum>
  <w:abstractNum w:abstractNumId="56">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57">
    <w:multiLevelType w:val="hybridMultilevel"/>
    <w:lvl w:ilvl="0">
      <w:start w:val="2"/>
      <w:numFmt w:val="bullet"/>
      <w:isLgl w:val="false"/>
      <w:suff w:val="tab"/>
      <w:lvlText w:val="‒"/>
      <w:lvlJc w:val="left"/>
      <w:pPr>
        <w:ind w:left="1429" w:hanging="360"/>
      </w:pPr>
      <w:rPr>
        <w:rFonts w:hint="default" w:ascii="Times New Roman" w:hAnsi="Times New Roman" w:eastAsia="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58">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59">
    <w:multiLevelType w:val="hybridMultilevel"/>
    <w:lvl w:ilvl="0">
      <w:start w:val="2"/>
      <w:numFmt w:val="bullet"/>
      <w:isLgl w:val="false"/>
      <w:suff w:val="tab"/>
      <w:lvlText w:val="‒"/>
      <w:lvlJc w:val="left"/>
      <w:pPr>
        <w:ind w:left="1429" w:hanging="360"/>
      </w:pPr>
      <w:rPr>
        <w:rFonts w:hint="default" w:ascii="Times New Roman" w:hAnsi="Times New Roman" w:eastAsia="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60">
    <w:multiLevelType w:val="hybridMultilevel"/>
    <w:lvl w:ilvl="0">
      <w:start w:val="2"/>
      <w:numFmt w:val="bullet"/>
      <w:isLgl w:val="false"/>
      <w:suff w:val="tab"/>
      <w:lvlText w:val="‒"/>
      <w:lvlJc w:val="left"/>
      <w:pPr>
        <w:ind w:left="1287" w:hanging="360"/>
      </w:pPr>
      <w:rPr>
        <w:rFonts w:hint="default" w:ascii="Times New Roman" w:hAnsi="Times New Roman" w:eastAsia="Times New Roman" w:cs="Times New Roman"/>
      </w:rPr>
    </w:lvl>
    <w:lvl w:ilvl="1">
      <w:start w:val="1"/>
      <w:numFmt w:val="bullet"/>
      <w:isLgl w:val="false"/>
      <w:suff w:val="tab"/>
      <w:lvlText w:val="o"/>
      <w:lvlJc w:val="left"/>
      <w:pPr>
        <w:ind w:left="2007" w:hanging="360"/>
      </w:pPr>
      <w:rPr>
        <w:rFonts w:hint="default" w:ascii="Courier New" w:hAnsi="Courier New" w:cs="Courier New"/>
      </w:rPr>
    </w:lvl>
    <w:lvl w:ilvl="2">
      <w:start w:val="1"/>
      <w:numFmt w:val="bullet"/>
      <w:isLgl w:val="false"/>
      <w:suff w:val="tab"/>
      <w:lvlText w:val=""/>
      <w:lvlJc w:val="left"/>
      <w:pPr>
        <w:ind w:left="2727" w:hanging="360"/>
      </w:pPr>
      <w:rPr>
        <w:rFonts w:hint="default" w:ascii="Wingdings" w:hAnsi="Wingdings"/>
      </w:rPr>
    </w:lvl>
    <w:lvl w:ilvl="3">
      <w:start w:val="1"/>
      <w:numFmt w:val="bullet"/>
      <w:isLgl w:val="false"/>
      <w:suff w:val="tab"/>
      <w:lvlText w:val=""/>
      <w:lvlJc w:val="left"/>
      <w:pPr>
        <w:ind w:left="3447" w:hanging="360"/>
      </w:pPr>
      <w:rPr>
        <w:rFonts w:hint="default" w:ascii="Symbol" w:hAnsi="Symbol"/>
      </w:rPr>
    </w:lvl>
    <w:lvl w:ilvl="4">
      <w:start w:val="1"/>
      <w:numFmt w:val="bullet"/>
      <w:isLgl w:val="false"/>
      <w:suff w:val="tab"/>
      <w:lvlText w:val="o"/>
      <w:lvlJc w:val="left"/>
      <w:pPr>
        <w:ind w:left="4167" w:hanging="360"/>
      </w:pPr>
      <w:rPr>
        <w:rFonts w:hint="default" w:ascii="Courier New" w:hAnsi="Courier New" w:cs="Courier New"/>
      </w:rPr>
    </w:lvl>
    <w:lvl w:ilvl="5">
      <w:start w:val="1"/>
      <w:numFmt w:val="bullet"/>
      <w:isLgl w:val="false"/>
      <w:suff w:val="tab"/>
      <w:lvlText w:val=""/>
      <w:lvlJc w:val="left"/>
      <w:pPr>
        <w:ind w:left="4887" w:hanging="360"/>
      </w:pPr>
      <w:rPr>
        <w:rFonts w:hint="default" w:ascii="Wingdings" w:hAnsi="Wingdings"/>
      </w:rPr>
    </w:lvl>
    <w:lvl w:ilvl="6">
      <w:start w:val="1"/>
      <w:numFmt w:val="bullet"/>
      <w:isLgl w:val="false"/>
      <w:suff w:val="tab"/>
      <w:lvlText w:val=""/>
      <w:lvlJc w:val="left"/>
      <w:pPr>
        <w:ind w:left="5607" w:hanging="360"/>
      </w:pPr>
      <w:rPr>
        <w:rFonts w:hint="default" w:ascii="Symbol" w:hAnsi="Symbol"/>
      </w:rPr>
    </w:lvl>
    <w:lvl w:ilvl="7">
      <w:start w:val="1"/>
      <w:numFmt w:val="bullet"/>
      <w:isLgl w:val="false"/>
      <w:suff w:val="tab"/>
      <w:lvlText w:val="o"/>
      <w:lvlJc w:val="left"/>
      <w:pPr>
        <w:ind w:left="6327" w:hanging="360"/>
      </w:pPr>
      <w:rPr>
        <w:rFonts w:hint="default" w:ascii="Courier New" w:hAnsi="Courier New" w:cs="Courier New"/>
      </w:rPr>
    </w:lvl>
    <w:lvl w:ilvl="8">
      <w:start w:val="1"/>
      <w:numFmt w:val="bullet"/>
      <w:isLgl w:val="false"/>
      <w:suff w:val="tab"/>
      <w:lvlText w:val=""/>
      <w:lvlJc w:val="left"/>
      <w:pPr>
        <w:ind w:left="7047" w:hanging="360"/>
      </w:pPr>
      <w:rPr>
        <w:rFonts w:hint="default" w:ascii="Wingdings" w:hAnsi="Wingdings"/>
      </w:rPr>
    </w:lvl>
  </w:abstractNum>
  <w:abstractNum w:abstractNumId="61">
    <w:multiLevelType w:val="hybridMultilevel"/>
    <w:lvl w:ilvl="0">
      <w:start w:val="1"/>
      <w:numFmt w:val="decimal"/>
      <w:isLgl w:val="false"/>
      <w:suff w:val="tab"/>
      <w:lvlText w:val="%1."/>
      <w:lvlJc w:val="left"/>
      <w:pPr>
        <w:ind w:left="1069" w:hanging="360"/>
      </w:pPr>
      <w:rPr>
        <w:rFonts w:ascii="Times New Roman" w:hAnsi="Times New Roman" w:cs="Times New Roman" w:eastAsiaTheme="minorHAnsi"/>
        <w:b w:val="0"/>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360"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62">
    <w:multiLevelType w:val="hybridMultilevel"/>
    <w:lvl w:ilvl="0">
      <w:start w:val="2"/>
      <w:numFmt w:val="bullet"/>
      <w:isLgl w:val="false"/>
      <w:suff w:val="tab"/>
      <w:lvlText w:val="‒"/>
      <w:lvlJc w:val="left"/>
      <w:pPr>
        <w:ind w:left="720" w:hanging="360"/>
      </w:pPr>
      <w:rPr>
        <w:rFonts w:hint="default"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63">
    <w:multiLevelType w:val="hybridMultilevel"/>
    <w:lvl w:ilvl="0">
      <w:start w:val="2"/>
      <w:numFmt w:val="bullet"/>
      <w:isLgl w:val="false"/>
      <w:suff w:val="tab"/>
      <w:lvlText w:val="‒"/>
      <w:lvlJc w:val="left"/>
      <w:pPr>
        <w:ind w:left="2487" w:hanging="360"/>
      </w:pPr>
      <w:rPr>
        <w:rFonts w:hint="default"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64">
    <w:multiLevelType w:val="hybridMultilevel"/>
    <w:lvl w:ilvl="0">
      <w:start w:val="2"/>
      <w:numFmt w:val="bullet"/>
      <w:isLgl w:val="false"/>
      <w:suff w:val="tab"/>
      <w:lvlText w:val="‒"/>
      <w:lvlJc w:val="left"/>
      <w:pPr>
        <w:ind w:left="1429" w:hanging="360"/>
      </w:pPr>
      <w:rPr>
        <w:rFonts w:hint="default" w:ascii="Times New Roman" w:hAnsi="Times New Roman" w:eastAsia="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65">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66">
    <w:multiLevelType w:val="hybridMultilevel"/>
    <w:lvl w:ilvl="0">
      <w:start w:val="1"/>
      <w:numFmt w:val="decimal"/>
      <w:isLgl w:val="false"/>
      <w:suff w:val="tab"/>
      <w:lvlText w:val="%1."/>
      <w:lvlJc w:val="left"/>
      <w:pPr>
        <w:ind w:left="1068" w:hanging="360"/>
      </w:pPr>
      <w:rPr>
        <w:rFonts w:hint="default" w:ascii="Times New Roman" w:hAnsi="Times New Roman" w:cs="Times New Roman" w:eastAsiaTheme="minorHAnsi"/>
        <w:b w:val="0"/>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67">
    <w:multiLevelType w:val="hybridMultilevel"/>
    <w:lvl w:ilvl="0">
      <w:start w:val="1"/>
      <w:numFmt w:val="decimal"/>
      <w:isLgl w:val="false"/>
      <w:suff w:val="tab"/>
      <w:lvlText w:val="%1."/>
      <w:lvlJc w:val="left"/>
      <w:pPr>
        <w:ind w:left="720" w:hanging="360"/>
      </w:pPr>
      <w:rPr>
        <w:color w:val="auto"/>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68">
    <w:multiLevelType w:val="hybridMultilevel"/>
    <w:lvl w:ilvl="0">
      <w:start w:val="2"/>
      <w:numFmt w:val="bullet"/>
      <w:isLgl w:val="false"/>
      <w:suff w:val="tab"/>
      <w:lvlText w:val="‒"/>
      <w:lvlJc w:val="left"/>
      <w:pPr>
        <w:ind w:left="1429" w:hanging="360"/>
      </w:pPr>
      <w:rPr>
        <w:rFonts w:hint="default" w:ascii="Times New Roman" w:hAnsi="Times New Roman" w:eastAsia="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num w:numId="1">
    <w:abstractNumId w:val="25"/>
  </w:num>
  <w:num w:numId="2">
    <w:abstractNumId w:val="35"/>
  </w:num>
  <w:num w:numId="3">
    <w:abstractNumId w:val="42"/>
  </w:num>
  <w:num w:numId="4">
    <w:abstractNumId w:val="22"/>
  </w:num>
  <w:num w:numId="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num>
  <w:num w:numId="7">
    <w:abstractNumId w:val="63"/>
  </w:num>
  <w:num w:numId="8">
    <w:abstractNumId w:val="34"/>
  </w:num>
  <w:num w:numId="9">
    <w:abstractNumId w:val="17"/>
  </w:num>
  <w:num w:numId="10">
    <w:abstractNumId w:val="28"/>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8"/>
  </w:num>
  <w:num w:numId="16">
    <w:abstractNumId w:val="65"/>
  </w:num>
  <w:num w:numId="17">
    <w:abstractNumId w:val="24"/>
  </w:num>
  <w:num w:numId="18">
    <w:abstractNumId w:val="8"/>
  </w:num>
  <w:num w:numId="19">
    <w:abstractNumId w:val="62"/>
  </w:num>
  <w:num w:numId="20">
    <w:abstractNumId w:val="15"/>
  </w:num>
  <w:num w:numId="21">
    <w:abstractNumId w:val="61"/>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num>
  <w:num w:numId="24">
    <w:abstractNumId w:val="4"/>
  </w:num>
  <w:num w:numId="2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5"/>
  </w:num>
  <w:num w:numId="27">
    <w:abstractNumId w:val="56"/>
  </w:num>
  <w:num w:numId="28">
    <w:abstractNumId w:val="0"/>
  </w:num>
  <w:num w:numId="29">
    <w:abstractNumId w:val="5"/>
  </w:num>
  <w:num w:numId="30">
    <w:abstractNumId w:val="26"/>
  </w:num>
  <w:num w:numId="31">
    <w:abstractNumId w:val="43"/>
  </w:num>
  <w:num w:numId="3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27"/>
  </w:num>
  <w:num w:numId="35">
    <w:abstractNumId w:val="31"/>
  </w:num>
  <w:num w:numId="36">
    <w:abstractNumId w:val="33"/>
  </w:num>
  <w:num w:numId="3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8"/>
  </w:num>
  <w:num w:numId="39">
    <w:abstractNumId w:val="45"/>
  </w:num>
  <w:num w:numId="40">
    <w:abstractNumId w:val="11"/>
  </w:num>
  <w:num w:numId="41">
    <w:abstractNumId w:val="60"/>
  </w:num>
  <w:num w:numId="42">
    <w:abstractNumId w:val="38"/>
  </w:num>
  <w:num w:numId="43">
    <w:abstractNumId w:val="52"/>
  </w:num>
  <w:num w:numId="44">
    <w:abstractNumId w:val="12"/>
  </w:num>
  <w:num w:numId="45">
    <w:abstractNumId w:val="47"/>
  </w:num>
  <w:num w:numId="46">
    <w:abstractNumId w:val="59"/>
  </w:num>
  <w:num w:numId="47">
    <w:abstractNumId w:val="57"/>
  </w:num>
  <w:num w:numId="48">
    <w:abstractNumId w:val="10"/>
  </w:num>
  <w:num w:numId="49">
    <w:abstractNumId w:val="40"/>
  </w:num>
  <w:num w:numId="50">
    <w:abstractNumId w:val="3"/>
  </w:num>
  <w:num w:numId="51">
    <w:abstractNumId w:val="50"/>
  </w:num>
  <w:num w:numId="52">
    <w:abstractNumId w:val="54"/>
  </w:num>
  <w:num w:numId="53">
    <w:abstractNumId w:val="46"/>
  </w:num>
  <w:num w:numId="54">
    <w:abstractNumId w:val="48"/>
  </w:num>
  <w:num w:numId="55">
    <w:abstractNumId w:val="53"/>
  </w:num>
  <w:num w:numId="56">
    <w:abstractNumId w:val="18"/>
  </w:num>
  <w:num w:numId="57">
    <w:abstractNumId w:val="64"/>
  </w:num>
  <w:num w:numId="58">
    <w:abstractNumId w:val="21"/>
  </w:num>
  <w:num w:numId="59">
    <w:abstractNumId w:val="29"/>
  </w:num>
  <w:num w:numId="60">
    <w:abstractNumId w:val="1"/>
  </w:num>
  <w:num w:numId="61">
    <w:abstractNumId w:val="16"/>
  </w:num>
  <w:num w:numId="62">
    <w:abstractNumId w:val="19"/>
  </w:num>
  <w:num w:numId="63">
    <w:abstractNumId w:val="51"/>
  </w:num>
  <w:num w:numId="64">
    <w:abstractNumId w:val="9"/>
  </w:num>
  <w:num w:numId="65">
    <w:abstractNumId w:val="2"/>
  </w:num>
  <w:num w:numId="66">
    <w:abstractNumId w:val="49"/>
  </w:num>
  <w:num w:numId="6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3"/>
  </w:num>
  <w:num w:numId="6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7">
    <w:name w:val="Heading 1 Char"/>
    <w:basedOn w:val="1124"/>
    <w:link w:val="1121"/>
    <w:uiPriority w:val="9"/>
    <w:rPr>
      <w:rFonts w:ascii="Arial" w:hAnsi="Arial" w:eastAsia="Arial" w:cs="Arial"/>
      <w:sz w:val="40"/>
      <w:szCs w:val="40"/>
    </w:rPr>
  </w:style>
  <w:style w:type="character" w:styleId="958">
    <w:name w:val="Heading 2 Char"/>
    <w:basedOn w:val="1124"/>
    <w:link w:val="1122"/>
    <w:uiPriority w:val="9"/>
    <w:rPr>
      <w:rFonts w:ascii="Arial" w:hAnsi="Arial" w:eastAsia="Arial" w:cs="Arial"/>
      <w:sz w:val="34"/>
    </w:rPr>
  </w:style>
  <w:style w:type="character" w:styleId="959">
    <w:name w:val="Heading 3 Char"/>
    <w:basedOn w:val="1124"/>
    <w:link w:val="1123"/>
    <w:uiPriority w:val="9"/>
    <w:rPr>
      <w:rFonts w:ascii="Arial" w:hAnsi="Arial" w:eastAsia="Arial" w:cs="Arial"/>
      <w:sz w:val="30"/>
      <w:szCs w:val="30"/>
    </w:rPr>
  </w:style>
  <w:style w:type="paragraph" w:styleId="960">
    <w:name w:val="Heading 4"/>
    <w:basedOn w:val="1120"/>
    <w:next w:val="1120"/>
    <w:link w:val="961"/>
    <w:uiPriority w:val="9"/>
    <w:unhideWhenUsed/>
    <w:qFormat/>
    <w:pPr>
      <w:keepLines/>
      <w:keepNext/>
      <w:spacing w:before="320" w:after="200"/>
      <w:outlineLvl w:val="3"/>
    </w:pPr>
    <w:rPr>
      <w:rFonts w:ascii="Arial" w:hAnsi="Arial" w:eastAsia="Arial" w:cs="Arial"/>
      <w:b/>
      <w:bCs/>
      <w:sz w:val="26"/>
      <w:szCs w:val="26"/>
    </w:rPr>
  </w:style>
  <w:style w:type="character" w:styleId="961">
    <w:name w:val="Heading 4 Char"/>
    <w:basedOn w:val="1124"/>
    <w:link w:val="960"/>
    <w:uiPriority w:val="9"/>
    <w:rPr>
      <w:rFonts w:ascii="Arial" w:hAnsi="Arial" w:eastAsia="Arial" w:cs="Arial"/>
      <w:b/>
      <w:bCs/>
      <w:sz w:val="26"/>
      <w:szCs w:val="26"/>
    </w:rPr>
  </w:style>
  <w:style w:type="paragraph" w:styleId="962">
    <w:name w:val="Heading 5"/>
    <w:basedOn w:val="1120"/>
    <w:next w:val="1120"/>
    <w:link w:val="963"/>
    <w:uiPriority w:val="9"/>
    <w:unhideWhenUsed/>
    <w:qFormat/>
    <w:pPr>
      <w:keepLines/>
      <w:keepNext/>
      <w:spacing w:before="320" w:after="200"/>
      <w:outlineLvl w:val="4"/>
    </w:pPr>
    <w:rPr>
      <w:rFonts w:ascii="Arial" w:hAnsi="Arial" w:eastAsia="Arial" w:cs="Arial"/>
      <w:b/>
      <w:bCs/>
      <w:sz w:val="24"/>
      <w:szCs w:val="24"/>
    </w:rPr>
  </w:style>
  <w:style w:type="character" w:styleId="963">
    <w:name w:val="Heading 5 Char"/>
    <w:basedOn w:val="1124"/>
    <w:link w:val="962"/>
    <w:uiPriority w:val="9"/>
    <w:rPr>
      <w:rFonts w:ascii="Arial" w:hAnsi="Arial" w:eastAsia="Arial" w:cs="Arial"/>
      <w:b/>
      <w:bCs/>
      <w:sz w:val="24"/>
      <w:szCs w:val="24"/>
    </w:rPr>
  </w:style>
  <w:style w:type="paragraph" w:styleId="964">
    <w:name w:val="Heading 6"/>
    <w:basedOn w:val="1120"/>
    <w:next w:val="1120"/>
    <w:link w:val="965"/>
    <w:uiPriority w:val="9"/>
    <w:unhideWhenUsed/>
    <w:qFormat/>
    <w:pPr>
      <w:keepLines/>
      <w:keepNext/>
      <w:spacing w:before="320" w:after="200"/>
      <w:outlineLvl w:val="5"/>
    </w:pPr>
    <w:rPr>
      <w:rFonts w:ascii="Arial" w:hAnsi="Arial" w:eastAsia="Arial" w:cs="Arial"/>
      <w:b/>
      <w:bCs/>
      <w:sz w:val="22"/>
      <w:szCs w:val="22"/>
    </w:rPr>
  </w:style>
  <w:style w:type="character" w:styleId="965">
    <w:name w:val="Heading 6 Char"/>
    <w:basedOn w:val="1124"/>
    <w:link w:val="964"/>
    <w:uiPriority w:val="9"/>
    <w:rPr>
      <w:rFonts w:ascii="Arial" w:hAnsi="Arial" w:eastAsia="Arial" w:cs="Arial"/>
      <w:b/>
      <w:bCs/>
      <w:sz w:val="22"/>
      <w:szCs w:val="22"/>
    </w:rPr>
  </w:style>
  <w:style w:type="paragraph" w:styleId="966">
    <w:name w:val="Heading 7"/>
    <w:basedOn w:val="1120"/>
    <w:next w:val="1120"/>
    <w:link w:val="967"/>
    <w:uiPriority w:val="9"/>
    <w:unhideWhenUsed/>
    <w:qFormat/>
    <w:pPr>
      <w:keepLines/>
      <w:keepNext/>
      <w:spacing w:before="320" w:after="200"/>
      <w:outlineLvl w:val="6"/>
    </w:pPr>
    <w:rPr>
      <w:rFonts w:ascii="Arial" w:hAnsi="Arial" w:eastAsia="Arial" w:cs="Arial"/>
      <w:b/>
      <w:bCs/>
      <w:i/>
      <w:iCs/>
      <w:sz w:val="22"/>
      <w:szCs w:val="22"/>
    </w:rPr>
  </w:style>
  <w:style w:type="character" w:styleId="967">
    <w:name w:val="Heading 7 Char"/>
    <w:basedOn w:val="1124"/>
    <w:link w:val="966"/>
    <w:uiPriority w:val="9"/>
    <w:rPr>
      <w:rFonts w:ascii="Arial" w:hAnsi="Arial" w:eastAsia="Arial" w:cs="Arial"/>
      <w:b/>
      <w:bCs/>
      <w:i/>
      <w:iCs/>
      <w:sz w:val="22"/>
      <w:szCs w:val="22"/>
    </w:rPr>
  </w:style>
  <w:style w:type="paragraph" w:styleId="968">
    <w:name w:val="Heading 8"/>
    <w:basedOn w:val="1120"/>
    <w:next w:val="1120"/>
    <w:link w:val="969"/>
    <w:uiPriority w:val="9"/>
    <w:unhideWhenUsed/>
    <w:qFormat/>
    <w:pPr>
      <w:keepLines/>
      <w:keepNext/>
      <w:spacing w:before="320" w:after="200"/>
      <w:outlineLvl w:val="7"/>
    </w:pPr>
    <w:rPr>
      <w:rFonts w:ascii="Arial" w:hAnsi="Arial" w:eastAsia="Arial" w:cs="Arial"/>
      <w:i/>
      <w:iCs/>
      <w:sz w:val="22"/>
      <w:szCs w:val="22"/>
    </w:rPr>
  </w:style>
  <w:style w:type="character" w:styleId="969">
    <w:name w:val="Heading 8 Char"/>
    <w:basedOn w:val="1124"/>
    <w:link w:val="968"/>
    <w:uiPriority w:val="9"/>
    <w:rPr>
      <w:rFonts w:ascii="Arial" w:hAnsi="Arial" w:eastAsia="Arial" w:cs="Arial"/>
      <w:i/>
      <w:iCs/>
      <w:sz w:val="22"/>
      <w:szCs w:val="22"/>
    </w:rPr>
  </w:style>
  <w:style w:type="paragraph" w:styleId="970">
    <w:name w:val="Heading 9"/>
    <w:basedOn w:val="1120"/>
    <w:next w:val="1120"/>
    <w:link w:val="971"/>
    <w:uiPriority w:val="9"/>
    <w:unhideWhenUsed/>
    <w:qFormat/>
    <w:pPr>
      <w:keepLines/>
      <w:keepNext/>
      <w:spacing w:before="320" w:after="200"/>
      <w:outlineLvl w:val="8"/>
    </w:pPr>
    <w:rPr>
      <w:rFonts w:ascii="Arial" w:hAnsi="Arial" w:eastAsia="Arial" w:cs="Arial"/>
      <w:i/>
      <w:iCs/>
      <w:sz w:val="21"/>
      <w:szCs w:val="21"/>
    </w:rPr>
  </w:style>
  <w:style w:type="character" w:styleId="971">
    <w:name w:val="Heading 9 Char"/>
    <w:basedOn w:val="1124"/>
    <w:link w:val="970"/>
    <w:uiPriority w:val="9"/>
    <w:rPr>
      <w:rFonts w:ascii="Arial" w:hAnsi="Arial" w:eastAsia="Arial" w:cs="Arial"/>
      <w:i/>
      <w:iCs/>
      <w:sz w:val="21"/>
      <w:szCs w:val="21"/>
    </w:rPr>
  </w:style>
  <w:style w:type="character" w:styleId="972">
    <w:name w:val="Title Char"/>
    <w:basedOn w:val="1124"/>
    <w:link w:val="1172"/>
    <w:uiPriority w:val="10"/>
    <w:rPr>
      <w:sz w:val="48"/>
      <w:szCs w:val="48"/>
    </w:rPr>
  </w:style>
  <w:style w:type="paragraph" w:styleId="973">
    <w:name w:val="Subtitle"/>
    <w:basedOn w:val="1120"/>
    <w:next w:val="1120"/>
    <w:link w:val="974"/>
    <w:uiPriority w:val="11"/>
    <w:qFormat/>
    <w:pPr>
      <w:spacing w:before="200" w:after="200"/>
    </w:pPr>
    <w:rPr>
      <w:sz w:val="24"/>
      <w:szCs w:val="24"/>
    </w:rPr>
  </w:style>
  <w:style w:type="character" w:styleId="974">
    <w:name w:val="Subtitle Char"/>
    <w:basedOn w:val="1124"/>
    <w:link w:val="973"/>
    <w:uiPriority w:val="11"/>
    <w:rPr>
      <w:sz w:val="24"/>
      <w:szCs w:val="24"/>
    </w:rPr>
  </w:style>
  <w:style w:type="paragraph" w:styleId="975">
    <w:name w:val="Quote"/>
    <w:basedOn w:val="1120"/>
    <w:next w:val="1120"/>
    <w:link w:val="976"/>
    <w:uiPriority w:val="29"/>
    <w:qFormat/>
    <w:pPr>
      <w:ind w:left="720" w:right="720"/>
    </w:pPr>
    <w:rPr>
      <w:i/>
    </w:rPr>
  </w:style>
  <w:style w:type="character" w:styleId="976">
    <w:name w:val="Quote Char"/>
    <w:link w:val="975"/>
    <w:uiPriority w:val="29"/>
    <w:rPr>
      <w:i/>
    </w:rPr>
  </w:style>
  <w:style w:type="paragraph" w:styleId="977">
    <w:name w:val="Intense Quote"/>
    <w:basedOn w:val="1120"/>
    <w:next w:val="1120"/>
    <w:link w:val="9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8">
    <w:name w:val="Intense Quote Char"/>
    <w:link w:val="977"/>
    <w:uiPriority w:val="30"/>
    <w:rPr>
      <w:i/>
    </w:rPr>
  </w:style>
  <w:style w:type="character" w:styleId="979">
    <w:name w:val="Header Char"/>
    <w:basedOn w:val="1124"/>
    <w:link w:val="1184"/>
    <w:uiPriority w:val="99"/>
  </w:style>
  <w:style w:type="character" w:styleId="980">
    <w:name w:val="Footer Char"/>
    <w:basedOn w:val="1124"/>
    <w:link w:val="1158"/>
    <w:uiPriority w:val="99"/>
  </w:style>
  <w:style w:type="paragraph" w:styleId="981">
    <w:name w:val="Caption"/>
    <w:basedOn w:val="1120"/>
    <w:next w:val="1120"/>
    <w:uiPriority w:val="35"/>
    <w:semiHidden/>
    <w:unhideWhenUsed/>
    <w:qFormat/>
    <w:pPr>
      <w:spacing w:line="276" w:lineRule="auto"/>
    </w:pPr>
    <w:rPr>
      <w:b/>
      <w:bCs/>
      <w:color w:val="4f81bd" w:themeColor="accent1"/>
      <w:sz w:val="18"/>
      <w:szCs w:val="18"/>
    </w:rPr>
  </w:style>
  <w:style w:type="character" w:styleId="982">
    <w:name w:val="Caption Char"/>
    <w:basedOn w:val="981"/>
    <w:link w:val="1158"/>
    <w:uiPriority w:val="99"/>
  </w:style>
  <w:style w:type="table" w:styleId="983">
    <w:name w:val="Table Grid Light"/>
    <w:basedOn w:val="11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4">
    <w:name w:val="Plain Table 1"/>
    <w:basedOn w:val="11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5">
    <w:name w:val="Plain Table 2"/>
    <w:basedOn w:val="11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6">
    <w:name w:val="Plain Table 3"/>
    <w:basedOn w:val="11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7">
    <w:name w:val="Plain Table 4"/>
    <w:basedOn w:val="11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8">
    <w:name w:val="Plain Table 5"/>
    <w:basedOn w:val="11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9">
    <w:name w:val="Grid Table 1 Light"/>
    <w:basedOn w:val="11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0">
    <w:name w:val="Grid Table 1 Light - Accent 1"/>
    <w:basedOn w:val="11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1">
    <w:name w:val="Grid Table 1 Light - Accent 2"/>
    <w:basedOn w:val="11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2">
    <w:name w:val="Grid Table 1 Light - Accent 3"/>
    <w:basedOn w:val="11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3">
    <w:name w:val="Grid Table 1 Light - Accent 4"/>
    <w:basedOn w:val="11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4">
    <w:name w:val="Grid Table 1 Light - Accent 5"/>
    <w:basedOn w:val="11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5">
    <w:name w:val="Grid Table 1 Light - Accent 6"/>
    <w:basedOn w:val="11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6">
    <w:name w:val="Grid Table 2"/>
    <w:basedOn w:val="11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7">
    <w:name w:val="Grid Table 2 - Accent 1"/>
    <w:basedOn w:val="11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8">
    <w:name w:val="Grid Table 2 - Accent 2"/>
    <w:basedOn w:val="11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9">
    <w:name w:val="Grid Table 2 - Accent 3"/>
    <w:basedOn w:val="11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0">
    <w:name w:val="Grid Table 2 - Accent 4"/>
    <w:basedOn w:val="11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1">
    <w:name w:val="Grid Table 2 - Accent 5"/>
    <w:basedOn w:val="11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2">
    <w:name w:val="Grid Table 2 - Accent 6"/>
    <w:basedOn w:val="11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3">
    <w:name w:val="Grid Table 3"/>
    <w:basedOn w:val="11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3 - Accent 1"/>
    <w:basedOn w:val="11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3 - Accent 2"/>
    <w:basedOn w:val="11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6">
    <w:name w:val="Grid Table 3 - Accent 3"/>
    <w:basedOn w:val="11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7">
    <w:name w:val="Grid Table 3 - Accent 4"/>
    <w:basedOn w:val="11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8">
    <w:name w:val="Grid Table 3 - Accent 5"/>
    <w:basedOn w:val="11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6"/>
    <w:basedOn w:val="11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4"/>
    <w:basedOn w:val="11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1">
    <w:name w:val="Grid Table 4 - Accent 1"/>
    <w:basedOn w:val="11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2">
    <w:name w:val="Grid Table 4 - Accent 2"/>
    <w:basedOn w:val="11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3">
    <w:name w:val="Grid Table 4 - Accent 3"/>
    <w:basedOn w:val="11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4">
    <w:name w:val="Grid Table 4 - Accent 4"/>
    <w:basedOn w:val="11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5">
    <w:name w:val="Grid Table 4 - Accent 5"/>
    <w:basedOn w:val="11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6">
    <w:name w:val="Grid Table 4 - Accent 6"/>
    <w:basedOn w:val="11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7">
    <w:name w:val="Grid Table 5 Dark"/>
    <w:basedOn w:val="11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8">
    <w:name w:val="Grid Table 5 Dark- Accent 1"/>
    <w:basedOn w:val="11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9">
    <w:name w:val="Grid Table 5 Dark - Accent 2"/>
    <w:basedOn w:val="11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0">
    <w:name w:val="Grid Table 5 Dark - Accent 3"/>
    <w:basedOn w:val="11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1">
    <w:name w:val="Grid Table 5 Dark- Accent 4"/>
    <w:basedOn w:val="11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2">
    <w:name w:val="Grid Table 5 Dark - Accent 5"/>
    <w:basedOn w:val="11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3">
    <w:name w:val="Grid Table 5 Dark - Accent 6"/>
    <w:basedOn w:val="11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4">
    <w:name w:val="Grid Table 6 Colorful"/>
    <w:basedOn w:val="11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5">
    <w:name w:val="Grid Table 6 Colorful - Accent 1"/>
    <w:basedOn w:val="11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6">
    <w:name w:val="Grid Table 6 Colorful - Accent 2"/>
    <w:basedOn w:val="11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7">
    <w:name w:val="Grid Table 6 Colorful - Accent 3"/>
    <w:basedOn w:val="11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8">
    <w:name w:val="Grid Table 6 Colorful - Accent 4"/>
    <w:basedOn w:val="11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9">
    <w:name w:val="Grid Table 6 Colorful - Accent 5"/>
    <w:basedOn w:val="11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0">
    <w:name w:val="Grid Table 6 Colorful - Accent 6"/>
    <w:basedOn w:val="11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1">
    <w:name w:val="Grid Table 7 Colorful"/>
    <w:basedOn w:val="11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2">
    <w:name w:val="Grid Table 7 Colorful - Accent 1"/>
    <w:basedOn w:val="11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3">
    <w:name w:val="Grid Table 7 Colorful - Accent 2"/>
    <w:basedOn w:val="11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4">
    <w:name w:val="Grid Table 7 Colorful - Accent 3"/>
    <w:basedOn w:val="11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5">
    <w:name w:val="Grid Table 7 Colorful - Accent 4"/>
    <w:basedOn w:val="11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6">
    <w:name w:val="Grid Table 7 Colorful - Accent 5"/>
    <w:basedOn w:val="11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7">
    <w:name w:val="Grid Table 7 Colorful - Accent 6"/>
    <w:basedOn w:val="11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8">
    <w:name w:val="List Table 1 Light"/>
    <w:basedOn w:val="11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9">
    <w:name w:val="List Table 1 Light - Accent 1"/>
    <w:basedOn w:val="112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0">
    <w:name w:val="List Table 1 Light - Accent 2"/>
    <w:basedOn w:val="112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1">
    <w:name w:val="List Table 1 Light - Accent 3"/>
    <w:basedOn w:val="112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2">
    <w:name w:val="List Table 1 Light - Accent 4"/>
    <w:basedOn w:val="112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3">
    <w:name w:val="List Table 1 Light - Accent 5"/>
    <w:basedOn w:val="112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4">
    <w:name w:val="List Table 1 Light - Accent 6"/>
    <w:basedOn w:val="112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5">
    <w:name w:val="List Table 2"/>
    <w:basedOn w:val="11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6">
    <w:name w:val="List Table 2 - Accent 1"/>
    <w:basedOn w:val="11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7">
    <w:name w:val="List Table 2 - Accent 2"/>
    <w:basedOn w:val="11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8">
    <w:name w:val="List Table 2 - Accent 3"/>
    <w:basedOn w:val="11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9">
    <w:name w:val="List Table 2 - Accent 4"/>
    <w:basedOn w:val="11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0">
    <w:name w:val="List Table 2 - Accent 5"/>
    <w:basedOn w:val="11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1">
    <w:name w:val="List Table 2 - Accent 6"/>
    <w:basedOn w:val="11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2">
    <w:name w:val="List Table 3"/>
    <w:basedOn w:val="11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3">
    <w:name w:val="List Table 3 - Accent 1"/>
    <w:basedOn w:val="11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4">
    <w:name w:val="List Table 3 - Accent 2"/>
    <w:basedOn w:val="11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5">
    <w:name w:val="List Table 3 - Accent 3"/>
    <w:basedOn w:val="11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6">
    <w:name w:val="List Table 3 - Accent 4"/>
    <w:basedOn w:val="11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7">
    <w:name w:val="List Table 3 - Accent 5"/>
    <w:basedOn w:val="11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8">
    <w:name w:val="List Table 3 - Accent 6"/>
    <w:basedOn w:val="11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9">
    <w:name w:val="List Table 4"/>
    <w:basedOn w:val="11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0">
    <w:name w:val="List Table 4 - Accent 1"/>
    <w:basedOn w:val="11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1">
    <w:name w:val="List Table 4 - Accent 2"/>
    <w:basedOn w:val="11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2">
    <w:name w:val="List Table 4 - Accent 3"/>
    <w:basedOn w:val="11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3">
    <w:name w:val="List Table 4 - Accent 4"/>
    <w:basedOn w:val="11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4">
    <w:name w:val="List Table 4 - Accent 5"/>
    <w:basedOn w:val="11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5">
    <w:name w:val="List Table 4 - Accent 6"/>
    <w:basedOn w:val="11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6">
    <w:name w:val="List Table 5 Dark"/>
    <w:basedOn w:val="11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5 Dark - Accent 1"/>
    <w:basedOn w:val="11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5 Dark - Accent 2"/>
    <w:basedOn w:val="11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9">
    <w:name w:val="List Table 5 Dark - Accent 3"/>
    <w:basedOn w:val="11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0">
    <w:name w:val="List Table 5 Dark - Accent 4"/>
    <w:basedOn w:val="11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1">
    <w:name w:val="List Table 5 Dark - Accent 5"/>
    <w:basedOn w:val="11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6"/>
    <w:basedOn w:val="11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6 Colorful"/>
    <w:basedOn w:val="11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4">
    <w:name w:val="List Table 6 Colorful - Accent 1"/>
    <w:basedOn w:val="11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5">
    <w:name w:val="List Table 6 Colorful - Accent 2"/>
    <w:basedOn w:val="11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6">
    <w:name w:val="List Table 6 Colorful - Accent 3"/>
    <w:basedOn w:val="11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7">
    <w:name w:val="List Table 6 Colorful - Accent 4"/>
    <w:basedOn w:val="11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8">
    <w:name w:val="List Table 6 Colorful - Accent 5"/>
    <w:basedOn w:val="11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9">
    <w:name w:val="List Table 6 Colorful - Accent 6"/>
    <w:basedOn w:val="11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0">
    <w:name w:val="List Table 7 Colorful"/>
    <w:basedOn w:val="11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1">
    <w:name w:val="List Table 7 Colorful - Accent 1"/>
    <w:basedOn w:val="11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2">
    <w:name w:val="List Table 7 Colorful - Accent 2"/>
    <w:basedOn w:val="11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3">
    <w:name w:val="List Table 7 Colorful - Accent 3"/>
    <w:basedOn w:val="11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4">
    <w:name w:val="List Table 7 Colorful - Accent 4"/>
    <w:basedOn w:val="11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5">
    <w:name w:val="List Table 7 Colorful - Accent 5"/>
    <w:basedOn w:val="11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6">
    <w:name w:val="List Table 7 Colorful - Accent 6"/>
    <w:basedOn w:val="11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7">
    <w:name w:val="Lined - Accent"/>
    <w:basedOn w:val="11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8">
    <w:name w:val="Lined - Accent 1"/>
    <w:basedOn w:val="11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9">
    <w:name w:val="Lined - Accent 2"/>
    <w:basedOn w:val="11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0">
    <w:name w:val="Lined - Accent 3"/>
    <w:basedOn w:val="11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1">
    <w:name w:val="Lined - Accent 4"/>
    <w:basedOn w:val="11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2">
    <w:name w:val="Lined - Accent 5"/>
    <w:basedOn w:val="11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3">
    <w:name w:val="Lined - Accent 6"/>
    <w:basedOn w:val="11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4">
    <w:name w:val="Bordered &amp; Lined - Accent"/>
    <w:basedOn w:val="11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5">
    <w:name w:val="Bordered &amp; Lined - Accent 1"/>
    <w:basedOn w:val="11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6">
    <w:name w:val="Bordered &amp; Lined - Accent 2"/>
    <w:basedOn w:val="11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7">
    <w:name w:val="Bordered &amp; Lined - Accent 3"/>
    <w:basedOn w:val="11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8">
    <w:name w:val="Bordered &amp; Lined - Accent 4"/>
    <w:basedOn w:val="11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9">
    <w:name w:val="Bordered &amp; Lined - Accent 5"/>
    <w:basedOn w:val="11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0">
    <w:name w:val="Bordered &amp; Lined - Accent 6"/>
    <w:basedOn w:val="11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1">
    <w:name w:val="Bordered"/>
    <w:basedOn w:val="11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2">
    <w:name w:val="Bordered - Accent 1"/>
    <w:basedOn w:val="11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3">
    <w:name w:val="Bordered - Accent 2"/>
    <w:basedOn w:val="11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4">
    <w:name w:val="Bordered - Accent 3"/>
    <w:basedOn w:val="11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5">
    <w:name w:val="Bordered - Accent 4"/>
    <w:basedOn w:val="11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6">
    <w:name w:val="Bordered - Accent 5"/>
    <w:basedOn w:val="11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7">
    <w:name w:val="Bordered - Accent 6"/>
    <w:basedOn w:val="11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8">
    <w:name w:val="Footnote Text Char"/>
    <w:link w:val="1139"/>
    <w:uiPriority w:val="99"/>
    <w:rPr>
      <w:sz w:val="18"/>
    </w:rPr>
  </w:style>
  <w:style w:type="paragraph" w:styleId="1109">
    <w:name w:val="endnote text"/>
    <w:basedOn w:val="1120"/>
    <w:link w:val="1110"/>
    <w:uiPriority w:val="99"/>
    <w:semiHidden/>
    <w:unhideWhenUsed/>
    <w:pPr>
      <w:spacing w:after="0" w:line="240" w:lineRule="auto"/>
    </w:pPr>
    <w:rPr>
      <w:sz w:val="20"/>
    </w:rPr>
  </w:style>
  <w:style w:type="character" w:styleId="1110">
    <w:name w:val="Endnote Text Char"/>
    <w:link w:val="1109"/>
    <w:uiPriority w:val="99"/>
    <w:rPr>
      <w:sz w:val="20"/>
    </w:rPr>
  </w:style>
  <w:style w:type="character" w:styleId="1111">
    <w:name w:val="endnote reference"/>
    <w:basedOn w:val="1124"/>
    <w:uiPriority w:val="99"/>
    <w:semiHidden/>
    <w:unhideWhenUsed/>
    <w:rPr>
      <w:vertAlign w:val="superscript"/>
    </w:rPr>
  </w:style>
  <w:style w:type="paragraph" w:styleId="1112">
    <w:name w:val="toc 3"/>
    <w:basedOn w:val="1120"/>
    <w:next w:val="1120"/>
    <w:uiPriority w:val="39"/>
    <w:unhideWhenUsed/>
    <w:pPr>
      <w:ind w:left="567" w:right="0" w:firstLine="0"/>
      <w:spacing w:after="57"/>
    </w:pPr>
  </w:style>
  <w:style w:type="paragraph" w:styleId="1113">
    <w:name w:val="toc 4"/>
    <w:basedOn w:val="1120"/>
    <w:next w:val="1120"/>
    <w:uiPriority w:val="39"/>
    <w:unhideWhenUsed/>
    <w:pPr>
      <w:ind w:left="850" w:right="0" w:firstLine="0"/>
      <w:spacing w:after="57"/>
    </w:pPr>
  </w:style>
  <w:style w:type="paragraph" w:styleId="1114">
    <w:name w:val="toc 5"/>
    <w:basedOn w:val="1120"/>
    <w:next w:val="1120"/>
    <w:uiPriority w:val="39"/>
    <w:unhideWhenUsed/>
    <w:pPr>
      <w:ind w:left="1134" w:right="0" w:firstLine="0"/>
      <w:spacing w:after="57"/>
    </w:pPr>
  </w:style>
  <w:style w:type="paragraph" w:styleId="1115">
    <w:name w:val="toc 6"/>
    <w:basedOn w:val="1120"/>
    <w:next w:val="1120"/>
    <w:uiPriority w:val="39"/>
    <w:unhideWhenUsed/>
    <w:pPr>
      <w:ind w:left="1417" w:right="0" w:firstLine="0"/>
      <w:spacing w:after="57"/>
    </w:pPr>
  </w:style>
  <w:style w:type="paragraph" w:styleId="1116">
    <w:name w:val="toc 7"/>
    <w:basedOn w:val="1120"/>
    <w:next w:val="1120"/>
    <w:uiPriority w:val="39"/>
    <w:unhideWhenUsed/>
    <w:pPr>
      <w:ind w:left="1701" w:right="0" w:firstLine="0"/>
      <w:spacing w:after="57"/>
    </w:pPr>
  </w:style>
  <w:style w:type="paragraph" w:styleId="1117">
    <w:name w:val="toc 8"/>
    <w:basedOn w:val="1120"/>
    <w:next w:val="1120"/>
    <w:uiPriority w:val="39"/>
    <w:unhideWhenUsed/>
    <w:pPr>
      <w:ind w:left="1984" w:right="0" w:firstLine="0"/>
      <w:spacing w:after="57"/>
    </w:pPr>
  </w:style>
  <w:style w:type="paragraph" w:styleId="1118">
    <w:name w:val="toc 9"/>
    <w:basedOn w:val="1120"/>
    <w:next w:val="1120"/>
    <w:uiPriority w:val="39"/>
    <w:unhideWhenUsed/>
    <w:pPr>
      <w:ind w:left="2268" w:right="0" w:firstLine="0"/>
      <w:spacing w:after="57"/>
    </w:pPr>
  </w:style>
  <w:style w:type="paragraph" w:styleId="1119">
    <w:name w:val="table of figures"/>
    <w:basedOn w:val="1120"/>
    <w:next w:val="1120"/>
    <w:uiPriority w:val="99"/>
    <w:unhideWhenUsed/>
    <w:pPr>
      <w:spacing w:after="0" w:afterAutospacing="0"/>
    </w:pPr>
  </w:style>
  <w:style w:type="paragraph" w:styleId="1120" w:default="1">
    <w:name w:val="Normal"/>
    <w:qFormat/>
    <w:rPr>
      <w:rFonts w:ascii="Times New Roman" w:hAnsi="Times New Roman" w:cs="Times New Roman"/>
      <w:sz w:val="26"/>
      <w:szCs w:val="26"/>
    </w:rPr>
  </w:style>
  <w:style w:type="paragraph" w:styleId="1121">
    <w:name w:val="Heading 1"/>
    <w:basedOn w:val="1120"/>
    <w:next w:val="1120"/>
    <w:link w:val="1128"/>
    <w:uiPriority w:val="9"/>
    <w:qFormat/>
    <w:pPr>
      <w:keepLines/>
      <w:keepNext/>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1122">
    <w:name w:val="Heading 2"/>
    <w:basedOn w:val="1120"/>
    <w:next w:val="1120"/>
    <w:link w:val="1183"/>
    <w:uiPriority w:val="9"/>
    <w:semiHidden/>
    <w:unhideWhenUsed/>
    <w:qFormat/>
    <w:pPr>
      <w:keepLines/>
      <w:keepNext/>
      <w:spacing w:before="200" w:after="0"/>
      <w:outlineLvl w:val="1"/>
    </w:pPr>
    <w:rPr>
      <w:rFonts w:asciiTheme="majorHAnsi" w:hAnsiTheme="majorHAnsi" w:eastAsiaTheme="majorEastAsia" w:cstheme="majorBidi"/>
      <w:b/>
      <w:bCs/>
      <w:color w:val="4f81bd" w:themeColor="accent1"/>
    </w:rPr>
  </w:style>
  <w:style w:type="paragraph" w:styleId="1123">
    <w:name w:val="Heading 3"/>
    <w:basedOn w:val="1120"/>
    <w:next w:val="1120"/>
    <w:link w:val="1182"/>
    <w:uiPriority w:val="9"/>
    <w:semiHidden/>
    <w:unhideWhenUsed/>
    <w:qFormat/>
    <w:pPr>
      <w:keepLines/>
      <w:keepNext/>
      <w:spacing w:before="200" w:after="0"/>
      <w:outlineLvl w:val="2"/>
    </w:pPr>
    <w:rPr>
      <w:rFonts w:asciiTheme="majorHAnsi" w:hAnsiTheme="majorHAnsi" w:eastAsiaTheme="majorEastAsia" w:cstheme="majorBidi"/>
      <w:b/>
      <w:bCs/>
      <w:color w:val="4f81bd" w:themeColor="accent1"/>
    </w:rPr>
  </w:style>
  <w:style w:type="character" w:styleId="1124" w:default="1">
    <w:name w:val="Default Paragraph Font"/>
    <w:uiPriority w:val="1"/>
    <w:semiHidden/>
    <w:unhideWhenUsed/>
  </w:style>
  <w:style w:type="table" w:styleId="1125" w:default="1">
    <w:name w:val="Normal Table"/>
    <w:uiPriority w:val="99"/>
    <w:semiHidden/>
    <w:unhideWhenUsed/>
    <w:tblPr>
      <w:tblInd w:w="0" w:type="dxa"/>
      <w:tblCellMar>
        <w:left w:w="108" w:type="dxa"/>
        <w:top w:w="0" w:type="dxa"/>
        <w:right w:w="108" w:type="dxa"/>
        <w:bottom w:w="0" w:type="dxa"/>
      </w:tblCellMar>
    </w:tblPr>
  </w:style>
  <w:style w:type="numbering" w:styleId="1126" w:default="1">
    <w:name w:val="No List"/>
    <w:uiPriority w:val="99"/>
    <w:semiHidden/>
    <w:unhideWhenUsed/>
  </w:style>
  <w:style w:type="character" w:styleId="1127">
    <w:name w:val="Hyperlink"/>
    <w:basedOn w:val="1124"/>
    <w:uiPriority w:val="99"/>
    <w:unhideWhenUsed/>
    <w:rPr>
      <w:color w:val="0000ff" w:themeColor="hyperlink"/>
      <w:u w:val="single"/>
    </w:rPr>
  </w:style>
  <w:style w:type="character" w:styleId="1128" w:customStyle="1">
    <w:name w:val="Заголовок 1 Знак"/>
    <w:basedOn w:val="1124"/>
    <w:link w:val="1121"/>
    <w:uiPriority w:val="9"/>
    <w:rPr>
      <w:rFonts w:asciiTheme="majorHAnsi" w:hAnsiTheme="majorHAnsi" w:eastAsiaTheme="majorEastAsia" w:cstheme="majorBidi"/>
      <w:b/>
      <w:bCs/>
      <w:color w:val="365f91" w:themeColor="accent1" w:themeShade="BF"/>
      <w:sz w:val="28"/>
      <w:szCs w:val="28"/>
    </w:rPr>
  </w:style>
  <w:style w:type="paragraph" w:styleId="1129">
    <w:name w:val="TOC Heading"/>
    <w:basedOn w:val="1121"/>
    <w:next w:val="1120"/>
    <w:uiPriority w:val="39"/>
    <w:semiHidden/>
    <w:unhideWhenUsed/>
    <w:qFormat/>
    <w:pPr>
      <w:outlineLvl w:val="9"/>
    </w:pPr>
    <w:rPr>
      <w:lang w:eastAsia="ru-RU"/>
    </w:rPr>
  </w:style>
  <w:style w:type="paragraph" w:styleId="1130">
    <w:name w:val="toc 2"/>
    <w:basedOn w:val="1120"/>
    <w:next w:val="1120"/>
    <w:uiPriority w:val="39"/>
    <w:unhideWhenUsed/>
    <w:pPr>
      <w:ind w:left="426" w:hanging="142"/>
      <w:jc w:val="both"/>
      <w:spacing w:after="0" w:line="240" w:lineRule="auto"/>
      <w:tabs>
        <w:tab w:val="left" w:pos="8931" w:leader="none"/>
      </w:tabs>
    </w:pPr>
  </w:style>
  <w:style w:type="paragraph" w:styleId="1131">
    <w:name w:val="toc 1"/>
    <w:basedOn w:val="1120"/>
    <w:next w:val="1120"/>
    <w:uiPriority w:val="39"/>
    <w:unhideWhenUsed/>
    <w:pPr>
      <w:jc w:val="both"/>
      <w:spacing w:after="0" w:line="240" w:lineRule="auto"/>
      <w:tabs>
        <w:tab w:val="left" w:pos="8931" w:leader="none"/>
      </w:tabs>
    </w:pPr>
  </w:style>
  <w:style w:type="paragraph" w:styleId="1132" w:customStyle="1">
    <w:name w:val="Заголовок рабочий"/>
    <w:basedOn w:val="1120"/>
    <w:link w:val="1133"/>
    <w:qFormat/>
    <w:pPr>
      <w:jc w:val="both"/>
      <w:spacing w:after="0" w:line="240" w:lineRule="auto"/>
      <w:tabs>
        <w:tab w:val="left" w:pos="4962" w:leader="none"/>
      </w:tabs>
    </w:pPr>
    <w:rPr>
      <w:rFonts w:ascii="PT Astra Serif" w:hAnsi="PT Astra Serif"/>
      <w:b/>
      <w:sz w:val="24"/>
      <w:szCs w:val="24"/>
    </w:rPr>
  </w:style>
  <w:style w:type="character" w:styleId="1133" w:customStyle="1">
    <w:name w:val="Заголовок рабочий Знак"/>
    <w:basedOn w:val="1124"/>
    <w:link w:val="1132"/>
    <w:rPr>
      <w:rFonts w:ascii="PT Astra Serif" w:hAnsi="PT Astra Serif" w:cs="Times New Roman"/>
      <w:b/>
      <w:sz w:val="24"/>
      <w:szCs w:val="24"/>
    </w:rPr>
  </w:style>
  <w:style w:type="paragraph" w:styleId="1134">
    <w:name w:val="Balloon Text"/>
    <w:basedOn w:val="1120"/>
    <w:link w:val="1135"/>
    <w:uiPriority w:val="99"/>
    <w:semiHidden/>
    <w:unhideWhenUsed/>
    <w:pPr>
      <w:spacing w:after="0" w:line="240" w:lineRule="auto"/>
    </w:pPr>
    <w:rPr>
      <w:rFonts w:ascii="Tahoma" w:hAnsi="Tahoma" w:cs="Tahoma"/>
      <w:sz w:val="16"/>
      <w:szCs w:val="16"/>
    </w:rPr>
  </w:style>
  <w:style w:type="character" w:styleId="1135" w:customStyle="1">
    <w:name w:val="Текст выноски Знак"/>
    <w:basedOn w:val="1124"/>
    <w:link w:val="1134"/>
    <w:uiPriority w:val="99"/>
    <w:semiHidden/>
    <w:rPr>
      <w:rFonts w:ascii="Tahoma" w:hAnsi="Tahoma" w:cs="Tahoma"/>
      <w:sz w:val="16"/>
      <w:szCs w:val="16"/>
    </w:rPr>
  </w:style>
  <w:style w:type="paragraph" w:styleId="1136" w:customStyle="1">
    <w:name w:val="Знак311"/>
    <w:basedOn w:val="1120"/>
    <w:next w:val="1139"/>
    <w:link w:val="1137"/>
    <w:uiPriority w:val="99"/>
    <w:unhideWhenUsed/>
    <w:qFormat/>
    <w:pPr>
      <w:spacing w:after="0" w:line="240" w:lineRule="auto"/>
    </w:pPr>
    <w:rPr>
      <w:rFonts w:ascii="PT Astra Serif" w:hAnsi="PT Astra Serif"/>
      <w:sz w:val="20"/>
      <w:szCs w:val="20"/>
    </w:rPr>
  </w:style>
  <w:style w:type="character" w:styleId="1137" w:customStyle="1">
    <w:name w:val="Текст сноски Знак"/>
    <w:basedOn w:val="1124"/>
    <w:link w:val="1136"/>
    <w:uiPriority w:val="99"/>
    <w:rPr>
      <w:rFonts w:ascii="PT Astra Serif" w:hAnsi="PT Astra Serif" w:cs="Times New Roman"/>
      <w:sz w:val="20"/>
      <w:szCs w:val="20"/>
    </w:rPr>
  </w:style>
  <w:style w:type="character" w:styleId="1138">
    <w:name w:val="footnote reference"/>
    <w:basedOn w:val="1124"/>
    <w:uiPriority w:val="99"/>
    <w:semiHidden/>
    <w:unhideWhenUsed/>
    <w:rPr>
      <w:vertAlign w:val="superscript"/>
    </w:rPr>
  </w:style>
  <w:style w:type="paragraph" w:styleId="1139">
    <w:name w:val="footnote text"/>
    <w:basedOn w:val="1120"/>
    <w:link w:val="1140"/>
    <w:uiPriority w:val="99"/>
    <w:unhideWhenUsed/>
    <w:qFormat/>
    <w:pPr>
      <w:spacing w:after="0" w:line="240" w:lineRule="auto"/>
    </w:pPr>
    <w:rPr>
      <w:sz w:val="20"/>
      <w:szCs w:val="20"/>
    </w:rPr>
  </w:style>
  <w:style w:type="character" w:styleId="1140" w:customStyle="1">
    <w:name w:val="Текст сноски Знак1"/>
    <w:basedOn w:val="1124"/>
    <w:link w:val="1139"/>
    <w:uiPriority w:val="99"/>
    <w:rPr>
      <w:rFonts w:ascii="Times New Roman" w:hAnsi="Times New Roman" w:cs="Times New Roman"/>
      <w:sz w:val="20"/>
      <w:szCs w:val="20"/>
    </w:rPr>
  </w:style>
  <w:style w:type="table" w:styleId="1141" w:customStyle="1">
    <w:name w:val="Сетка таблицы1"/>
    <w:basedOn w:val="1125"/>
    <w:next w:val="1142"/>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42">
    <w:name w:val="Table Grid"/>
    <w:basedOn w:val="1125"/>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3">
    <w:name w:val="annotation reference"/>
    <w:basedOn w:val="1124"/>
    <w:uiPriority w:val="99"/>
    <w:semiHidden/>
    <w:unhideWhenUsed/>
    <w:rPr>
      <w:sz w:val="16"/>
      <w:szCs w:val="16"/>
    </w:rPr>
  </w:style>
  <w:style w:type="paragraph" w:styleId="1144">
    <w:name w:val="annotation text"/>
    <w:basedOn w:val="1120"/>
    <w:link w:val="1145"/>
    <w:uiPriority w:val="99"/>
    <w:unhideWhenUsed/>
    <w:pPr>
      <w:spacing w:line="240" w:lineRule="auto"/>
    </w:pPr>
    <w:rPr>
      <w:rFonts w:asciiTheme="minorHAnsi" w:hAnsiTheme="minorHAnsi" w:cstheme="minorBidi"/>
      <w:sz w:val="20"/>
      <w:szCs w:val="20"/>
    </w:rPr>
  </w:style>
  <w:style w:type="character" w:styleId="1145" w:customStyle="1">
    <w:name w:val="Текст примечания Знак"/>
    <w:basedOn w:val="1124"/>
    <w:link w:val="1144"/>
    <w:uiPriority w:val="99"/>
    <w:rPr>
      <w:sz w:val="20"/>
      <w:szCs w:val="20"/>
    </w:rPr>
  </w:style>
  <w:style w:type="paragraph" w:styleId="1146" w:customStyle="1">
    <w:name w:val="Подзаголовок рабочий"/>
    <w:basedOn w:val="1120"/>
    <w:link w:val="1147"/>
    <w:qFormat/>
    <w:pPr>
      <w:jc w:val="both"/>
      <w:spacing w:after="0" w:line="240" w:lineRule="auto"/>
      <w:tabs>
        <w:tab w:val="left" w:pos="4962" w:leader="none"/>
      </w:tabs>
    </w:pPr>
    <w:rPr>
      <w:rFonts w:ascii="PT Astra Serif" w:hAnsi="PT Astra Serif"/>
      <w:b/>
      <w:sz w:val="24"/>
      <w:szCs w:val="24"/>
    </w:rPr>
  </w:style>
  <w:style w:type="character" w:styleId="1147" w:customStyle="1">
    <w:name w:val="Подзаголовок рабочий Знак"/>
    <w:basedOn w:val="1124"/>
    <w:link w:val="1146"/>
    <w:rPr>
      <w:rFonts w:ascii="PT Astra Serif" w:hAnsi="PT Astra Serif" w:cs="Times New Roman"/>
      <w:b/>
      <w:sz w:val="24"/>
      <w:szCs w:val="24"/>
    </w:rPr>
  </w:style>
  <w:style w:type="paragraph" w:styleId="1148" w:customStyle="1">
    <w:name w:val="Pa4"/>
    <w:basedOn w:val="1120"/>
    <w:next w:val="1120"/>
    <w:uiPriority w:val="99"/>
    <w:pPr>
      <w:spacing w:after="0" w:line="241" w:lineRule="atLeast"/>
    </w:pPr>
    <w:rPr>
      <w:rFonts w:ascii="JournalC" w:hAnsi="JournalC" w:cstheme="minorBidi"/>
      <w:sz w:val="24"/>
      <w:szCs w:val="24"/>
    </w:rPr>
  </w:style>
  <w:style w:type="paragraph" w:styleId="1149">
    <w:name w:val="Normal (Web)"/>
    <w:basedOn w:val="1120"/>
    <w:link w:val="1160"/>
    <w:uiPriority w:val="99"/>
    <w:unhideWhenUsed/>
    <w:qFormat/>
    <w:pPr>
      <w:spacing w:before="100" w:beforeAutospacing="1" w:after="100" w:afterAutospacing="1" w:line="240" w:lineRule="auto"/>
    </w:pPr>
    <w:rPr>
      <w:rFonts w:eastAsiaTheme="minorEastAsia"/>
      <w:sz w:val="24"/>
      <w:szCs w:val="24"/>
      <w:lang w:eastAsia="ru-RU"/>
    </w:rPr>
  </w:style>
  <w:style w:type="paragraph" w:styleId="1150">
    <w:name w:val="annotation subject"/>
    <w:basedOn w:val="1144"/>
    <w:next w:val="1144"/>
    <w:link w:val="1151"/>
    <w:uiPriority w:val="99"/>
    <w:semiHidden/>
    <w:unhideWhenUsed/>
    <w:rPr>
      <w:rFonts w:ascii="Times New Roman" w:hAnsi="Times New Roman" w:cs="Times New Roman"/>
      <w:b/>
      <w:bCs/>
    </w:rPr>
  </w:style>
  <w:style w:type="character" w:styleId="1151" w:customStyle="1">
    <w:name w:val="Тема примечания Знак"/>
    <w:basedOn w:val="1145"/>
    <w:link w:val="1150"/>
    <w:uiPriority w:val="99"/>
    <w:semiHidden/>
    <w:rPr>
      <w:rFonts w:ascii="Times New Roman" w:hAnsi="Times New Roman" w:cs="Times New Roman"/>
      <w:b/>
      <w:bCs/>
      <w:sz w:val="20"/>
      <w:szCs w:val="20"/>
    </w:rPr>
  </w:style>
  <w:style w:type="paragraph" w:styleId="1152">
    <w:name w:val="List Paragraph"/>
    <w:basedOn w:val="1120"/>
    <w:link w:val="1153"/>
    <w:uiPriority w:val="34"/>
    <w:qFormat/>
    <w:pPr>
      <w:contextualSpacing/>
      <w:ind w:left="720"/>
    </w:pPr>
    <w:rPr>
      <w:rFonts w:ascii="Calibri" w:hAnsi="Calibri" w:eastAsia="Calibri"/>
      <w:sz w:val="22"/>
      <w:szCs w:val="22"/>
    </w:rPr>
  </w:style>
  <w:style w:type="character" w:styleId="1153" w:customStyle="1">
    <w:name w:val="Абзац списка Знак"/>
    <w:link w:val="1152"/>
    <w:uiPriority w:val="34"/>
    <w:qFormat/>
    <w:rPr>
      <w:rFonts w:ascii="Calibri" w:hAnsi="Calibri" w:eastAsia="Calibri" w:cs="Times New Roman"/>
    </w:rPr>
  </w:style>
  <w:style w:type="paragraph" w:styleId="1154">
    <w:name w:val="No Spacing"/>
    <w:link w:val="1156"/>
    <w:uiPriority w:val="1"/>
    <w:qFormat/>
    <w:pPr>
      <w:spacing w:after="0" w:line="240" w:lineRule="auto"/>
    </w:pPr>
    <w:rPr>
      <w:rFonts w:ascii="Times New Roman" w:hAnsi="Times New Roman" w:eastAsia="Times New Roman" w:cs="Times New Roman"/>
      <w:sz w:val="24"/>
      <w:szCs w:val="24"/>
      <w:lang w:eastAsia="ru-RU"/>
    </w:rPr>
  </w:style>
  <w:style w:type="character" w:styleId="1155">
    <w:name w:val="Strong"/>
    <w:uiPriority w:val="22"/>
    <w:qFormat/>
    <w:rPr>
      <w:b/>
      <w:bCs/>
    </w:rPr>
  </w:style>
  <w:style w:type="character" w:styleId="1156" w:customStyle="1">
    <w:name w:val="Без интервала Знак"/>
    <w:basedOn w:val="1124"/>
    <w:link w:val="1154"/>
    <w:uiPriority w:val="1"/>
    <w:qFormat/>
    <w:rPr>
      <w:rFonts w:ascii="Times New Roman" w:hAnsi="Times New Roman" w:eastAsia="Times New Roman" w:cs="Times New Roman"/>
      <w:sz w:val="24"/>
      <w:szCs w:val="24"/>
      <w:lang w:eastAsia="ru-RU"/>
    </w:rPr>
  </w:style>
  <w:style w:type="table" w:styleId="1157" w:customStyle="1">
    <w:name w:val="Сетка таблицы2"/>
    <w:basedOn w:val="1125"/>
    <w:next w:val="1142"/>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8">
    <w:name w:val="Footer"/>
    <w:basedOn w:val="1120"/>
    <w:link w:val="1159"/>
    <w:uiPriority w:val="99"/>
    <w:pPr>
      <w:spacing w:after="0" w:line="240" w:lineRule="auto"/>
      <w:tabs>
        <w:tab w:val="center" w:pos="4153" w:leader="none"/>
        <w:tab w:val="right" w:pos="8306" w:leader="none"/>
      </w:tabs>
    </w:pPr>
    <w:rPr>
      <w:rFonts w:eastAsia="Times New Roman"/>
      <w:sz w:val="24"/>
      <w:szCs w:val="24"/>
      <w:lang w:eastAsia="ru-RU"/>
    </w:rPr>
  </w:style>
  <w:style w:type="character" w:styleId="1159" w:customStyle="1">
    <w:name w:val="Нижний колонтитул Знак"/>
    <w:basedOn w:val="1124"/>
    <w:link w:val="1158"/>
    <w:uiPriority w:val="99"/>
    <w:rPr>
      <w:rFonts w:ascii="Times New Roman" w:hAnsi="Times New Roman" w:eastAsia="Times New Roman" w:cs="Times New Roman"/>
      <w:sz w:val="24"/>
      <w:szCs w:val="24"/>
      <w:lang w:eastAsia="ru-RU"/>
    </w:rPr>
  </w:style>
  <w:style w:type="character" w:styleId="1160" w:customStyle="1">
    <w:name w:val="Обычный (веб) Знак"/>
    <w:link w:val="1149"/>
    <w:uiPriority w:val="99"/>
    <w:rPr>
      <w:rFonts w:ascii="Times New Roman" w:hAnsi="Times New Roman" w:cs="Times New Roman" w:eastAsiaTheme="minorEastAsia"/>
      <w:sz w:val="24"/>
      <w:szCs w:val="24"/>
      <w:lang w:eastAsia="ru-RU"/>
    </w:rPr>
  </w:style>
  <w:style w:type="paragraph" w:styleId="1161" w:customStyle="1">
    <w:name w:val="Pa3"/>
    <w:basedOn w:val="1120"/>
    <w:next w:val="1120"/>
    <w:uiPriority w:val="99"/>
    <w:pPr>
      <w:spacing w:after="0" w:line="241" w:lineRule="atLeast"/>
    </w:pPr>
    <w:rPr>
      <w:rFonts w:ascii="Octava" w:hAnsi="Octava" w:eastAsia="Times New Roman"/>
      <w:sz w:val="24"/>
      <w:szCs w:val="24"/>
      <w:lang w:eastAsia="ru-RU"/>
    </w:rPr>
  </w:style>
  <w:style w:type="paragraph" w:styleId="1162" w:customStyle="1">
    <w:name w:val="Стиль1"/>
    <w:basedOn w:val="1120"/>
    <w:link w:val="1163"/>
    <w:qFormat/>
    <w:pPr>
      <w:ind w:firstLine="567"/>
      <w:jc w:val="both"/>
      <w:spacing w:after="0" w:line="240" w:lineRule="auto"/>
    </w:pPr>
    <w:rPr>
      <w:rFonts w:eastAsia="Times New Roman"/>
    </w:rPr>
  </w:style>
  <w:style w:type="character" w:styleId="1163" w:customStyle="1">
    <w:name w:val="Стиль1 Знак"/>
    <w:basedOn w:val="1124"/>
    <w:link w:val="1162"/>
    <w:rPr>
      <w:rFonts w:ascii="Times New Roman" w:hAnsi="Times New Roman" w:eastAsia="Times New Roman" w:cs="Times New Roman"/>
      <w:sz w:val="26"/>
      <w:szCs w:val="26"/>
    </w:rPr>
  </w:style>
  <w:style w:type="character" w:styleId="1164" w:customStyle="1">
    <w:name w:val="Font Style11"/>
    <w:basedOn w:val="1124"/>
    <w:rPr>
      <w:rFonts w:hint="default" w:ascii="Times New Roman" w:hAnsi="Times New Roman" w:cs="Times New Roman"/>
      <w:sz w:val="26"/>
      <w:szCs w:val="26"/>
    </w:rPr>
  </w:style>
  <w:style w:type="paragraph" w:styleId="1165" w:customStyle="1">
    <w:name w:val="Default"/>
    <w:qFormat/>
    <w:pPr>
      <w:spacing w:after="0" w:line="240" w:lineRule="auto"/>
    </w:pPr>
    <w:rPr>
      <w:rFonts w:ascii="PT Astra Serif" w:hAnsi="PT Astra Serif" w:cs="PT Astra Serif"/>
      <w:color w:val="000000"/>
      <w:sz w:val="24"/>
      <w:szCs w:val="24"/>
    </w:rPr>
  </w:style>
  <w:style w:type="paragraph" w:styleId="1166" w:customStyle="1">
    <w:name w:val="ConsPlusNormal"/>
    <w:link w:val="1178"/>
    <w:qFormat/>
    <w:pPr>
      <w:spacing w:after="0" w:line="240" w:lineRule="auto"/>
      <w:widowControl w:val="off"/>
    </w:pPr>
    <w:rPr>
      <w:rFonts w:ascii="Arial" w:hAnsi="Arial" w:cs="Arial" w:eastAsiaTheme="minorEastAsia"/>
      <w:sz w:val="20"/>
      <w:lang w:eastAsia="ru-RU"/>
    </w:rPr>
  </w:style>
  <w:style w:type="paragraph" w:styleId="1167" w:customStyle="1">
    <w:name w:val="Наименования"/>
    <w:basedOn w:val="1120"/>
    <w:link w:val="1168"/>
    <w:qFormat/>
    <w:pPr>
      <w:jc w:val="right"/>
      <w:spacing w:after="0" w:line="240" w:lineRule="auto"/>
      <w:tabs>
        <w:tab w:val="left" w:pos="993" w:leader="none"/>
        <w:tab w:val="left" w:pos="4962" w:leader="none"/>
      </w:tabs>
    </w:pPr>
    <w:rPr>
      <w:rFonts w:ascii="PT Astra Serif" w:hAnsi="PT Astra Serif" w:eastAsia="Calibri"/>
      <w:b/>
      <w:sz w:val="24"/>
      <w:szCs w:val="24"/>
    </w:rPr>
  </w:style>
  <w:style w:type="character" w:styleId="1168" w:customStyle="1">
    <w:name w:val="Наименования Знак"/>
    <w:basedOn w:val="1124"/>
    <w:link w:val="1167"/>
    <w:rPr>
      <w:rFonts w:ascii="PT Astra Serif" w:hAnsi="PT Astra Serif" w:eastAsia="Calibri" w:cs="Times New Roman"/>
      <w:b/>
      <w:sz w:val="24"/>
      <w:szCs w:val="24"/>
    </w:rPr>
  </w:style>
  <w:style w:type="paragraph" w:styleId="1169" w:customStyle="1">
    <w:name w:val="ConsPlusNonformat"/>
    <w:qFormat/>
    <w:pPr>
      <w:jc w:val="both"/>
      <w:spacing w:after="0" w:line="240" w:lineRule="auto"/>
      <w:widowControl w:val="off"/>
    </w:pPr>
    <w:rPr>
      <w:rFonts w:ascii="Courier New" w:hAnsi="Courier New" w:cs="Times New Roman"/>
      <w:sz w:val="20"/>
      <w:szCs w:val="20"/>
      <w:lang w:eastAsia="ru-RU"/>
    </w:rPr>
  </w:style>
  <w:style w:type="paragraph" w:styleId="1170">
    <w:name w:val="Body Text Indent"/>
    <w:basedOn w:val="1120"/>
    <w:link w:val="1171"/>
    <w:pPr>
      <w:ind w:firstLine="709"/>
      <w:jc w:val="both"/>
      <w:spacing w:after="0" w:line="240" w:lineRule="auto"/>
    </w:pPr>
    <w:rPr>
      <w:rFonts w:eastAsia="Times New Roman"/>
      <w:sz w:val="28"/>
      <w:szCs w:val="24"/>
      <w:lang w:eastAsia="ru-RU"/>
    </w:rPr>
  </w:style>
  <w:style w:type="character" w:styleId="1171" w:customStyle="1">
    <w:name w:val="Основной текст с отступом Знак"/>
    <w:basedOn w:val="1124"/>
    <w:link w:val="1170"/>
    <w:rPr>
      <w:rFonts w:ascii="Times New Roman" w:hAnsi="Times New Roman" w:eastAsia="Times New Roman" w:cs="Times New Roman"/>
      <w:sz w:val="28"/>
      <w:szCs w:val="24"/>
      <w:lang w:eastAsia="ru-RU"/>
    </w:rPr>
  </w:style>
  <w:style w:type="paragraph" w:styleId="1172">
    <w:name w:val="Title"/>
    <w:basedOn w:val="1120"/>
    <w:next w:val="1120"/>
    <w:link w:val="1173"/>
    <w:uiPriority w:val="10"/>
    <w:qFormat/>
    <w:pPr>
      <w:ind w:firstLine="567"/>
      <w:jc w:val="center"/>
      <w:spacing w:before="240" w:after="60" w:line="240" w:lineRule="auto"/>
      <w:outlineLvl w:val="0"/>
    </w:pPr>
    <w:rPr>
      <w:rFonts w:ascii="PT Astra Serif" w:hAnsi="PT Astra Serif" w:eastAsia="Times New Roman"/>
      <w:b/>
      <w:bCs/>
      <w:sz w:val="24"/>
      <w:szCs w:val="32"/>
    </w:rPr>
  </w:style>
  <w:style w:type="character" w:styleId="1173" w:customStyle="1">
    <w:name w:val="Название Знак"/>
    <w:basedOn w:val="1124"/>
    <w:link w:val="1172"/>
    <w:uiPriority w:val="10"/>
    <w:rPr>
      <w:rFonts w:ascii="PT Astra Serif" w:hAnsi="PT Astra Serif" w:eastAsia="Times New Roman" w:cs="Times New Roman"/>
      <w:b/>
      <w:bCs/>
      <w:sz w:val="24"/>
      <w:szCs w:val="32"/>
    </w:rPr>
  </w:style>
  <w:style w:type="paragraph" w:styleId="1174" w:customStyle="1">
    <w:name w:val="Исполнитель"/>
    <w:basedOn w:val="1120"/>
    <w:pPr>
      <w:spacing w:after="0" w:line="240" w:lineRule="auto"/>
      <w:pBdr>
        <w:top w:val="none" w:color="000000" w:sz="4" w:space="0"/>
        <w:left w:val="none" w:color="000000" w:sz="4" w:space="0"/>
        <w:bottom w:val="none" w:color="000000" w:sz="4" w:space="0"/>
        <w:right w:val="none" w:color="000000" w:sz="4" w:space="0"/>
        <w:between w:val="none" w:color="000000" w:sz="4" w:space="0"/>
      </w:pBdr>
    </w:pPr>
    <w:rPr>
      <w:rFonts w:eastAsia="Times New Roman"/>
      <w:b/>
      <w:sz w:val="20"/>
      <w:szCs w:val="22"/>
      <w:lang w:eastAsia="ru-RU"/>
    </w:rPr>
  </w:style>
  <w:style w:type="paragraph" w:styleId="1175" w:customStyle="1">
    <w:name w:val="Pa7"/>
    <w:basedOn w:val="1120"/>
    <w:next w:val="1120"/>
    <w:uiPriority w:val="99"/>
    <w:pPr>
      <w:spacing w:after="0" w:line="281" w:lineRule="atLeast"/>
    </w:pPr>
    <w:rPr>
      <w:rFonts w:ascii="JournalC" w:hAnsi="JournalC" w:cstheme="minorBidi"/>
      <w:sz w:val="24"/>
      <w:szCs w:val="24"/>
    </w:rPr>
  </w:style>
  <w:style w:type="character" w:styleId="1176" w:customStyle="1">
    <w:name w:val="extendedtext-full"/>
    <w:basedOn w:val="1124"/>
  </w:style>
  <w:style w:type="paragraph" w:styleId="1177" w:customStyle="1">
    <w:name w:val="s_1"/>
    <w:basedOn w:val="1120"/>
    <w:uiPriority w:val="99"/>
    <w:qFormat/>
    <w:pPr>
      <w:spacing w:before="100" w:beforeAutospacing="1" w:after="100" w:afterAutospacing="1" w:line="240" w:lineRule="auto"/>
    </w:pPr>
    <w:rPr>
      <w:rFonts w:eastAsia="Times New Roman"/>
      <w:sz w:val="24"/>
      <w:szCs w:val="24"/>
      <w:lang w:eastAsia="ru-RU"/>
    </w:rPr>
  </w:style>
  <w:style w:type="character" w:styleId="1178" w:customStyle="1">
    <w:name w:val="ConsPlusNormal Знак"/>
    <w:link w:val="1166"/>
    <w:rPr>
      <w:rFonts w:ascii="Arial" w:hAnsi="Arial" w:cs="Arial" w:eastAsiaTheme="minorEastAsia"/>
      <w:sz w:val="20"/>
      <w:lang w:eastAsia="ru-RU"/>
    </w:rPr>
  </w:style>
  <w:style w:type="paragraph" w:styleId="1179" w:customStyle="1">
    <w:name w:val="Обычный1"/>
    <w:uiPriority w:val="99"/>
    <w:qFormat/>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styleId="1180" w:customStyle="1">
    <w:name w:val="Table Paragraph"/>
    <w:basedOn w:val="1120"/>
    <w:uiPriority w:val="1"/>
    <w:qFormat/>
    <w:pPr>
      <w:spacing w:after="0" w:line="240" w:lineRule="auto"/>
      <w:widowControl w:val="off"/>
    </w:pPr>
    <w:rPr>
      <w:rFonts w:ascii="Cambria" w:hAnsi="Cambria" w:eastAsia="Cambria" w:cs="Cambria"/>
      <w:sz w:val="22"/>
      <w:szCs w:val="22"/>
    </w:rPr>
  </w:style>
  <w:style w:type="paragraph" w:styleId="1181">
    <w:name w:val="Revision"/>
    <w:hidden/>
    <w:uiPriority w:val="99"/>
    <w:semiHidden/>
    <w:pPr>
      <w:spacing w:after="0" w:line="240" w:lineRule="auto"/>
    </w:pPr>
  </w:style>
  <w:style w:type="character" w:styleId="1182" w:customStyle="1">
    <w:name w:val="Заголовок 3 Знак"/>
    <w:basedOn w:val="1124"/>
    <w:link w:val="1123"/>
    <w:uiPriority w:val="9"/>
    <w:semiHidden/>
    <w:rPr>
      <w:rFonts w:asciiTheme="majorHAnsi" w:hAnsiTheme="majorHAnsi" w:eastAsiaTheme="majorEastAsia" w:cstheme="majorBidi"/>
      <w:b/>
      <w:bCs/>
      <w:color w:val="4f81bd" w:themeColor="accent1"/>
      <w:sz w:val="26"/>
      <w:szCs w:val="26"/>
    </w:rPr>
  </w:style>
  <w:style w:type="character" w:styleId="1183" w:customStyle="1">
    <w:name w:val="Заголовок 2 Знак"/>
    <w:basedOn w:val="1124"/>
    <w:link w:val="1122"/>
    <w:uiPriority w:val="9"/>
    <w:semiHidden/>
    <w:rPr>
      <w:rFonts w:asciiTheme="majorHAnsi" w:hAnsiTheme="majorHAnsi" w:eastAsiaTheme="majorEastAsia" w:cstheme="majorBidi"/>
      <w:b/>
      <w:bCs/>
      <w:color w:val="4f81bd" w:themeColor="accent1"/>
      <w:sz w:val="26"/>
      <w:szCs w:val="26"/>
    </w:rPr>
  </w:style>
  <w:style w:type="paragraph" w:styleId="1184">
    <w:name w:val="Header"/>
    <w:basedOn w:val="1120"/>
    <w:link w:val="1185"/>
    <w:uiPriority w:val="99"/>
    <w:unhideWhenUsed/>
    <w:pPr>
      <w:spacing w:after="0" w:line="240" w:lineRule="auto"/>
      <w:tabs>
        <w:tab w:val="center" w:pos="4677" w:leader="none"/>
        <w:tab w:val="right" w:pos="9355" w:leader="none"/>
      </w:tabs>
    </w:pPr>
  </w:style>
  <w:style w:type="character" w:styleId="1185" w:customStyle="1">
    <w:name w:val="Верхний колонтитул Знак"/>
    <w:basedOn w:val="1124"/>
    <w:link w:val="1184"/>
    <w:uiPriority w:val="99"/>
    <w:rPr>
      <w:rFonts w:ascii="Times New Roman" w:hAnsi="Times New Roman" w:cs="Times New Roman"/>
      <w:sz w:val="26"/>
      <w:szCs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hart" Target="charts/chart1.xml" /><Relationship Id="rId12" Type="http://schemas.openxmlformats.org/officeDocument/2006/relationships/chart" Target="charts/chart2.xml" /><Relationship Id="rId13" Type="http://schemas.openxmlformats.org/officeDocument/2006/relationships/chart" Target="charts/chart3.xml" /><Relationship Id="rId14" Type="http://schemas.openxmlformats.org/officeDocument/2006/relationships/chart" Target="charts/chart4.xml" /><Relationship Id="rId15" Type="http://schemas.openxmlformats.org/officeDocument/2006/relationships/chart" Target="charts/chart5.xml" /><Relationship Id="rId16" Type="http://schemas.openxmlformats.org/officeDocument/2006/relationships/chart" Target="charts/chart6.xml" /><Relationship Id="rId17" Type="http://schemas.openxmlformats.org/officeDocument/2006/relationships/chart" Target="charts/chart7.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chart" Target="charts/chart8.xml" /><Relationship Id="rId36" Type="http://schemas.openxmlformats.org/officeDocument/2006/relationships/image" Target="media/image19.png"/><Relationship Id="rId37" Type="http://schemas.openxmlformats.org/officeDocument/2006/relationships/hyperlink" Target="consultantplus://offline/ref=556F33B6F03A1F9FB0AD35A5ED64A320B53B1CEF8C01C9A7D81EBCE6AD897785C15F825301A8322F4ACFF7O4P3M" TargetMode="External"/><Relationship Id="rId38" Type="http://schemas.openxmlformats.org/officeDocument/2006/relationships/chart" Target="charts/chart9.xml" /><Relationship Id="rId39" Type="http://schemas.openxmlformats.org/officeDocument/2006/relationships/chart" Target="charts/chart10.xml" /><Relationship Id="rId40" Type="http://schemas.openxmlformats.org/officeDocument/2006/relationships/chart" Target="charts/chart11.xml" /><Relationship Id="rId41" Type="http://schemas.openxmlformats.org/officeDocument/2006/relationships/chart" Target="charts/chart12.xml" /><Relationship Id="rId42" Type="http://schemas.openxmlformats.org/officeDocument/2006/relationships/hyperlink" Target="https://vk.com/video/@traveltomsk?z=video-59697737_456239130%2Fclub59697737%2Fpl_-59697737_-2" TargetMode="External"/><Relationship Id="rId43" Type="http://schemas.openxmlformats.org/officeDocument/2006/relationships/hyperlink" Target="consultantplus://offline/ref=556F33B6F03A1F9FB0AD35A5ED64A320B53B1CEF8C01C9A7D81EBCE6AD897785C15F825301A8322F4ACFFCO4P5M" TargetMode="External"/><Relationship Id="rId44" Type="http://schemas.openxmlformats.org/officeDocument/2006/relationships/hyperlink" Target="consultantplus://offline/ref=556F33B6F03A1F9FB0AD35A5ED64A320B53B1CEF8C01C9A7D81EBCE6AD897785C15F825301A8322F4ACFFCO4P5M" TargetMode="External"/><Relationship Id="rId45" Type="http://schemas.openxmlformats.org/officeDocument/2006/relationships/chart" Target="charts/chart13.xml" /><Relationship Id="rId46" Type="http://schemas.openxmlformats.org/officeDocument/2006/relationships/hyperlink" Target="consultantplus://offline/ref=556F33B6F03A1F9FB0AD35A5ED64A320B53B1CEF8C01C9A7D81EBCE6AD897785C15F825301A8322F4ACFF7O4P3M" TargetMode="External"/><Relationship Id="rId47" Type="http://schemas.openxmlformats.org/officeDocument/2006/relationships/hyperlink" Target="consultantplus://offline/ref=556F33B6F03A1F9FB0AD35A5ED64A320B53B1CEF8C01C9A7D81EBCE6AD897785C15F825301A8322F4ACFF7O4P3M" TargetMode="External"/><Relationship Id="rId48" Type="http://schemas.openxmlformats.org/officeDocument/2006/relationships/image" Target="media/image20.png"/><Relationship Id="rId49" Type="http://schemas.openxmlformats.org/officeDocument/2006/relationships/image" Target="media/image21.png"/><Relationship Id="rId50" Type="http://schemas.openxmlformats.org/officeDocument/2006/relationships/image" Target="media/image22.png"/><Relationship Id="rId51" Type="http://schemas.openxmlformats.org/officeDocument/2006/relationships/image" Target="media/image23.png"/><Relationship Id="rId52" Type="http://schemas.openxmlformats.org/officeDocument/2006/relationships/image" Target="media/image24.png"/><Relationship Id="rId53" Type="http://schemas.openxmlformats.org/officeDocument/2006/relationships/hyperlink" Target="consultantplus://offline/ref=701E60AFF2B2A5310DA21FE73DDAC5EA944432A4789607D114552FD11A91A6B14D4C818D86D04EF1D14EC40AF0n2dAE"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charts/_rels/chart1.xml.rels><?xml version="1.0" encoding="UTF-8" standalone="yes"?><Relationships xmlns="http://schemas.openxmlformats.org/package/2006/relationships"><Relationship Id="rId1" Type="http://schemas.openxmlformats.org/officeDocument/2006/relationships/themeOverride" Target="../theme/themeOverride1.xml" /><Relationship Id="rId2" Type="http://schemas.openxmlformats.org/officeDocument/2006/relationships/package" Target="../embeddings/Microsoft_Excel_Worksheet1.xlsx" /></Relationships>
</file>

<file path=word/charts/_rels/chart2.xml.rels><?xml version="1.0" encoding="UTF-8" standalone="yes"?><Relationships xmlns="http://schemas.openxmlformats.org/package/2006/relationships"><Relationship Id="rId1" Type="http://schemas.openxmlformats.org/officeDocument/2006/relationships/package" Target="../embeddings/Microsoft_Excel_Worksheet2.xlsx" /></Relationships>
</file>

<file path=word/charts/_rels/chart3.xml.rels><?xml version="1.0" encoding="UTF-8" standalone="yes"?><Relationships xmlns="http://schemas.openxmlformats.org/package/2006/relationships"><Relationship Id="rId1" Type="http://schemas.openxmlformats.org/officeDocument/2006/relationships/chartUserShapes" Target="../drawings/drawing1.xml" /><Relationship Id="rId2" Type="http://schemas.openxmlformats.org/officeDocument/2006/relationships/themeOverride" Target="../theme/themeOverride1.xml" /><Relationship Id="rId3" Type="http://schemas.openxmlformats.org/officeDocument/2006/relationships/package" Target="../embeddings/Microsoft_Excel_Worksheet3.xlsx" /></Relationships>
</file>

<file path=word/charts/_rels/chart4.xml.rels><?xml version="1.0" encoding="UTF-8" standalone="yes"?><Relationships xmlns="http://schemas.openxmlformats.org/package/2006/relationships"><Relationship Id="rId1" Type="http://schemas.openxmlformats.org/officeDocument/2006/relationships/chartUserShapes" Target="../drawings/drawing2.xml" /><Relationship Id="rId2" Type="http://schemas.openxmlformats.org/officeDocument/2006/relationships/themeOverride" Target="../theme/themeOverride1.xml" /><Relationship Id="rId3" Type="http://schemas.openxmlformats.org/officeDocument/2006/relationships/package" Target="../embeddings/Microsoft_Excel_Worksheet4.xlsx" /></Relationships>
</file>

<file path=word/charts/_rels/chart5.xml.rels><?xml version="1.0" encoding="UTF-8" standalone="yes"?><Relationships xmlns="http://schemas.openxmlformats.org/package/2006/relationships"><Relationship Id="rId1" Type="http://schemas.openxmlformats.org/officeDocument/2006/relationships/themeOverride" Target="../theme/themeOverride1.xml" /><Relationship Id="rId2" Type="http://schemas.openxmlformats.org/officeDocument/2006/relationships/package" Target="../embeddings/Microsoft_Excel_Worksheet5.xlsx" /></Relationships>
</file>

<file path=word/charts/_rels/chart6.xml.rels><?xml version="1.0" encoding="UTF-8" standalone="yes"?><Relationships xmlns="http://schemas.openxmlformats.org/package/2006/relationships"><Relationship Id="rId1" Type="http://schemas.openxmlformats.org/officeDocument/2006/relationships/themeOverride" Target="../theme/themeOverride1.xml" /><Relationship Id="rId2" Type="http://schemas.openxmlformats.org/officeDocument/2006/relationships/package" Target="../embeddings/Microsoft_Excel_Worksheet6.xlsx" /></Relationships>
</file>

<file path=word/charts/_rels/chart7.xml.rels><?xml version="1.0" encoding="UTF-8" standalone="yes"?><Relationships xmlns="http://schemas.openxmlformats.org/package/2006/relationships"><Relationship Id="rId1" Type="http://schemas.openxmlformats.org/officeDocument/2006/relationships/package" Target="../embeddings/Microsoft_Excel_Worksheet7.xlsx" /></Relationships>
</file>

<file path=word/charts/_rels/chart8.xml.rels><?xml version="1.0" encoding="UTF-8" standalone="yes"?><Relationships xmlns="http://schemas.openxmlformats.org/package/2006/relationships"><Relationship Id="rId1" Type="http://schemas.openxmlformats.org/officeDocument/2006/relationships/chartUserShapes" Target="../drawings/drawing3.xml" /><Relationship Id="rId2" Type="http://schemas.openxmlformats.org/officeDocument/2006/relationships/themeOverride" Target="../theme/themeOverride1.xml" /><Relationship Id="rId3" Type="http://schemas.openxmlformats.org/officeDocument/2006/relationships/package" Target="../embeddings/Microsoft_Excel_Worksheet8.xlsx" /></Relationships>
</file>

<file path=word/charts/_rels/chart9.xml.rels><?xml version="1.0" encoding="UTF-8" standalone="yes"?><Relationships xmlns="http://schemas.openxmlformats.org/package/2006/relationships"><Relationship Id="rId1" Type="http://schemas.openxmlformats.org/officeDocument/2006/relationships/package" Target="../embeddings/Microsoft_Excel_Worksheet9.xlsx" /></Relationships>
</file>

<file path=word/charts/_rels/chart10.xml.rels><?xml version="1.0" encoding="UTF-8" standalone="yes"?><Relationships xmlns="http://schemas.openxmlformats.org/package/2006/relationships"><Relationship Id="rId1" Type="http://schemas.openxmlformats.org/officeDocument/2006/relationships/package" Target="../embeddings/Microsoft_Excel_Worksheet10.xlsx" /></Relationships>
</file>

<file path=word/charts/_rels/chart11.xml.rels><?xml version="1.0" encoding="UTF-8" standalone="yes"?><Relationships xmlns="http://schemas.openxmlformats.org/package/2006/relationships"><Relationship Id="rId1" Type="http://schemas.openxmlformats.org/officeDocument/2006/relationships/themeOverride" Target="../theme/themeOverride1.xml" /><Relationship Id="rId2" Type="http://schemas.openxmlformats.org/officeDocument/2006/relationships/package" Target="../embeddings/Microsoft_Excel_Worksheet11.xlsx" /></Relationships>
</file>

<file path=word/charts/_rels/chart12.xml.rels><?xml version="1.0" encoding="UTF-8" standalone="yes"?><Relationships xmlns="http://schemas.openxmlformats.org/package/2006/relationships"><Relationship Id="rId1" Type="http://schemas.openxmlformats.org/officeDocument/2006/relationships/chartUserShapes" Target="../drawings/drawing4.xml" /><Relationship Id="rId2" Type="http://schemas.openxmlformats.org/officeDocument/2006/relationships/themeOverride" Target="../theme/themeOverride1.xml" /><Relationship Id="rId3" Type="http://schemas.openxmlformats.org/officeDocument/2006/relationships/package" Target="../embeddings/Microsoft_Excel_Worksheet12.xlsx" /></Relationships>
</file>

<file path=word/charts/_rels/chart13.xml.rels><?xml version="1.0" encoding="UTF-8" standalone="yes"?><Relationships xmlns="http://schemas.openxmlformats.org/package/2006/relationships"><Relationship Id="rId1" Type="http://schemas.openxmlformats.org/officeDocument/2006/relationships/themeOverride" Target="../theme/themeOverride1.xml" /><Relationship Id="rId2" Type="http://schemas.openxmlformats.org/officeDocument/2006/relationships/package" Target="../embeddings/Microsoft_Excel_Worksheet13.xlsx" /></Relationships>
</file>

<file path=word/charts/chart1.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ru-RU"/>
  <c:roundedCorners val="0"/>
  <mc:AlternateContent>
    <mc:Choice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073785"/>
          <c:y val="0.042879"/>
          <c:w val="0.794613"/>
          <c:h val="0.611953"/>
        </c:manualLayout>
      </c:layout>
      <c:barChart>
        <c:barDir val="col"/>
        <c:grouping val="clustered"/>
        <c:varyColors val="0"/>
        <c:ser>
          <c:idx val="0"/>
          <c:order val="0"/>
          <c:tx>
            <c:strRef>
              <c:f>ВРП!$B$47</c:f>
              <c:strCache>
                <c:ptCount val="1"/>
                <c:pt idx="0">
                  <c:v xml:space="preserve">Объем ВРП Томской области, млрд. руб.</c:v>
                </c:pt>
              </c:strCache>
            </c:strRef>
          </c:tx>
          <c:spPr bwMode="auto">
            <a:prstGeom prst="rect">
              <a:avLst/>
            </a:prstGeom>
            <a:solidFill>
              <a:srgbClr val="91C6F7"/>
            </a:solidFill>
            <a:ln>
              <a:noFill/>
            </a:ln>
          </c:spPr>
          <c:invertIfNegative val="0"/>
          <c:dLbls>
            <c:dLblPos val="ctr"/>
            <c:showBubbleSize val="0"/>
            <c:showCatName val="0"/>
            <c:showLeaderLines val="0"/>
            <c:showLegendKey val="0"/>
            <c:showPercent val="0"/>
            <c:showSerName val="0"/>
            <c:showVal val="1"/>
            <c:spPr bwMode="auto">
              <a:prstGeom prst="rect">
                <a:avLst/>
              </a:prstGeom>
              <a:noFill/>
              <a:ln>
                <a:noFill/>
              </a:ln>
              <a:effectLst/>
            </c:spPr>
            <c:txPr>
              <a:bodyPr/>
              <a:lstStyle/>
              <a:p>
                <a:pPr>
                  <a:defRPr sz="1000" b="1">
                    <a:latin typeface="PT Astra Serif"/>
                    <a:ea typeface="PT Astra Serif"/>
                  </a:defRPr>
                </a:pPr>
                <a:endParaRPr lang="ru-RU"/>
              </a:p>
            </c:txPr>
          </c:dLbls>
          <c:cat>
            <c:strRef>
              <c:f>ВРП!$A$48:$A$51</c:f>
              <c:strCache>
                <c:ptCount val="3"/>
                <c:pt idx="0">
                  <c:v>2021</c:v>
                </c:pt>
                <c:pt idx="1">
                  <c:v>2022</c:v>
                </c:pt>
                <c:pt idx="2">
                  <c:v xml:space="preserve">2023 оценка</c:v>
                </c:pt>
              </c:strCache>
            </c:strRef>
          </c:cat>
          <c:val>
            <c:numRef>
              <c:f>ВРП!$B$48:$B$51</c:f>
              <c:numCache>
                <c:formatCode xml:space="preserve">_-* #,##0.0\ _₽_-;\-* #,##0.0\ _₽_-;_-* "-"?\ _₽_-;_-@_-</c:formatCode>
                <c:ptCount val="3"/>
                <c:pt idx="0">
                  <c:v>723.2</c:v>
                </c:pt>
                <c:pt idx="1">
                  <c:v>809.6</c:v>
                </c:pt>
                <c:pt idx="2">
                  <c:v>853.2</c:v>
                </c:pt>
              </c:numCache>
            </c:numRef>
          </c:val>
        </c:ser>
        <c:dLbls>
          <c:showBubbleSize val="0"/>
          <c:showCatName val="0"/>
          <c:showLeaderLines val="0"/>
          <c:showLegendKey val="0"/>
          <c:showPercent val="0"/>
          <c:showSerName val="0"/>
          <c:showVal val="0"/>
        </c:dLbls>
        <c:gapWidth val="74"/>
        <c:axId val="324390912"/>
        <c:axId val="412643840"/>
      </c:barChart>
      <c:lineChart>
        <c:grouping val="standard"/>
        <c:varyColors val="0"/>
        <c:ser>
          <c:idx val="1"/>
          <c:order val="1"/>
          <c:tx>
            <c:strRef>
              <c:f>ВРП!$C$47</c:f>
              <c:strCache>
                <c:ptCount val="1"/>
                <c:pt idx="0">
                  <c:v xml:space="preserve">ИФО ВРП Томская область, %</c:v>
                </c:pt>
              </c:strCache>
            </c:strRef>
          </c:tx>
          <c:spPr bwMode="auto">
            <a:prstGeom prst="rect">
              <a:avLst/>
            </a:prstGeom>
            <a:ln>
              <a:solidFill>
                <a:srgbClr val="008000"/>
              </a:solidFill>
            </a:ln>
          </c:spPr>
          <c:marker>
            <c:symbol val="circle"/>
            <c:size val="5"/>
            <c:spPr bwMode="auto">
              <a:prstGeom prst="rect">
                <a:avLst/>
              </a:prstGeom>
              <a:solidFill>
                <a:srgbClr val="008000"/>
              </a:solidFill>
              <a:ln>
                <a:noFill/>
              </a:ln>
            </c:spPr>
          </c:marker>
          <c:dLbls>
            <c:dLbl>
              <c:idx val="1"/>
              <c:dLblPos val="r"/>
              <c:layout>
                <c:manualLayout>
                  <c:x val="-0.065464"/>
                  <c:y val="-0.077427"/>
                </c:manualLayout>
              </c:layout>
              <c:showBubbleSize val="0"/>
              <c:showCatName val="0"/>
              <c:showLegendKey val="0"/>
              <c:showPercent val="0"/>
              <c:showSerName val="0"/>
              <c:showVal val="1"/>
            </c:dLbl>
            <c:dLbl>
              <c:idx val="2"/>
              <c:dLblPos val="r"/>
              <c:layout>
                <c:manualLayout>
                  <c:x val="-0.005585"/>
                  <c:y val="0.024072"/>
                </c:manualLayout>
              </c:layout>
              <c:showBubbleSize val="0"/>
              <c:showCatName val="0"/>
              <c:showLegendKey val="0"/>
              <c:showPercent val="0"/>
              <c:showSerName val="0"/>
              <c:showVal val="1"/>
            </c:dLbl>
            <c:dLbl>
              <c:idx val="3"/>
              <c:dLblPos val="r"/>
              <c:layout>
                <c:manualLayout>
                  <c:x val="-0.059072"/>
                  <c:y val="-0.029421"/>
                </c:manualLayout>
              </c:layout>
              <c:showBubbleSize val="0"/>
              <c:showCatName val="0"/>
              <c:showLegendKey val="0"/>
              <c:showPercent val="0"/>
              <c:showSerName val="0"/>
              <c:showVal val="1"/>
            </c:dLbl>
            <c:dLbl>
              <c:idx val="9"/>
              <c:dLblPos val="r"/>
              <c:layout>
                <c:manualLayout>
                  <c:x val="0.006028"/>
                  <c:y val="0.017527"/>
                </c:manualLayout>
              </c:layout>
              <c:showBubbleSize val="0"/>
              <c:showCatName val="0"/>
              <c:showLegendKey val="0"/>
              <c:showPercent val="0"/>
              <c:showSerName val="0"/>
              <c:showVal val="1"/>
            </c:dLbl>
            <c:dLblPos val="b"/>
            <c:showBubbleSize val="0"/>
            <c:showCatName val="0"/>
            <c:showLeaderLines val="0"/>
            <c:showLegendKey val="0"/>
            <c:showPercent val="0"/>
            <c:showSerName val="0"/>
            <c:showVal val="1"/>
            <c:spPr bwMode="auto">
              <a:prstGeom prst="rect">
                <a:avLst/>
              </a:prstGeom>
              <a:noFill/>
              <a:ln>
                <a:noFill/>
              </a:ln>
              <a:effectLst/>
            </c:spPr>
            <c:txPr>
              <a:bodyPr/>
              <a:lstStyle/>
              <a:p>
                <a:pPr>
                  <a:defRPr sz="900" b="1">
                    <a:solidFill>
                      <a:srgbClr val="008000"/>
                    </a:solidFill>
                    <a:latin typeface="PT Astra Serif"/>
                    <a:ea typeface="PT Astra Serif"/>
                  </a:defRPr>
                </a:pPr>
                <a:endParaRPr lang="ru-RU"/>
              </a:p>
            </c:txPr>
          </c:dLbls>
          <c:cat>
            <c:strRef>
              <c:f>ВРП!$A$48:$A$51</c:f>
              <c:strCache>
                <c:ptCount val="3"/>
                <c:pt idx="0">
                  <c:v>2021</c:v>
                </c:pt>
                <c:pt idx="1">
                  <c:v>2022</c:v>
                </c:pt>
                <c:pt idx="2">
                  <c:v xml:space="preserve">2023 оценка</c:v>
                </c:pt>
              </c:strCache>
            </c:strRef>
          </c:cat>
          <c:val>
            <c:numRef>
              <c:f>ВРП!$C$48:$C$51</c:f>
              <c:numCache>
                <c:formatCode>0.0%</c:formatCode>
                <c:ptCount val="3"/>
                <c:pt idx="0">
                  <c:v>1.034</c:v>
                </c:pt>
                <c:pt idx="1">
                  <c:v>1.002</c:v>
                </c:pt>
                <c:pt idx="2">
                  <c:v>1.005</c:v>
                </c:pt>
              </c:numCache>
            </c:numRef>
          </c:val>
          <c:smooth val="1"/>
        </c:ser>
        <c:ser>
          <c:idx val="2"/>
          <c:order val="2"/>
          <c:tx>
            <c:strRef>
              <c:f>ВРП!$D$47</c:f>
              <c:strCache>
                <c:ptCount val="1"/>
                <c:pt idx="0">
                  <c:v xml:space="preserve">ИФО ВВП Россия, %</c:v>
                </c:pt>
              </c:strCache>
            </c:strRef>
          </c:tx>
          <c:spPr bwMode="auto">
            <a:prstGeom prst="rect">
              <a:avLst/>
            </a:prstGeom>
            <a:ln>
              <a:solidFill>
                <a:srgbClr val="0070C0"/>
              </a:solidFill>
            </a:ln>
          </c:spPr>
          <c:marker>
            <c:symbol val="circle"/>
            <c:size val="5"/>
            <c:spPr bwMode="auto">
              <a:prstGeom prst="rect">
                <a:avLst/>
              </a:prstGeom>
              <a:solidFill>
                <a:srgbClr val="0070C0"/>
              </a:solidFill>
            </c:spPr>
          </c:marker>
          <c:dLbls>
            <c:dLbl>
              <c:idx val="1"/>
              <c:dLblPos val="r"/>
              <c:layout>
                <c:manualLayout>
                  <c:x val="-0.053312"/>
                  <c:y val="0.066884"/>
                </c:manualLayout>
              </c:layout>
              <c:showBubbleSize val="0"/>
              <c:showCatName val="0"/>
              <c:showLegendKey val="0"/>
              <c:showPercent val="0"/>
              <c:showSerName val="0"/>
              <c:showVal val="1"/>
            </c:dLbl>
            <c:dLbl>
              <c:idx val="2"/>
              <c:dLblPos val="r"/>
              <c:layout>
                <c:manualLayout>
                  <c:x val="-0.001096"/>
                  <c:y val="-0.031577"/>
                </c:manualLayout>
              </c:layout>
              <c:showBubbleSize val="0"/>
              <c:showCatName val="0"/>
              <c:showLegendKey val="0"/>
              <c:showPercent val="0"/>
              <c:showSerName val="0"/>
              <c:showVal val="1"/>
            </c:dLbl>
            <c:dLbl>
              <c:idx val="3"/>
              <c:dLblPos val="r"/>
              <c:layout>
                <c:manualLayout>
                  <c:x val="-0.042996"/>
                  <c:y val="0.038811"/>
                </c:manualLayout>
              </c:layout>
              <c:showBubbleSize val="0"/>
              <c:showCatName val="0"/>
              <c:showLegendKey val="0"/>
              <c:showPercent val="0"/>
              <c:showSerName val="0"/>
              <c:showVal val="1"/>
            </c:dLbl>
            <c:dLblPos val="t"/>
            <c:showBubbleSize val="0"/>
            <c:showCatName val="0"/>
            <c:showLeaderLines val="0"/>
            <c:showLegendKey val="0"/>
            <c:showPercent val="0"/>
            <c:showSerName val="0"/>
            <c:showVal val="1"/>
            <c:spPr bwMode="auto">
              <a:prstGeom prst="rect">
                <a:avLst/>
              </a:prstGeom>
              <a:noFill/>
              <a:ln>
                <a:noFill/>
              </a:ln>
              <a:effectLst/>
            </c:spPr>
            <c:txPr>
              <a:bodyPr/>
              <a:lstStyle/>
              <a:p>
                <a:pPr>
                  <a:defRPr sz="800">
                    <a:solidFill>
                      <a:srgbClr val="002060"/>
                    </a:solidFill>
                    <a:latin typeface="PT Astra Serif"/>
                    <a:ea typeface="PT Astra Serif"/>
                  </a:defRPr>
                </a:pPr>
                <a:endParaRPr lang="ru-RU"/>
              </a:p>
            </c:txPr>
          </c:dLbls>
          <c:cat>
            <c:strRef>
              <c:f>ВРП!$A$48:$A$51</c:f>
              <c:strCache>
                <c:ptCount val="3"/>
                <c:pt idx="0">
                  <c:v>2021</c:v>
                </c:pt>
                <c:pt idx="1">
                  <c:v>2022</c:v>
                </c:pt>
                <c:pt idx="2">
                  <c:v xml:space="preserve">2023 оценка</c:v>
                </c:pt>
              </c:strCache>
            </c:strRef>
          </c:cat>
          <c:val>
            <c:numRef>
              <c:f>ВРП!$D$48:$D$51</c:f>
              <c:numCache>
                <c:formatCode>0.0%</c:formatCode>
                <c:ptCount val="3"/>
                <c:pt idx="0">
                  <c:v>1.059</c:v>
                </c:pt>
                <c:pt idx="1">
                  <c:v>0.988</c:v>
                </c:pt>
                <c:pt idx="2">
                  <c:v>1.036</c:v>
                </c:pt>
              </c:numCache>
            </c:numRef>
          </c:val>
          <c:smooth val="1"/>
        </c:ser>
        <c:dLbls>
          <c:showBubbleSize val="0"/>
          <c:showCatName val="0"/>
          <c:showLeaderLines val="0"/>
          <c:showLegendKey val="0"/>
          <c:showPercent val="0"/>
          <c:showSerName val="0"/>
          <c:showVal val="0"/>
        </c:dLbls>
        <c:marker val="1"/>
        <c:smooth val="0"/>
        <c:axId val="324371968"/>
        <c:axId val="301244416"/>
      </c:lineChart>
      <c:catAx>
        <c:axId val="324390912"/>
        <c:scaling>
          <c:orientation val="minMax"/>
        </c:scaling>
        <c:delete val="0"/>
        <c:axPos val="b"/>
        <c:numFmt formatCode="General" sourceLinked="1"/>
        <c:majorTickMark val="out"/>
        <c:minorTickMark val="none"/>
        <c:tickLblPos val="nextTo"/>
        <c:txPr>
          <a:bodyPr/>
          <a:lstStyle/>
          <a:p>
            <a:pPr>
              <a:defRPr sz="1000">
                <a:latin typeface="PT Astra Serif"/>
                <a:ea typeface="PT Astra Serif"/>
              </a:defRPr>
            </a:pPr>
            <a:endParaRPr lang="ru-RU"/>
          </a:p>
        </c:txPr>
        <c:crossAx val="412643840"/>
        <c:crosses val="autoZero"/>
        <c:auto val="1"/>
        <c:lblAlgn val="ctr"/>
        <c:lblOffset val="100"/>
        <c:noMultiLvlLbl val="0"/>
      </c:catAx>
      <c:valAx>
        <c:axId val="412643840"/>
        <c:scaling>
          <c:orientation val="minMax"/>
          <c:max val="1500.000000"/>
          <c:min val="250.000000"/>
        </c:scaling>
        <c:delete val="0"/>
        <c:axPos val="l"/>
        <c:numFmt formatCode="_-* #,##0.0\ _₽_-;\-* #,##0.0\ _₽_-;_-* &quot;-&quot;?\ _₽_-;_-@_-" sourceLinked="1"/>
        <c:majorTickMark val="out"/>
        <c:minorTickMark val="none"/>
        <c:tickLblPos val="nextTo"/>
        <c:spPr bwMode="auto">
          <a:prstGeom prst="rect">
            <a:avLst/>
          </a:prstGeom>
          <a:ln>
            <a:noFill/>
          </a:ln>
        </c:spPr>
        <c:txPr>
          <a:bodyPr/>
          <a:lstStyle/>
          <a:p>
            <a:pPr>
              <a:defRPr>
                <a:solidFill>
                  <a:schemeClr val="bg1"/>
                </a:solidFill>
              </a:defRPr>
            </a:pPr>
            <a:endParaRPr lang="ru-RU"/>
          </a:p>
        </c:txPr>
        <c:crossAx val="324390912"/>
        <c:crosses val="autoZero"/>
        <c:crossBetween val="between"/>
      </c:valAx>
      <c:valAx>
        <c:axId val="301244416"/>
        <c:scaling>
          <c:orientation val="minMax"/>
          <c:max val="1.150000"/>
          <c:min val="0.750000"/>
        </c:scaling>
        <c:delete val="0"/>
        <c:axPos val="r"/>
        <c:numFmt formatCode="0.0%" sourceLinked="1"/>
        <c:majorTickMark val="out"/>
        <c:minorTickMark val="none"/>
        <c:tickLblPos val="nextTo"/>
        <c:spPr bwMode="auto">
          <a:prstGeom prst="rect">
            <a:avLst/>
          </a:prstGeom>
          <a:ln>
            <a:noFill/>
          </a:ln>
        </c:spPr>
        <c:txPr>
          <a:bodyPr/>
          <a:lstStyle/>
          <a:p>
            <a:pPr>
              <a:defRPr>
                <a:solidFill>
                  <a:schemeClr val="bg1"/>
                </a:solidFill>
              </a:defRPr>
            </a:pPr>
            <a:endParaRPr lang="ru-RU"/>
          </a:p>
        </c:txPr>
        <c:crossAx val="324371968"/>
        <c:crosses val="max"/>
        <c:crossBetween val="between"/>
      </c:valAx>
      <c:catAx>
        <c:axId val="324371968"/>
        <c:scaling>
          <c:orientation val="minMax"/>
        </c:scaling>
        <c:delete val="1"/>
        <c:axPos val="b"/>
        <c:numFmt formatCode="General" sourceLinked="1"/>
        <c:majorTickMark val="out"/>
        <c:minorTickMark val="none"/>
        <c:tickLblPos val="nextTo"/>
        <c:crossAx val="301244416"/>
        <c:crosses val="autoZero"/>
        <c:auto val="1"/>
        <c:lblAlgn val="ctr"/>
        <c:lblOffset val="100"/>
        <c:noMultiLvlLbl val="0"/>
      </c:catAx>
      <c:spPr bwMode="auto">
        <a:prstGeom prst="rect">
          <a:avLst/>
        </a:prstGeom>
        <a:ln>
          <a:noFill/>
        </a:ln>
      </c:spPr>
    </c:plotArea>
    <c:legend>
      <c:legendPos val="b"/>
      <c:layout>
        <c:manualLayout>
          <c:xMode val="edge"/>
          <c:yMode val="edge"/>
          <c:x val="0.031249"/>
          <c:y val="0.787131"/>
          <c:w val="0.940930"/>
          <c:h val="0.173975"/>
        </c:manualLayout>
      </c:layout>
      <c:overlay val="0"/>
      <c:txPr>
        <a:bodyPr/>
        <a:lstStyle/>
        <a:p>
          <a:pPr>
            <a:defRPr sz="1000">
              <a:latin typeface="PT Astra Serif"/>
              <a:ea typeface="PT Astra Serif"/>
            </a:defRPr>
          </a:pPr>
          <a:endParaRPr lang="ru-RU"/>
        </a:p>
      </c:txPr>
    </c:legend>
    <c:plotVisOnly val="1"/>
    <c:dispBlanksAs val="gap"/>
    <c:showDLblsOverMax val="0"/>
  </c:chart>
  <c:spPr bwMode="auto">
    <a:prstGeom prst="rect">
      <a:avLst/>
    </a:prstGeom>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ru-RU"/>
  <c:roundedCorners val="0"/>
  <mc:AlternateContent>
    <mc:Choice Requires="c14">
      <c14:style val="102"/>
    </mc:Choice>
    <mc:Fallback>
      <c:style val="2"/>
    </mc:Fallback>
  </mc:AlternateContent>
  <c:chart>
    <c:autoTitleDeleted val="0"/>
    <c:plotArea>
      <c:layout>
        <c:manualLayout>
          <c:layoutTarget val="inner"/>
          <c:xMode val="edge"/>
          <c:yMode val="edge"/>
          <c:x val="0.027811"/>
          <c:y val="0.033608"/>
          <c:w val="0.956479"/>
          <c:h val="0.756593"/>
        </c:manualLayout>
      </c:layout>
      <c:barChart>
        <c:barDir val="col"/>
        <c:grouping val="stacked"/>
        <c:varyColors val="0"/>
        <c:ser>
          <c:idx val="0"/>
          <c:order val="0"/>
          <c:tx>
            <c:strRef>
              <c:f>Лист1!$B$1</c:f>
              <c:strCache>
                <c:ptCount val="1"/>
                <c:pt idx="0">
                  <c:v xml:space="preserve">Число родившихся</c:v>
                </c:pt>
              </c:strCache>
            </c:strRef>
          </c:tx>
          <c:spPr bwMode="auto">
            <a:prstGeom prst="rect">
              <a:avLst/>
            </a:prstGeom>
            <a:solidFill>
              <a:srgbClr val="96C8BE"/>
            </a:solidFill>
            <a:ln w="3175">
              <a:noFill/>
            </a:ln>
          </c:spPr>
          <c:invertIfNegative val="0"/>
          <c:dLbls>
            <c:dLbl>
              <c:idx val="0"/>
              <c:dLblPos val="ctr"/>
              <c:layout>
                <c:manualLayout>
                  <c:x val="0.000000"/>
                  <c:y val="-0.112662"/>
                </c:manualLayout>
              </c:layout>
              <c:showBubbleSize val="0"/>
              <c:showCatName val="0"/>
              <c:showLegendKey val="0"/>
              <c:showPercent val="0"/>
              <c:showSerName val="0"/>
              <c:showVal val="1"/>
            </c:dLbl>
            <c:dLbl>
              <c:idx val="1"/>
              <c:dLblPos val="ctr"/>
              <c:layout>
                <c:manualLayout>
                  <c:x val="0.000000"/>
                  <c:y val="-0.109014"/>
                </c:manualLayout>
              </c:layout>
              <c:showBubbleSize val="0"/>
              <c:showCatName val="0"/>
              <c:showLegendKey val="0"/>
              <c:showPercent val="0"/>
              <c:showSerName val="0"/>
              <c:showVal val="1"/>
            </c:dLbl>
            <c:dLbl>
              <c:idx val="2"/>
              <c:dLblPos val="ctr"/>
              <c:layout>
                <c:manualLayout>
                  <c:x val="0.000000"/>
                  <c:y val="-0.130389"/>
                </c:manualLayout>
              </c:layout>
              <c:showBubbleSize val="0"/>
              <c:showCatName val="0"/>
              <c:showLegendKey val="0"/>
              <c:showPercent val="0"/>
              <c:showSerName val="0"/>
              <c:showVal val="1"/>
            </c:dLbl>
            <c:dLbl>
              <c:idx val="3"/>
              <c:dLblPos val="ctr"/>
              <c:layout>
                <c:manualLayout>
                  <c:x val="0.000000"/>
                  <c:y val="-0.106921"/>
                </c:manualLayout>
              </c:layout>
              <c:showBubbleSize val="0"/>
              <c:showCatName val="0"/>
              <c:showLegendKey val="0"/>
              <c:showPercent val="0"/>
              <c:showSerName val="0"/>
              <c:showVal val="1"/>
            </c:dLbl>
            <c:dLbl>
              <c:idx val="4"/>
              <c:dLblPos val="ctr"/>
              <c:layout>
                <c:manualLayout>
                  <c:x val="0.000000"/>
                  <c:y val="-0.119810"/>
                </c:manualLayout>
              </c:layout>
              <c:showBubbleSize val="0"/>
              <c:showCatName val="0"/>
              <c:showLegendKey val="0"/>
              <c:showPercent val="0"/>
              <c:showSerName val="0"/>
              <c:showVal val="1"/>
            </c:dLbl>
            <c:dLbl>
              <c:idx val="5"/>
              <c:dLblPos val="ctr"/>
              <c:layout>
                <c:manualLayout>
                  <c:x val="-0.001978"/>
                  <c:y val="-0.123335"/>
                </c:manualLayout>
              </c:layout>
              <c:showBubbleSize val="0"/>
              <c:showCatName val="0"/>
              <c:showLegendKey val="0"/>
              <c:showPercent val="0"/>
              <c:showSerName val="0"/>
              <c:showVal val="1"/>
            </c:dLbl>
            <c:dLbl>
              <c:idx val="6"/>
              <c:dLblPos val="ctr"/>
              <c:layout>
                <c:manualLayout>
                  <c:x val="0.000000"/>
                  <c:y val="-0.127411"/>
                </c:manualLayout>
              </c:layout>
              <c:showBubbleSize val="0"/>
              <c:showCatName val="0"/>
              <c:showLegendKey val="0"/>
              <c:showPercent val="0"/>
              <c:showSerName val="0"/>
              <c:showVal val="1"/>
            </c:dLbl>
            <c:dLbl>
              <c:idx val="7"/>
              <c:dLblPos val="ctr"/>
              <c:layout>
                <c:manualLayout>
                  <c:x val="0.001978"/>
                  <c:y val="-0.121346"/>
                </c:manualLayout>
              </c:layout>
              <c:showBubbleSize val="0"/>
              <c:showCatName val="0"/>
              <c:showLegendKey val="0"/>
              <c:showPercent val="0"/>
              <c:showSerName val="0"/>
              <c:showVal val="1"/>
            </c:dLbl>
            <c:dLbl>
              <c:idx val="8"/>
              <c:dLblPos val="ctr"/>
              <c:layout>
                <c:manualLayout>
                  <c:x val="0.000000"/>
                  <c:y val="-0.123108"/>
                </c:manualLayout>
              </c:layout>
              <c:showBubbleSize val="0"/>
              <c:showCatName val="0"/>
              <c:showLegendKey val="0"/>
              <c:showPercent val="0"/>
              <c:showSerName val="0"/>
              <c:showVal val="1"/>
            </c:dLbl>
            <c:dLbl>
              <c:idx val="9"/>
              <c:dLblPos val="ctr"/>
              <c:layout>
                <c:manualLayout>
                  <c:x val="0.000000"/>
                  <c:y val="-0.126376"/>
                </c:manualLayout>
              </c:layout>
              <c:showBubbleSize val="0"/>
              <c:showCatName val="0"/>
              <c:showLegendKey val="0"/>
              <c:showPercent val="0"/>
              <c:showSerName val="0"/>
              <c:showVal val="1"/>
            </c:dLbl>
            <c:dLbl>
              <c:idx val="10"/>
              <c:dLblPos val="ctr"/>
              <c:layout>
                <c:manualLayout>
                  <c:x val="0.001978"/>
                  <c:y val="-0.118543"/>
                </c:manualLayout>
              </c:layout>
              <c:showBubbleSize val="0"/>
              <c:showCatName val="0"/>
              <c:showLegendKey val="0"/>
              <c:showPercent val="0"/>
              <c:showSerName val="0"/>
              <c:showVal val="1"/>
            </c:dLbl>
            <c:dLbl>
              <c:idx val="11"/>
              <c:dLblPos val="ctr"/>
              <c:layout>
                <c:manualLayout>
                  <c:x val="0.001978"/>
                  <c:y val="-0.118290"/>
                </c:manualLayout>
              </c:layout>
              <c:showBubbleSize val="0"/>
              <c:showCatName val="0"/>
              <c:showLegendKey val="0"/>
              <c:showPercent val="0"/>
              <c:showSerName val="0"/>
              <c:showVal val="1"/>
            </c:dLbl>
            <c:dLbl>
              <c:idx val="12"/>
              <c:dLblPos val="ctr"/>
              <c:layout>
                <c:manualLayout>
                  <c:x val="0.001978"/>
                  <c:y val="-0.124871"/>
                </c:manualLayout>
              </c:layout>
              <c:showBubbleSize val="0"/>
              <c:showCatName val="0"/>
              <c:showLegendKey val="0"/>
              <c:showPercent val="0"/>
              <c:showSerName val="0"/>
              <c:showVal val="1"/>
            </c:dLbl>
            <c:dLbl>
              <c:idx val="13"/>
              <c:dLblPos val="ctr"/>
              <c:layout>
                <c:manualLayout>
                  <c:x val="0.000000"/>
                  <c:y val="-0.108788"/>
                </c:manualLayout>
              </c:layout>
              <c:showBubbleSize val="0"/>
              <c:showCatName val="0"/>
              <c:showLegendKey val="0"/>
              <c:showPercent val="0"/>
              <c:showSerName val="0"/>
              <c:showVal val="1"/>
            </c:dLbl>
            <c:dLbl>
              <c:idx val="14"/>
              <c:dLblPos val="ctr"/>
              <c:layout>
                <c:manualLayout>
                  <c:x val="0.001978"/>
                  <c:y val="-0.120465"/>
                </c:manualLayout>
              </c:layout>
              <c:showBubbleSize val="0"/>
              <c:showCatName val="0"/>
              <c:showLegendKey val="0"/>
              <c:showPercent val="0"/>
              <c:showSerName val="0"/>
              <c:showVal val="1"/>
            </c:dLbl>
            <c:dLbl>
              <c:idx val="15"/>
              <c:dLblPos val="ctr"/>
              <c:layout>
                <c:manualLayout>
                  <c:x val="0.000000"/>
                  <c:y val="-0.115997"/>
                </c:manualLayout>
              </c:layout>
              <c:showBubbleSize val="0"/>
              <c:showCatName val="0"/>
              <c:showLegendKey val="0"/>
              <c:showPercent val="0"/>
              <c:showSerName val="0"/>
              <c:showVal val="1"/>
            </c:dLbl>
            <c:dLbl>
              <c:idx val="16"/>
              <c:dLblPos val="ctr"/>
              <c:layout>
                <c:manualLayout>
                  <c:x val="0.000000"/>
                  <c:y val="-0.115838"/>
                </c:manualLayout>
              </c:layout>
              <c:showBubbleSize val="0"/>
              <c:showCatName val="0"/>
              <c:showLegendKey val="0"/>
              <c:showPercent val="0"/>
              <c:showSerName val="0"/>
              <c:showVal val="1"/>
            </c:dLbl>
            <c:dLbl>
              <c:idx val="17"/>
              <c:dLblPos val="ctr"/>
              <c:layout>
                <c:manualLayout>
                  <c:x val="0.000000"/>
                  <c:y val="-0.122117"/>
                </c:manualLayout>
              </c:layout>
              <c:showBubbleSize val="0"/>
              <c:showCatName val="0"/>
              <c:showLegendKey val="0"/>
              <c:showPercent val="0"/>
              <c:showSerName val="0"/>
              <c:showVal val="1"/>
            </c:dLbl>
            <c:dLbl>
              <c:idx val="18"/>
              <c:dLblPos val="ctr"/>
              <c:layout>
                <c:manualLayout>
                  <c:x val="0.000000"/>
                  <c:y val="-0.120262"/>
                </c:manualLayout>
              </c:layout>
              <c:showBubbleSize val="0"/>
              <c:showCatName val="0"/>
              <c:showLegendKey val="0"/>
              <c:showPercent val="0"/>
              <c:showSerName val="0"/>
              <c:showVal val="1"/>
            </c:dLbl>
            <c:dLbl>
              <c:idx val="19"/>
              <c:dLblPos val="ctr"/>
              <c:layout>
                <c:manualLayout>
                  <c:x val="0.000000"/>
                  <c:y val="-0.122637"/>
                </c:manualLayout>
              </c:layout>
              <c:showBubbleSize val="0"/>
              <c:showCatName val="0"/>
              <c:showLegendKey val="0"/>
              <c:showPercent val="0"/>
              <c:showSerName val="0"/>
              <c:showVal val="1"/>
            </c:dLbl>
            <c:dLbl>
              <c:idx val="20"/>
              <c:dLblPos val="ctr"/>
              <c:layout>
                <c:manualLayout>
                  <c:x val="0.000000"/>
                  <c:y val="-0.107727"/>
                </c:manualLayout>
              </c:layout>
              <c:showBubbleSize val="0"/>
              <c:showCatName val="0"/>
              <c:showLegendKey val="0"/>
              <c:showPercent val="0"/>
              <c:showSerName val="0"/>
              <c:showVal val="1"/>
            </c:dLbl>
            <c:dLbl>
              <c:idx val="21"/>
              <c:dLblPos val="ctr"/>
              <c:layout>
                <c:manualLayout>
                  <c:x val="0.000000"/>
                  <c:y val="-0.104495"/>
                </c:manualLayout>
              </c:layout>
              <c:showBubbleSize val="0"/>
              <c:showCatName val="0"/>
              <c:showLegendKey val="0"/>
              <c:showPercent val="0"/>
              <c:showSerName val="0"/>
              <c:showVal val="1"/>
            </c:dLbl>
            <c:dLbl>
              <c:idx val="22"/>
              <c:dLblPos val="ctr"/>
              <c:layout>
                <c:manualLayout>
                  <c:x val="-0.001989"/>
                  <c:y val="-0.109301"/>
                </c:manualLayout>
              </c:layout>
              <c:showBubbleSize val="0"/>
              <c:showCatName val="0"/>
              <c:showLegendKey val="0"/>
              <c:showPercent val="0"/>
              <c:showSerName val="0"/>
              <c:showVal val="1"/>
            </c:dLbl>
            <c:dLbl>
              <c:idx val="23"/>
              <c:dLblPos val="ctr"/>
              <c:layout>
                <c:manualLayout>
                  <c:x val="0.000000"/>
                  <c:y val="-0.099874"/>
                </c:manualLayout>
              </c:layout>
              <c:showBubbleSize val="0"/>
              <c:showCatName val="0"/>
              <c:showLegendKey val="0"/>
              <c:showPercent val="0"/>
              <c:showSerName val="0"/>
              <c:showVal val="1"/>
            </c:dLbl>
            <c:dLblPos val="inEnd"/>
            <c:showBubbleSize val="0"/>
            <c:showCatName val="0"/>
            <c:showLeaderLines val="0"/>
            <c:showLegendKey val="0"/>
            <c:showPercent val="0"/>
            <c:showSerName val="0"/>
            <c:showVal val="1"/>
          </c:dLbls>
          <c:cat>
            <c:strRef>
              <c:f>Лист1!$A$2:$A$25</c:f>
              <c:strCache>
                <c:ptCount val="24"/>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pt idx="12">
                  <c:v>январь</c:v>
                </c:pt>
                <c:pt idx="13">
                  <c:v>февраль</c:v>
                </c:pt>
                <c:pt idx="14">
                  <c:v>март</c:v>
                </c:pt>
                <c:pt idx="15">
                  <c:v>апрель</c:v>
                </c:pt>
                <c:pt idx="16">
                  <c:v>май</c:v>
                </c:pt>
                <c:pt idx="17">
                  <c:v>июнь</c:v>
                </c:pt>
                <c:pt idx="18">
                  <c:v>июль</c:v>
                </c:pt>
                <c:pt idx="19">
                  <c:v>август</c:v>
                </c:pt>
                <c:pt idx="20">
                  <c:v>сентябрь</c:v>
                </c:pt>
                <c:pt idx="21">
                  <c:v>октябрь</c:v>
                </c:pt>
                <c:pt idx="22">
                  <c:v>ноябрь</c:v>
                </c:pt>
                <c:pt idx="23">
                  <c:v>декабрь</c:v>
                </c:pt>
              </c:strCache>
            </c:strRef>
          </c:cat>
          <c:val>
            <c:numRef>
              <c:f>Лист1!$B$2:$B$25</c:f>
              <c:numCache>
                <c:formatCode>General</c:formatCode>
                <c:ptCount val="24"/>
                <c:pt idx="0">
                  <c:v>730</c:v>
                </c:pt>
                <c:pt idx="1">
                  <c:v>584</c:v>
                </c:pt>
                <c:pt idx="2">
                  <c:v>827</c:v>
                </c:pt>
                <c:pt idx="3">
                  <c:v>681</c:v>
                </c:pt>
                <c:pt idx="4">
                  <c:v>787</c:v>
                </c:pt>
                <c:pt idx="5">
                  <c:v>786</c:v>
                </c:pt>
                <c:pt idx="6">
                  <c:v>745</c:v>
                </c:pt>
                <c:pt idx="7">
                  <c:v>802</c:v>
                </c:pt>
                <c:pt idx="8">
                  <c:v>720</c:v>
                </c:pt>
                <c:pt idx="9">
                  <c:v>702</c:v>
                </c:pt>
                <c:pt idx="10">
                  <c:v>607</c:v>
                </c:pt>
                <c:pt idx="11">
                  <c:v>697</c:v>
                </c:pt>
                <c:pt idx="12">
                  <c:v>714</c:v>
                </c:pt>
                <c:pt idx="13">
                  <c:v>627</c:v>
                </c:pt>
                <c:pt idx="14">
                  <c:v>688</c:v>
                </c:pt>
                <c:pt idx="15">
                  <c:v>634</c:v>
                </c:pt>
                <c:pt idx="16">
                  <c:v>675</c:v>
                </c:pt>
                <c:pt idx="17">
                  <c:v>695</c:v>
                </c:pt>
                <c:pt idx="18">
                  <c:v>724</c:v>
                </c:pt>
                <c:pt idx="19">
                  <c:v>766</c:v>
                </c:pt>
                <c:pt idx="20">
                  <c:v>622</c:v>
                </c:pt>
                <c:pt idx="21">
                  <c:v>649</c:v>
                </c:pt>
                <c:pt idx="22">
                  <c:v>660</c:v>
                </c:pt>
                <c:pt idx="23">
                  <c:v>643</c:v>
                </c:pt>
              </c:numCache>
            </c:numRef>
          </c:val>
        </c:ser>
        <c:ser>
          <c:idx val="1"/>
          <c:order val="1"/>
          <c:tx>
            <c:strRef>
              <c:f>Лист1!$C$1</c:f>
              <c:strCache>
                <c:ptCount val="1"/>
                <c:pt idx="0">
                  <c:v xml:space="preserve">Число умерших</c:v>
                </c:pt>
              </c:strCache>
            </c:strRef>
          </c:tx>
          <c:spPr bwMode="auto">
            <a:prstGeom prst="rect">
              <a:avLst/>
            </a:prstGeom>
            <a:solidFill>
              <a:srgbClr val="326E8C"/>
            </a:solidFill>
            <a:ln>
              <a:noFill/>
            </a:ln>
          </c:spPr>
          <c:invertIfNegative val="0"/>
          <c:dPt>
            <c:idx val="0"/>
            <c:invertIfNegative val="0"/>
            <c:bubble3D val="0"/>
          </c:dPt>
          <c:dLbls>
            <c:dLbl>
              <c:idx val="0"/>
              <c:layout>
                <c:manualLayout>
                  <c:x val="0.000000"/>
                  <c:y val="-0.193538"/>
                </c:manualLayout>
              </c:layout>
              <c:showBubbleSize val="0"/>
              <c:showCatName val="0"/>
              <c:showLegendKey val="0"/>
              <c:showPercent val="0"/>
              <c:showSerName val="0"/>
              <c:showVal val="1"/>
              <c:tx>
                <c:rich>
                  <a:bodyPr/>
                  <a:lstStyle/>
                  <a:p>
                    <a:pPr>
                      <a:defRPr/>
                    </a:pPr>
                    <a:r>
                      <a:rPr lang="en-US" sz="900" b="1">
                        <a:latin typeface="PT Astra Serif"/>
                        <a:ea typeface="PT Astra Serif"/>
                      </a:rPr>
                      <a:t>1248</a:t>
                    </a:r>
                    <a:endParaRPr lang="en-US" sz="800"/>
                  </a:p>
                </c:rich>
              </c:tx>
            </c:dLbl>
            <c:dLbl>
              <c:idx val="1"/>
              <c:layout>
                <c:manualLayout>
                  <c:x val="-0.000066"/>
                  <c:y val="-0.168325"/>
                </c:manualLayout>
              </c:layout>
              <c:showBubbleSize val="0"/>
              <c:showCatName val="0"/>
              <c:showLegendKey val="0"/>
              <c:showPercent val="0"/>
              <c:showSerName val="0"/>
              <c:showVal val="1"/>
              <c:tx>
                <c:rich>
                  <a:bodyPr/>
                  <a:lstStyle/>
                  <a:p>
                    <a:pPr>
                      <a:defRPr/>
                    </a:pPr>
                    <a:r>
                      <a:rPr lang="en-US" sz="900" b="1">
                        <a:latin typeface="PT Astra Serif"/>
                        <a:ea typeface="PT Astra Serif"/>
                      </a:rPr>
                      <a:t>1156</a:t>
                    </a:r>
                    <a:endParaRPr lang="en-US" sz="800"/>
                  </a:p>
                </c:rich>
              </c:tx>
            </c:dLbl>
            <c:dLbl>
              <c:idx val="2"/>
              <c:layout>
                <c:manualLayout>
                  <c:x val="-0.001978"/>
                  <c:y val="-0.211259"/>
                </c:manualLayout>
              </c:layout>
              <c:showBubbleSize val="0"/>
              <c:showCatName val="0"/>
              <c:showLegendKey val="0"/>
              <c:showPercent val="0"/>
              <c:showSerName val="0"/>
              <c:showVal val="1"/>
              <c:tx>
                <c:rich>
                  <a:bodyPr/>
                  <a:lstStyle/>
                  <a:p>
                    <a:pPr>
                      <a:defRPr/>
                    </a:pPr>
                    <a:r>
                      <a:rPr lang="en-US" sz="900" b="1">
                        <a:latin typeface="PT Astra Serif"/>
                        <a:ea typeface="PT Astra Serif"/>
                      </a:rPr>
                      <a:t>1319</a:t>
                    </a:r>
                    <a:endParaRPr lang="en-US" sz="800"/>
                  </a:p>
                </c:rich>
              </c:tx>
            </c:dLbl>
            <c:dLbl>
              <c:idx val="3"/>
              <c:layout>
                <c:manualLayout>
                  <c:x val="0.000000"/>
                  <c:y val="-0.157086"/>
                </c:manualLayout>
              </c:layout>
              <c:showBubbleSize val="0"/>
              <c:showCatName val="0"/>
              <c:showLegendKey val="0"/>
              <c:showPercent val="0"/>
              <c:showSerName val="0"/>
              <c:showVal val="1"/>
              <c:tx>
                <c:rich>
                  <a:bodyPr/>
                  <a:lstStyle/>
                  <a:p>
                    <a:pPr>
                      <a:defRPr/>
                    </a:pPr>
                    <a:r>
                      <a:rPr lang="en-US" sz="900" b="1">
                        <a:latin typeface="PT Astra Serif"/>
                        <a:ea typeface="PT Astra Serif"/>
                      </a:rPr>
                      <a:t>953</a:t>
                    </a:r>
                    <a:endParaRPr lang="en-US" sz="800"/>
                  </a:p>
                </c:rich>
              </c:tx>
            </c:dLbl>
            <c:dLbl>
              <c:idx val="4"/>
              <c:layout>
                <c:manualLayout>
                  <c:x val="-0.001977"/>
                  <c:y val="-0.168054"/>
                </c:manualLayout>
              </c:layout>
              <c:showBubbleSize val="0"/>
              <c:showCatName val="0"/>
              <c:showLegendKey val="0"/>
              <c:showPercent val="0"/>
              <c:showSerName val="0"/>
              <c:showVal val="1"/>
              <c:tx>
                <c:rich>
                  <a:bodyPr/>
                  <a:lstStyle/>
                  <a:p>
                    <a:pPr>
                      <a:defRPr/>
                    </a:pPr>
                    <a:r>
                      <a:rPr lang="en-US" sz="900" b="1">
                        <a:latin typeface="PT Astra Serif"/>
                        <a:ea typeface="PT Astra Serif"/>
                      </a:rPr>
                      <a:t>998</a:t>
                    </a:r>
                    <a:endParaRPr lang="en-US"/>
                  </a:p>
                </c:rich>
              </c:tx>
            </c:dLbl>
            <c:dLbl>
              <c:idx val="5"/>
              <c:layout>
                <c:manualLayout>
                  <c:x val="-0.000006"/>
                  <c:y val="-0.160768"/>
                </c:manualLayout>
              </c:layout>
              <c:showBubbleSize val="0"/>
              <c:showCatName val="0"/>
              <c:showLegendKey val="0"/>
              <c:showPercent val="0"/>
              <c:showSerName val="0"/>
              <c:showVal val="1"/>
              <c:tx>
                <c:rich>
                  <a:bodyPr/>
                  <a:lstStyle/>
                  <a:p>
                    <a:pPr>
                      <a:defRPr/>
                    </a:pPr>
                    <a:r>
                      <a:rPr lang="en-US" sz="900" b="1">
                        <a:latin typeface="PT Astra Serif"/>
                        <a:ea typeface="PT Astra Serif"/>
                      </a:rPr>
                      <a:t>952</a:t>
                    </a:r>
                    <a:endParaRPr lang="en-US" b="1">
                      <a:latin typeface="PT Astra Serif"/>
                      <a:ea typeface="PT Astra Serif"/>
                    </a:endParaRPr>
                  </a:p>
                </c:rich>
              </c:tx>
            </c:dLbl>
            <c:dLbl>
              <c:idx val="6"/>
              <c:layout>
                <c:manualLayout>
                  <c:x val="0.000059"/>
                  <c:y val="-0.150708"/>
                </c:manualLayout>
              </c:layout>
              <c:showBubbleSize val="0"/>
              <c:showCatName val="0"/>
              <c:showLegendKey val="0"/>
              <c:showPercent val="0"/>
              <c:showSerName val="0"/>
              <c:showVal val="1"/>
              <c:tx>
                <c:rich>
                  <a:bodyPr/>
                  <a:lstStyle/>
                  <a:p>
                    <a:pPr>
                      <a:defRPr/>
                    </a:pPr>
                    <a:r>
                      <a:rPr lang="en-US" sz="900" b="1">
                        <a:latin typeface="PT Astra Serif"/>
                        <a:ea typeface="PT Astra Serif"/>
                      </a:rPr>
                      <a:t>933</a:t>
                    </a:r>
                    <a:endParaRPr lang="en-US"/>
                  </a:p>
                </c:rich>
              </c:tx>
            </c:dLbl>
            <c:dLbl>
              <c:idx val="7"/>
              <c:layout>
                <c:manualLayout>
                  <c:x val="0.000059"/>
                  <c:y val="-0.162624"/>
                </c:manualLayout>
              </c:layout>
              <c:showBubbleSize val="0"/>
              <c:showCatName val="0"/>
              <c:showLegendKey val="0"/>
              <c:showPercent val="0"/>
              <c:showSerName val="0"/>
              <c:showVal val="1"/>
              <c:tx>
                <c:rich>
                  <a:bodyPr/>
                  <a:lstStyle/>
                  <a:p>
                    <a:pPr>
                      <a:defRPr/>
                    </a:pPr>
                    <a:r>
                      <a:rPr lang="en-US" sz="900" b="1">
                        <a:latin typeface="PT Astra Serif"/>
                        <a:ea typeface="PT Astra Serif"/>
                      </a:rPr>
                      <a:t>1035</a:t>
                    </a:r>
                    <a:endParaRPr lang="en-US" sz="800" b="1">
                      <a:latin typeface="PT Astra Serif"/>
                      <a:ea typeface="PT Astra Serif"/>
                    </a:endParaRPr>
                  </a:p>
                </c:rich>
              </c:tx>
            </c:dLbl>
            <c:dLbl>
              <c:idx val="8"/>
              <c:layout>
                <c:manualLayout>
                  <c:x val="0.000000"/>
                  <c:y val="-0.179082"/>
                </c:manualLayout>
              </c:layout>
              <c:showBubbleSize val="0"/>
              <c:showCatName val="0"/>
              <c:showLegendKey val="0"/>
              <c:showPercent val="0"/>
              <c:showSerName val="0"/>
              <c:showVal val="1"/>
              <c:tx>
                <c:rich>
                  <a:bodyPr/>
                  <a:lstStyle/>
                  <a:p>
                    <a:pPr>
                      <a:defRPr/>
                    </a:pPr>
                    <a:r>
                      <a:rPr lang="en-US" sz="900" b="1">
                        <a:latin typeface="PT Astra Serif"/>
                        <a:ea typeface="PT Astra Serif"/>
                      </a:rPr>
                      <a:t>1109</a:t>
                    </a:r>
                    <a:endParaRPr lang="en-US" sz="800" b="1">
                      <a:latin typeface="PT Astra Serif"/>
                      <a:ea typeface="PT Astra Serif"/>
                    </a:endParaRPr>
                  </a:p>
                </c:rich>
              </c:tx>
            </c:dLbl>
            <c:dLbl>
              <c:idx val="9"/>
              <c:layout>
                <c:manualLayout>
                  <c:x val="0.001993"/>
                  <c:y val="-0.150401"/>
                </c:manualLayout>
              </c:layout>
              <c:showBubbleSize val="0"/>
              <c:showCatName val="0"/>
              <c:showLegendKey val="0"/>
              <c:showPercent val="0"/>
              <c:showSerName val="0"/>
              <c:showVal val="1"/>
              <c:tx>
                <c:rich>
                  <a:bodyPr/>
                  <a:lstStyle/>
                  <a:p>
                    <a:pPr>
                      <a:defRPr/>
                    </a:pPr>
                    <a:r>
                      <a:rPr lang="en-US" sz="900" b="1">
                        <a:latin typeface="PT Astra Serif"/>
                        <a:ea typeface="PT Astra Serif"/>
                      </a:rPr>
                      <a:t>1020</a:t>
                    </a:r>
                    <a:endParaRPr lang="en-US" sz="800"/>
                  </a:p>
                </c:rich>
              </c:tx>
            </c:dLbl>
            <c:dLbl>
              <c:idx val="10"/>
              <c:layout>
                <c:manualLayout>
                  <c:x val="0.002522"/>
                  <c:y val="-0.150637"/>
                </c:manualLayout>
              </c:layout>
              <c:showBubbleSize val="0"/>
              <c:showCatName val="0"/>
              <c:showLegendKey val="0"/>
              <c:showPercent val="0"/>
              <c:showSerName val="0"/>
              <c:showVal val="1"/>
              <c:tx>
                <c:rich>
                  <a:bodyPr/>
                  <a:lstStyle/>
                  <a:p>
                    <a:pPr>
                      <a:defRPr/>
                    </a:pPr>
                    <a:r>
                      <a:rPr lang="en-US" sz="900" b="1">
                        <a:latin typeface="PT Astra Serif"/>
                        <a:ea typeface="PT Astra Serif"/>
                      </a:rPr>
                      <a:t>946</a:t>
                    </a:r>
                    <a:endParaRPr lang="en-US"/>
                  </a:p>
                </c:rich>
              </c:tx>
            </c:dLbl>
            <c:dLbl>
              <c:idx val="11"/>
              <c:layout>
                <c:manualLayout>
                  <c:x val="0.000071"/>
                  <c:y val="-0.168897"/>
                </c:manualLayout>
              </c:layout>
              <c:showBubbleSize val="0"/>
              <c:showCatName val="0"/>
              <c:showLegendKey val="0"/>
              <c:showPercent val="0"/>
              <c:showSerName val="0"/>
              <c:showVal val="1"/>
              <c:tx>
                <c:rich>
                  <a:bodyPr/>
                  <a:lstStyle/>
                  <a:p>
                    <a:pPr>
                      <a:defRPr/>
                    </a:pPr>
                    <a:r>
                      <a:rPr lang="en-US" sz="900" b="1">
                        <a:latin typeface="PT Astra Serif"/>
                        <a:ea typeface="PT Astra Serif"/>
                      </a:rPr>
                      <a:t>1105</a:t>
                    </a:r>
                    <a:endParaRPr lang="en-US"/>
                  </a:p>
                </c:rich>
              </c:tx>
            </c:dLbl>
            <c:dLbl>
              <c:idx val="12"/>
              <c:layout>
                <c:manualLayout>
                  <c:x val="0.004080"/>
                  <c:y val="-0.191182"/>
                </c:manualLayout>
              </c:layout>
              <c:showBubbleSize val="0"/>
              <c:showCatName val="0"/>
              <c:showLegendKey val="0"/>
              <c:showPercent val="0"/>
              <c:showSerName val="0"/>
              <c:showVal val="1"/>
              <c:tx>
                <c:rich>
                  <a:bodyPr/>
                  <a:lstStyle/>
                  <a:p>
                    <a:pPr>
                      <a:defRPr/>
                    </a:pPr>
                    <a:r>
                      <a:rPr lang="en-US" sz="900" b="1">
                        <a:latin typeface="PT Astra Serif"/>
                        <a:ea typeface="PT Astra Serif"/>
                      </a:rPr>
                      <a:t>1184</a:t>
                    </a:r>
                    <a:endParaRPr lang="en-US"/>
                  </a:p>
                </c:rich>
              </c:tx>
            </c:dLbl>
            <c:dLbl>
              <c:idx val="13"/>
              <c:dLblPos val="ctr"/>
              <c:layout>
                <c:manualLayout>
                  <c:x val="-0.002151"/>
                  <c:y val="-0.144546"/>
                </c:manualLayout>
              </c:layout>
              <c:showBubbleSize val="0"/>
              <c:showCatName val="0"/>
              <c:showLegendKey val="0"/>
              <c:showPercent val="0"/>
              <c:showSerName val="0"/>
              <c:showVal val="1"/>
              <c:tx>
                <c:rich>
                  <a:bodyPr/>
                  <a:lstStyle/>
                  <a:p>
                    <a:pPr>
                      <a:defRPr/>
                    </a:pPr>
                    <a:r>
                      <a:rPr lang="en-US" sz="900"/>
                      <a:t>920</a:t>
                    </a:r>
                    <a:endParaRPr lang="en-US"/>
                  </a:p>
                </c:rich>
              </c:tx>
            </c:dLbl>
            <c:dLbl>
              <c:idx val="14"/>
              <c:layout>
                <c:manualLayout>
                  <c:x val="-0.002041"/>
                  <c:y val="-0.166212"/>
                </c:manualLayout>
              </c:layout>
              <c:showBubbleSize val="0"/>
              <c:showCatName val="0"/>
              <c:showLegendKey val="0"/>
              <c:showPercent val="0"/>
              <c:showSerName val="0"/>
              <c:showVal val="1"/>
              <c:tx>
                <c:rich>
                  <a:bodyPr/>
                  <a:lstStyle/>
                  <a:p>
                    <a:pPr>
                      <a:defRPr/>
                    </a:pPr>
                    <a:r>
                      <a:rPr lang="en-US" sz="900" b="1">
                        <a:latin typeface="PT Astra Serif"/>
                        <a:ea typeface="PT Astra Serif"/>
                      </a:rPr>
                      <a:t>1060</a:t>
                    </a:r>
                    <a:endParaRPr lang="en-US"/>
                  </a:p>
                </c:rich>
              </c:tx>
            </c:dLbl>
            <c:dLbl>
              <c:idx val="15"/>
              <c:layout>
                <c:manualLayout>
                  <c:x val="0.003954"/>
                  <c:y val="-0.138792"/>
                </c:manualLayout>
              </c:layout>
              <c:showBubbleSize val="0"/>
              <c:showCatName val="0"/>
              <c:showLegendKey val="0"/>
              <c:showPercent val="0"/>
              <c:showSerName val="0"/>
              <c:showVal val="1"/>
              <c:tx>
                <c:rich>
                  <a:bodyPr/>
                  <a:lstStyle/>
                  <a:p>
                    <a:pPr>
                      <a:defRPr/>
                    </a:pPr>
                    <a:r>
                      <a:rPr lang="en-US" sz="900" b="1">
                        <a:latin typeface="PT Astra Serif"/>
                        <a:ea typeface="PT Astra Serif"/>
                      </a:rPr>
                      <a:t>896</a:t>
                    </a:r>
                    <a:endParaRPr lang="en-US"/>
                  </a:p>
                </c:rich>
              </c:tx>
            </c:dLbl>
            <c:dLbl>
              <c:idx val="16"/>
              <c:layout>
                <c:manualLayout>
                  <c:x val="0.000000"/>
                  <c:y val="-0.167158"/>
                </c:manualLayout>
              </c:layout>
              <c:showBubbleSize val="0"/>
              <c:showCatName val="0"/>
              <c:showLegendKey val="0"/>
              <c:showPercent val="0"/>
              <c:showSerName val="0"/>
              <c:showVal val="1"/>
              <c:tx>
                <c:rich>
                  <a:bodyPr/>
                  <a:lstStyle/>
                  <a:p>
                    <a:pPr>
                      <a:defRPr/>
                    </a:pPr>
                    <a:r>
                      <a:rPr lang="en-US" sz="900" b="1">
                        <a:latin typeface="PT Astra Serif"/>
                        <a:ea typeface="PT Astra Serif"/>
                      </a:rPr>
                      <a:t>1052</a:t>
                    </a:r>
                    <a:endParaRPr lang="en-US"/>
                  </a:p>
                </c:rich>
              </c:tx>
            </c:dLbl>
            <c:dLbl>
              <c:idx val="17"/>
              <c:layout>
                <c:manualLayout>
                  <c:x val="0.000125"/>
                  <c:y val="-0.154330"/>
                </c:manualLayout>
              </c:layout>
              <c:showBubbleSize val="0"/>
              <c:showCatName val="0"/>
              <c:showLegendKey val="0"/>
              <c:showPercent val="0"/>
              <c:showSerName val="0"/>
              <c:showVal val="1"/>
              <c:tx>
                <c:rich>
                  <a:bodyPr/>
                  <a:lstStyle/>
                  <a:p>
                    <a:pPr>
                      <a:defRPr/>
                    </a:pPr>
                    <a:r>
                      <a:rPr lang="en-US" sz="900" b="1">
                        <a:latin typeface="PT Astra Serif"/>
                        <a:ea typeface="PT Astra Serif"/>
                      </a:rPr>
                      <a:t>946</a:t>
                    </a:r>
                    <a:endParaRPr lang="en-US"/>
                  </a:p>
                </c:rich>
              </c:tx>
            </c:dLbl>
            <c:dLbl>
              <c:idx val="18"/>
              <c:layout>
                <c:manualLayout>
                  <c:x val="0.000019"/>
                  <c:y val="-0.149438"/>
                </c:manualLayout>
              </c:layout>
              <c:showBubbleSize val="0"/>
              <c:showCatName val="0"/>
              <c:showLegendKey val="0"/>
              <c:showPercent val="0"/>
              <c:showSerName val="0"/>
              <c:showVal val="1"/>
              <c:tx>
                <c:rich>
                  <a:bodyPr/>
                  <a:lstStyle/>
                  <a:p>
                    <a:pPr>
                      <a:defRPr/>
                    </a:pPr>
                    <a:r>
                      <a:rPr lang="en-US" sz="900" b="1">
                        <a:latin typeface="PT Astra Serif"/>
                        <a:ea typeface="PT Astra Serif"/>
                      </a:rPr>
                      <a:t>938</a:t>
                    </a:r>
                    <a:endParaRPr lang="en-US"/>
                  </a:p>
                </c:rich>
              </c:tx>
            </c:dLbl>
            <c:dLbl>
              <c:idx val="19"/>
              <c:layout>
                <c:manualLayout>
                  <c:x val="0.000000"/>
                  <c:y val="-0.141811"/>
                </c:manualLayout>
              </c:layout>
              <c:showBubbleSize val="0"/>
              <c:showCatName val="0"/>
              <c:showLegendKey val="0"/>
              <c:showPercent val="0"/>
              <c:showSerName val="0"/>
              <c:showVal val="1"/>
              <c:tx>
                <c:rich>
                  <a:bodyPr/>
                  <a:lstStyle/>
                  <a:p>
                    <a:pPr>
                      <a:defRPr/>
                    </a:pPr>
                    <a:r>
                      <a:rPr lang="en-US" sz="900" b="1">
                        <a:latin typeface="PT Astra Serif"/>
                        <a:ea typeface="PT Astra Serif"/>
                      </a:rPr>
                      <a:t>907</a:t>
                    </a:r>
                    <a:endParaRPr lang="en-US"/>
                  </a:p>
                </c:rich>
              </c:tx>
            </c:dLbl>
            <c:dLbl>
              <c:idx val="20"/>
              <c:layout>
                <c:manualLayout>
                  <c:x val="0.000000"/>
                  <c:y val="-0.146960"/>
                </c:manualLayout>
              </c:layout>
              <c:showBubbleSize val="0"/>
              <c:showCatName val="0"/>
              <c:showLegendKey val="0"/>
              <c:showPercent val="0"/>
              <c:showSerName val="0"/>
              <c:showVal val="1"/>
              <c:tx>
                <c:rich>
                  <a:bodyPr/>
                  <a:lstStyle/>
                  <a:p>
                    <a:pPr>
                      <a:defRPr/>
                    </a:pPr>
                    <a:r>
                      <a:rPr lang="en-US" sz="900"/>
                      <a:t>935</a:t>
                    </a:r>
                    <a:endParaRPr lang="en-US"/>
                  </a:p>
                </c:rich>
              </c:tx>
            </c:dLbl>
            <c:dLbl>
              <c:idx val="21"/>
              <c:layout>
                <c:manualLayout>
                  <c:x val="0.000000"/>
                  <c:y val="-0.155140"/>
                </c:manualLayout>
              </c:layout>
              <c:showBubbleSize val="0"/>
              <c:showCatName val="0"/>
              <c:showLegendKey val="0"/>
              <c:showPercent val="0"/>
              <c:showSerName val="0"/>
              <c:showVal val="1"/>
              <c:tx>
                <c:rich>
                  <a:bodyPr/>
                  <a:lstStyle/>
                  <a:p>
                    <a:pPr>
                      <a:defRPr/>
                    </a:pPr>
                    <a:r>
                      <a:rPr lang="en-US" sz="900"/>
                      <a:t>981</a:t>
                    </a:r>
                    <a:endParaRPr lang="en-US"/>
                  </a:p>
                </c:rich>
              </c:tx>
            </c:dLbl>
            <c:dLbl>
              <c:idx val="22"/>
              <c:layout>
                <c:manualLayout>
                  <c:x val="-0.002041"/>
                  <c:y val="-0.150521"/>
                </c:manualLayout>
              </c:layout>
              <c:showBubbleSize val="0"/>
              <c:showCatName val="0"/>
              <c:showLegendKey val="0"/>
              <c:showPercent val="0"/>
              <c:showSerName val="0"/>
              <c:showVal val="1"/>
              <c:tx>
                <c:rich>
                  <a:bodyPr/>
                  <a:lstStyle/>
                  <a:p>
                    <a:pPr>
                      <a:defRPr/>
                    </a:pPr>
                    <a:r>
                      <a:rPr lang="en-US" sz="900"/>
                      <a:t>1000</a:t>
                    </a:r>
                    <a:endParaRPr lang="en-US"/>
                  </a:p>
                </c:rich>
              </c:tx>
            </c:dLbl>
            <c:dLbl>
              <c:idx val="23"/>
              <c:layout>
                <c:manualLayout>
                  <c:x val="-0.000227"/>
                  <c:y val="-0.162403"/>
                </c:manualLayout>
              </c:layout>
              <c:showBubbleSize val="0"/>
              <c:showCatName val="0"/>
              <c:showLegendKey val="0"/>
              <c:showPercent val="0"/>
              <c:showSerName val="0"/>
              <c:showVal val="1"/>
              <c:tx>
                <c:rich>
                  <a:bodyPr/>
                  <a:lstStyle/>
                  <a:p>
                    <a:pPr>
                      <a:defRPr/>
                    </a:pPr>
                    <a:r>
                      <a:rPr lang="en-US" sz="900"/>
                      <a:t>1087</a:t>
                    </a:r>
                    <a:endParaRPr lang="en-US"/>
                  </a:p>
                </c:rich>
              </c:tx>
            </c:dLbl>
            <c:showBubbleSize val="0"/>
            <c:showCatName val="0"/>
            <c:showLeaderLines val="0"/>
            <c:showLegendKey val="0"/>
            <c:showPercent val="0"/>
            <c:showSerName val="0"/>
            <c:showVal val="1"/>
            <c:txPr>
              <a:bodyPr/>
              <a:lstStyle/>
              <a:p>
                <a:pPr>
                  <a:defRPr sz="900"/>
                </a:pPr>
                <a:endParaRPr lang="ru-RU"/>
              </a:p>
            </c:txPr>
          </c:dLbls>
          <c:cat>
            <c:strRef>
              <c:f>Лист1!$A$2:$A$25</c:f>
              <c:strCache>
                <c:ptCount val="24"/>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pt idx="12">
                  <c:v>январь</c:v>
                </c:pt>
                <c:pt idx="13">
                  <c:v>февраль</c:v>
                </c:pt>
                <c:pt idx="14">
                  <c:v>март</c:v>
                </c:pt>
                <c:pt idx="15">
                  <c:v>апрель</c:v>
                </c:pt>
                <c:pt idx="16">
                  <c:v>май</c:v>
                </c:pt>
                <c:pt idx="17">
                  <c:v>июнь</c:v>
                </c:pt>
                <c:pt idx="18">
                  <c:v>июль</c:v>
                </c:pt>
                <c:pt idx="19">
                  <c:v>август</c:v>
                </c:pt>
                <c:pt idx="20">
                  <c:v>сентябрь</c:v>
                </c:pt>
                <c:pt idx="21">
                  <c:v>октябрь</c:v>
                </c:pt>
                <c:pt idx="22">
                  <c:v>ноябрь</c:v>
                </c:pt>
                <c:pt idx="23">
                  <c:v>декабрь</c:v>
                </c:pt>
              </c:strCache>
            </c:strRef>
          </c:cat>
          <c:val>
            <c:numRef>
              <c:f>Лист1!$C$2:$C$25</c:f>
              <c:numCache>
                <c:formatCode>General</c:formatCode>
                <c:ptCount val="24"/>
                <c:pt idx="0">
                  <c:v>-1248</c:v>
                </c:pt>
                <c:pt idx="1">
                  <c:v>-1156</c:v>
                </c:pt>
                <c:pt idx="2">
                  <c:v>-1319</c:v>
                </c:pt>
                <c:pt idx="3">
                  <c:v>-953</c:v>
                </c:pt>
                <c:pt idx="4">
                  <c:v>-998</c:v>
                </c:pt>
                <c:pt idx="5">
                  <c:v>-952</c:v>
                </c:pt>
                <c:pt idx="6">
                  <c:v>-933</c:v>
                </c:pt>
                <c:pt idx="7">
                  <c:v>-1035</c:v>
                </c:pt>
                <c:pt idx="8">
                  <c:v>-1109</c:v>
                </c:pt>
                <c:pt idx="9">
                  <c:v>-1020</c:v>
                </c:pt>
                <c:pt idx="10">
                  <c:v>-946</c:v>
                </c:pt>
                <c:pt idx="11">
                  <c:v>-1105</c:v>
                </c:pt>
                <c:pt idx="12">
                  <c:v>-1184</c:v>
                </c:pt>
                <c:pt idx="13">
                  <c:v>-920</c:v>
                </c:pt>
                <c:pt idx="14">
                  <c:v>-1060</c:v>
                </c:pt>
                <c:pt idx="15">
                  <c:v>-896</c:v>
                </c:pt>
                <c:pt idx="16">
                  <c:v>-1052</c:v>
                </c:pt>
                <c:pt idx="17">
                  <c:v>-946</c:v>
                </c:pt>
                <c:pt idx="18">
                  <c:v>-938</c:v>
                </c:pt>
                <c:pt idx="19">
                  <c:v>-907</c:v>
                </c:pt>
                <c:pt idx="20">
                  <c:v>-935</c:v>
                </c:pt>
                <c:pt idx="21">
                  <c:v>-981</c:v>
                </c:pt>
                <c:pt idx="22">
                  <c:v>-1000</c:v>
                </c:pt>
                <c:pt idx="23">
                  <c:v>-1087</c:v>
                </c:pt>
              </c:numCache>
            </c:numRef>
          </c:val>
        </c:ser>
        <c:dLbls>
          <c:showBubbleSize val="0"/>
          <c:showCatName val="0"/>
          <c:showLeaderLines val="0"/>
          <c:showLegendKey val="0"/>
          <c:showPercent val="0"/>
          <c:showSerName val="0"/>
          <c:showVal val="0"/>
        </c:dLbls>
        <c:gapWidth val="10"/>
        <c:overlap val="100"/>
        <c:axId val="324361728"/>
        <c:axId val="301246720"/>
      </c:barChart>
      <c:lineChart>
        <c:grouping val="standard"/>
        <c:varyColors val="0"/>
        <c:ser>
          <c:idx val="2"/>
          <c:order val="2"/>
          <c:tx>
            <c:strRef>
              <c:f>Лист1!$D$1</c:f>
              <c:strCache>
                <c:ptCount val="1"/>
                <c:pt idx="0">
                  <c:v xml:space="preserve">Естественный прирост (убыль)</c:v>
                </c:pt>
              </c:strCache>
            </c:strRef>
          </c:tx>
          <c:spPr bwMode="auto">
            <a:prstGeom prst="rect">
              <a:avLst/>
            </a:prstGeom>
            <a:ln w="19050">
              <a:solidFill>
                <a:schemeClr val="bg2">
                  <a:lumMod val="90000"/>
                </a:schemeClr>
              </a:solidFill>
            </a:ln>
          </c:spPr>
          <c:marker>
            <c:symbol val="circle"/>
            <c:size val="4"/>
            <c:spPr bwMode="auto">
              <a:prstGeom prst="rect">
                <a:avLst/>
              </a:prstGeom>
              <a:solidFill>
                <a:schemeClr val="bg2">
                  <a:lumMod val="90000"/>
                </a:schemeClr>
              </a:solidFill>
              <a:ln w="19050">
                <a:solidFill>
                  <a:schemeClr val="bg2">
                    <a:lumMod val="90000"/>
                  </a:schemeClr>
                </a:solidFill>
              </a:ln>
            </c:spPr>
          </c:marker>
          <c:dPt>
            <c:idx val="2"/>
            <c:bubble3D val="0"/>
          </c:dPt>
          <c:dPt>
            <c:idx val="9"/>
            <c:bubble3D val="0"/>
          </c:dPt>
          <c:dLbls>
            <c:dLbl>
              <c:idx val="0"/>
              <c:layout>
                <c:manualLayout>
                  <c:x val="-0.033742"/>
                  <c:y val="-0.050353"/>
                </c:manualLayout>
              </c:layout>
              <c:showBubbleSize val="0"/>
              <c:showCatName val="0"/>
              <c:showLegendKey val="0"/>
              <c:showPercent val="0"/>
              <c:showSerName val="0"/>
              <c:showVal val="1"/>
            </c:dLbl>
            <c:dLbl>
              <c:idx val="1"/>
              <c:layout>
                <c:manualLayout>
                  <c:x val="-0.033630"/>
                  <c:y val="0.043836"/>
                </c:manualLayout>
              </c:layout>
              <c:showBubbleSize val="0"/>
              <c:showCatName val="0"/>
              <c:showLegendKey val="0"/>
              <c:showPercent val="0"/>
              <c:showSerName val="0"/>
              <c:showVal val="1"/>
            </c:dLbl>
            <c:dLbl>
              <c:idx val="2"/>
              <c:layout>
                <c:manualLayout>
                  <c:x val="-0.035608"/>
                  <c:y val="-0.052215"/>
                </c:manualLayout>
              </c:layout>
              <c:showBubbleSize val="0"/>
              <c:showCatName val="0"/>
              <c:showLegendKey val="0"/>
              <c:showPercent val="0"/>
              <c:showSerName val="0"/>
              <c:showVal val="1"/>
            </c:dLbl>
            <c:dLbl>
              <c:idx val="3"/>
              <c:layout>
                <c:manualLayout>
                  <c:x val="-0.035608"/>
                  <c:y val="0.036530"/>
                </c:manualLayout>
              </c:layout>
              <c:showBubbleSize val="0"/>
              <c:showCatName val="0"/>
              <c:showLegendKey val="0"/>
              <c:showPercent val="0"/>
              <c:showSerName val="0"/>
              <c:showVal val="1"/>
            </c:dLbl>
            <c:dLbl>
              <c:idx val="4"/>
              <c:layout>
                <c:manualLayout>
                  <c:x val="-0.035608"/>
                  <c:y val="0.043836"/>
                </c:manualLayout>
              </c:layout>
              <c:showBubbleSize val="0"/>
              <c:showCatName val="0"/>
              <c:showLegendKey val="0"/>
              <c:showPercent val="0"/>
              <c:showSerName val="0"/>
              <c:showVal val="1"/>
            </c:dLbl>
            <c:dLbl>
              <c:idx val="5"/>
              <c:layout>
                <c:manualLayout>
                  <c:x val="-0.033630"/>
                  <c:y val="0.046558"/>
                </c:manualLayout>
              </c:layout>
              <c:showBubbleSize val="0"/>
              <c:showCatName val="0"/>
              <c:showLegendKey val="0"/>
              <c:showPercent val="0"/>
              <c:showSerName val="0"/>
              <c:showVal val="1"/>
            </c:dLbl>
            <c:dLbl>
              <c:idx val="6"/>
              <c:layout>
                <c:manualLayout>
                  <c:x val="-0.035608"/>
                  <c:y val="0.043836"/>
                </c:manualLayout>
              </c:layout>
              <c:showBubbleSize val="0"/>
              <c:showCatName val="0"/>
              <c:showLegendKey val="0"/>
              <c:showPercent val="0"/>
              <c:showSerName val="0"/>
              <c:showVal val="1"/>
            </c:dLbl>
            <c:dLbl>
              <c:idx val="7"/>
              <c:layout>
                <c:manualLayout>
                  <c:x val="-0.033692"/>
                  <c:y val="0.044767"/>
                </c:manualLayout>
              </c:layout>
              <c:showBubbleSize val="0"/>
              <c:showCatName val="0"/>
              <c:showLegendKey val="0"/>
              <c:showPercent val="0"/>
              <c:showSerName val="0"/>
              <c:showVal val="1"/>
            </c:dLbl>
            <c:dLbl>
              <c:idx val="8"/>
              <c:layout>
                <c:manualLayout>
                  <c:x val="-0.035608"/>
                  <c:y val="0.054795"/>
                </c:manualLayout>
              </c:layout>
              <c:showBubbleSize val="0"/>
              <c:showCatName val="0"/>
              <c:showLegendKey val="0"/>
              <c:showPercent val="0"/>
              <c:showSerName val="0"/>
              <c:showVal val="1"/>
            </c:dLbl>
            <c:dLbl>
              <c:idx val="9"/>
              <c:layout>
                <c:manualLayout>
                  <c:x val="-0.035731"/>
                  <c:y val="-0.047411"/>
                </c:manualLayout>
              </c:layout>
              <c:showBubbleSize val="0"/>
              <c:showCatName val="0"/>
              <c:showLegendKey val="0"/>
              <c:showPercent val="0"/>
              <c:showSerName val="0"/>
              <c:showVal val="1"/>
            </c:dLbl>
            <c:dLbl>
              <c:idx val="10"/>
              <c:layout>
                <c:manualLayout>
                  <c:x val="-0.035620"/>
                  <c:y val="0.041629"/>
                </c:manualLayout>
              </c:layout>
              <c:showBubbleSize val="0"/>
              <c:showCatName val="0"/>
              <c:showLegendKey val="0"/>
              <c:showPercent val="0"/>
              <c:showSerName val="0"/>
              <c:showVal val="1"/>
            </c:dLbl>
            <c:dLbl>
              <c:idx val="11"/>
              <c:layout>
                <c:manualLayout>
                  <c:x val="-0.035608"/>
                  <c:y val="-0.038808"/>
                </c:manualLayout>
              </c:layout>
              <c:showBubbleSize val="0"/>
              <c:showCatName val="0"/>
              <c:showLegendKey val="0"/>
              <c:showPercent val="0"/>
              <c:showSerName val="0"/>
              <c:showVal val="1"/>
            </c:dLbl>
            <c:dLbl>
              <c:idx val="12"/>
              <c:layout>
                <c:manualLayout>
                  <c:x val="-0.033779"/>
                  <c:y val="0.044146"/>
                </c:manualLayout>
              </c:layout>
              <c:showBubbleSize val="0"/>
              <c:showCatName val="0"/>
              <c:showLegendKey val="0"/>
              <c:showPercent val="0"/>
              <c:showSerName val="0"/>
              <c:showVal val="1"/>
            </c:dLbl>
            <c:dLbl>
              <c:idx val="13"/>
              <c:layout>
                <c:manualLayout>
                  <c:x val="-0.035504"/>
                  <c:y val="-0.039102"/>
                </c:manualLayout>
              </c:layout>
              <c:showBubbleSize val="0"/>
              <c:showCatName val="0"/>
              <c:showLegendKey val="0"/>
              <c:showPercent val="0"/>
              <c:showSerName val="0"/>
              <c:showVal val="1"/>
            </c:dLbl>
            <c:dLbl>
              <c:idx val="14"/>
              <c:layout>
                <c:manualLayout>
                  <c:x val="-0.037764"/>
                  <c:y val="0.048113"/>
                </c:manualLayout>
              </c:layout>
              <c:showBubbleSize val="0"/>
              <c:showCatName val="0"/>
              <c:showLegendKey val="0"/>
              <c:showPercent val="0"/>
              <c:showSerName val="0"/>
              <c:showVal val="1"/>
            </c:dLbl>
            <c:dLbl>
              <c:idx val="15"/>
              <c:layout>
                <c:manualLayout>
                  <c:x val="-0.033753"/>
                  <c:y val="-0.034810"/>
                </c:manualLayout>
              </c:layout>
              <c:showBubbleSize val="0"/>
              <c:showCatName val="0"/>
              <c:showLegendKey val="0"/>
              <c:showPercent val="0"/>
              <c:showSerName val="0"/>
              <c:showVal val="1"/>
            </c:dLbl>
            <c:dLbl>
              <c:idx val="16"/>
              <c:layout>
                <c:manualLayout>
                  <c:x val="-0.035663"/>
                  <c:y val="0.043836"/>
                </c:manualLayout>
              </c:layout>
              <c:showBubbleSize val="0"/>
              <c:showCatName val="0"/>
              <c:showLegendKey val="0"/>
              <c:showPercent val="0"/>
              <c:showSerName val="0"/>
              <c:showVal val="1"/>
            </c:dLbl>
            <c:dLbl>
              <c:idx val="17"/>
              <c:layout>
                <c:manualLayout>
                  <c:x val="-0.035671"/>
                  <c:y val="-0.035361"/>
                </c:manualLayout>
              </c:layout>
              <c:showBubbleSize val="0"/>
              <c:showCatName val="0"/>
              <c:showLegendKey val="0"/>
              <c:showPercent val="0"/>
              <c:showSerName val="0"/>
              <c:showVal val="1"/>
            </c:dLbl>
            <c:dLbl>
              <c:idx val="18"/>
              <c:layout>
                <c:manualLayout>
                  <c:x val="-0.037700"/>
                  <c:y val="0.048434"/>
                </c:manualLayout>
              </c:layout>
              <c:showBubbleSize val="0"/>
              <c:showCatName val="0"/>
              <c:showLegendKey val="0"/>
              <c:showPercent val="0"/>
              <c:showSerName val="0"/>
              <c:showVal val="1"/>
            </c:dLbl>
            <c:dLbl>
              <c:idx val="19"/>
              <c:layout>
                <c:manualLayout>
                  <c:x val="-0.034640"/>
                  <c:y val="0.048109"/>
                </c:manualLayout>
              </c:layout>
              <c:showBubbleSize val="0"/>
              <c:showCatName val="0"/>
              <c:showLegendKey val="0"/>
              <c:showPercent val="0"/>
              <c:showSerName val="0"/>
              <c:showVal val="1"/>
            </c:dLbl>
            <c:dLbl>
              <c:idx val="20"/>
              <c:layout>
                <c:manualLayout>
                  <c:x val="-0.036721"/>
                  <c:y val="-0.045967"/>
                </c:manualLayout>
              </c:layout>
              <c:showBubbleSize val="0"/>
              <c:showCatName val="0"/>
              <c:showLegendKey val="0"/>
              <c:showPercent val="0"/>
              <c:showSerName val="0"/>
              <c:showVal val="1"/>
            </c:dLbl>
            <c:dLbl>
              <c:idx val="21"/>
              <c:layout>
                <c:manualLayout>
                  <c:x val="-0.036022"/>
                  <c:y val="0.046312"/>
                </c:manualLayout>
              </c:layout>
              <c:showBubbleSize val="0"/>
              <c:showCatName val="0"/>
              <c:showLegendKey val="0"/>
              <c:showPercent val="0"/>
              <c:showSerName val="0"/>
              <c:showVal val="1"/>
              <c:spPr bwMode="auto"/>
              <c:txPr>
                <a:bodyPr/>
                <a:lstStyle/>
                <a:p>
                  <a:pPr>
                    <a:defRPr b="1">
                      <a:solidFill>
                        <a:schemeClr val="bg2">
                          <a:lumMod val="90000"/>
                        </a:schemeClr>
                      </a:solidFill>
                    </a:defRPr>
                  </a:pPr>
                  <a:endParaRPr lang="ru-RU"/>
                </a:p>
              </c:txPr>
            </c:dLbl>
            <c:dLbl>
              <c:idx val="22"/>
              <c:layout>
                <c:manualLayout>
                  <c:x val="-0.032705"/>
                  <c:y val="-0.035641"/>
                </c:manualLayout>
              </c:layout>
              <c:showBubbleSize val="0"/>
              <c:showCatName val="0"/>
              <c:showLegendKey val="0"/>
              <c:showPercent val="0"/>
              <c:showSerName val="0"/>
              <c:showVal val="1"/>
            </c:dLbl>
            <c:dLbl>
              <c:idx val="23"/>
              <c:layout>
                <c:manualLayout>
                  <c:x val="-0.016322"/>
                  <c:y val="0.043563"/>
                </c:manualLayout>
              </c:layout>
              <c:showBubbleSize val="0"/>
              <c:showCatName val="0"/>
              <c:showLegendKey val="0"/>
              <c:showPercent val="0"/>
              <c:showSerName val="0"/>
              <c:showVal val="1"/>
            </c:dLbl>
            <c:showBubbleSize val="0"/>
            <c:showCatName val="0"/>
            <c:showLeaderLines val="0"/>
            <c:showLegendKey val="0"/>
            <c:showPercent val="0"/>
            <c:showSerName val="0"/>
            <c:showVal val="1"/>
            <c:txPr>
              <a:bodyPr/>
              <a:lstStyle/>
              <a:p>
                <a:pPr>
                  <a:defRPr>
                    <a:solidFill>
                      <a:schemeClr val="bg2">
                        <a:lumMod val="90000"/>
                      </a:schemeClr>
                    </a:solidFill>
                  </a:defRPr>
                </a:pPr>
                <a:endParaRPr lang="ru-RU"/>
              </a:p>
            </c:txPr>
          </c:dLbls>
          <c:cat>
            <c:strRef>
              <c:f>Лист1!$A$2:$A$25</c:f>
              <c:strCache>
                <c:ptCount val="24"/>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pt idx="12">
                  <c:v>январь</c:v>
                </c:pt>
                <c:pt idx="13">
                  <c:v>февраль</c:v>
                </c:pt>
                <c:pt idx="14">
                  <c:v>март</c:v>
                </c:pt>
                <c:pt idx="15">
                  <c:v>апрель</c:v>
                </c:pt>
                <c:pt idx="16">
                  <c:v>май</c:v>
                </c:pt>
                <c:pt idx="17">
                  <c:v>июнь</c:v>
                </c:pt>
                <c:pt idx="18">
                  <c:v>июль</c:v>
                </c:pt>
                <c:pt idx="19">
                  <c:v>август</c:v>
                </c:pt>
                <c:pt idx="20">
                  <c:v>сентябрь</c:v>
                </c:pt>
                <c:pt idx="21">
                  <c:v>октябрь</c:v>
                </c:pt>
                <c:pt idx="22">
                  <c:v>ноябрь</c:v>
                </c:pt>
                <c:pt idx="23">
                  <c:v>декабрь</c:v>
                </c:pt>
              </c:strCache>
            </c:strRef>
          </c:cat>
          <c:val>
            <c:numRef>
              <c:f>Лист1!$D$2:$D$25</c:f>
              <c:numCache>
                <c:formatCode>General</c:formatCode>
                <c:ptCount val="24"/>
                <c:pt idx="0">
                  <c:v>-518</c:v>
                </c:pt>
                <c:pt idx="1">
                  <c:v>-572</c:v>
                </c:pt>
                <c:pt idx="2">
                  <c:v>-492</c:v>
                </c:pt>
                <c:pt idx="3">
                  <c:v>-272</c:v>
                </c:pt>
                <c:pt idx="4">
                  <c:v>-211</c:v>
                </c:pt>
                <c:pt idx="5">
                  <c:v>-166</c:v>
                </c:pt>
                <c:pt idx="6">
                  <c:v>-188</c:v>
                </c:pt>
                <c:pt idx="7">
                  <c:v>-233</c:v>
                </c:pt>
                <c:pt idx="8">
                  <c:v>-389</c:v>
                </c:pt>
                <c:pt idx="9">
                  <c:v>-318</c:v>
                </c:pt>
                <c:pt idx="10">
                  <c:v>-339</c:v>
                </c:pt>
                <c:pt idx="11">
                  <c:v>-408</c:v>
                </c:pt>
                <c:pt idx="12">
                  <c:v>-470</c:v>
                </c:pt>
                <c:pt idx="13">
                  <c:v>-293</c:v>
                </c:pt>
                <c:pt idx="14">
                  <c:v>-372</c:v>
                </c:pt>
                <c:pt idx="15">
                  <c:v>-262</c:v>
                </c:pt>
                <c:pt idx="16">
                  <c:v>-377</c:v>
                </c:pt>
                <c:pt idx="17">
                  <c:v>-251</c:v>
                </c:pt>
                <c:pt idx="18">
                  <c:v>-214</c:v>
                </c:pt>
                <c:pt idx="19">
                  <c:v>-141</c:v>
                </c:pt>
                <c:pt idx="20">
                  <c:v>-313</c:v>
                </c:pt>
                <c:pt idx="21">
                  <c:v>-332</c:v>
                </c:pt>
                <c:pt idx="22">
                  <c:v>-340</c:v>
                </c:pt>
                <c:pt idx="23">
                  <c:v>-444</c:v>
                </c:pt>
              </c:numCache>
            </c:numRef>
          </c:val>
          <c:smooth val="1"/>
        </c:ser>
        <c:dLbls>
          <c:showBubbleSize val="0"/>
          <c:showCatName val="0"/>
          <c:showLeaderLines val="0"/>
          <c:showLegendKey val="0"/>
          <c:showPercent val="0"/>
          <c:showSerName val="0"/>
          <c:showVal val="0"/>
        </c:dLbls>
        <c:marker val="1"/>
        <c:smooth val="0"/>
        <c:axId val="324361728"/>
        <c:axId val="301246720"/>
      </c:lineChart>
      <c:catAx>
        <c:axId val="324361728"/>
        <c:scaling>
          <c:orientation val="minMax"/>
        </c:scaling>
        <c:delete val="0"/>
        <c:axPos val="b"/>
        <c:majorTickMark val="none"/>
        <c:minorTickMark val="none"/>
        <c:tickLblPos val="low"/>
        <c:txPr>
          <a:bodyPr rot="-5400000" vert="horz"/>
          <a:lstStyle/>
          <a:p>
            <a:pPr>
              <a:defRPr b="0"/>
            </a:pPr>
            <a:endParaRPr lang="ru-RU"/>
          </a:p>
        </c:txPr>
        <c:crossAx val="301246720"/>
        <c:crosses val="autoZero"/>
        <c:auto val="1"/>
        <c:lblAlgn val="ctr"/>
        <c:lblOffset val="100"/>
        <c:noMultiLvlLbl val="0"/>
      </c:catAx>
      <c:valAx>
        <c:axId val="301246720"/>
        <c:scaling>
          <c:orientation val="minMax"/>
          <c:min val="-2000.000000"/>
        </c:scaling>
        <c:delete val="0"/>
        <c:axPos val="l"/>
        <c:majorGridlines>
          <c:spPr bwMode="auto">
            <a:prstGeom prst="rect">
              <a:avLst/>
            </a:prstGeom>
            <a:ln>
              <a:noFill/>
            </a:ln>
          </c:spPr>
        </c:majorGridlines>
        <c:numFmt formatCode="General" sourceLinked="1"/>
        <c:majorTickMark val="none"/>
        <c:minorTickMark val="none"/>
        <c:tickLblPos val="none"/>
        <c:spPr bwMode="auto">
          <a:prstGeom prst="rect">
            <a:avLst/>
          </a:prstGeom>
          <a:ln>
            <a:noFill/>
          </a:ln>
        </c:spPr>
        <c:crossAx val="324361728"/>
        <c:crosses val="autoZero"/>
        <c:crossBetween val="between"/>
      </c:valAx>
    </c:plotArea>
    <c:plotVisOnly val="1"/>
    <c:dispBlanksAs val="gap"/>
    <c:showDLblsOverMax val="0"/>
  </c:chart>
  <c:spPr bwMode="auto">
    <a:prstGeom prst="rect">
      <a:avLst/>
    </a:prstGeom>
    <a:noFill/>
    <a:ln>
      <a:noFill/>
    </a:ln>
  </c:spPr>
  <c:txPr>
    <a:bodyPr/>
    <a:lstStyle/>
    <a:p>
      <a:pPr>
        <a:defRPr sz="900" b="1">
          <a:latin typeface="PT Astra Serif"/>
          <a:ea typeface="PT Astra Serif"/>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ru-RU"/>
  <c:roundedCorners val="0"/>
  <mc:AlternateContent>
    <mc:Choice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041075"/>
          <c:y val="0.038872"/>
          <c:w val="0.625147"/>
          <c:h val="0.845459"/>
        </c:manualLayout>
      </c:layout>
      <c:pieChart>
        <c:varyColors val="1"/>
        <c:ser>
          <c:idx val="0"/>
          <c:order val="0"/>
          <c:tx>
            <c:strRef>
              <c:f>Лист1!$B$1</c:f>
              <c:strCache>
                <c:ptCount val="1"/>
                <c:pt idx="0">
                  <c:v>прибывшие</c:v>
                </c:pt>
              </c:strCache>
            </c:strRef>
          </c:tx>
          <c:spPr bwMode="auto">
            <a:prstGeom prst="rect">
              <a:avLst/>
            </a:prstGeom>
            <a:solidFill>
              <a:schemeClr val="accent4"/>
            </a:solidFill>
            <a:ln>
              <a:noFill/>
            </a:ln>
          </c:spPr>
          <c:dPt>
            <c:idx val="0"/>
            <c:bubble3D val="0"/>
            <c:spPr bwMode="auto">
              <a:prstGeom prst="rect">
                <a:avLst/>
              </a:prstGeom>
              <a:solidFill>
                <a:srgbClr val="96C8BE"/>
              </a:solidFill>
              <a:ln>
                <a:noFill/>
              </a:ln>
            </c:spPr>
          </c:dPt>
          <c:dPt>
            <c:idx val="1"/>
            <c:bubble3D val="0"/>
            <c:spPr bwMode="auto">
              <a:prstGeom prst="rect">
                <a:avLst/>
              </a:prstGeom>
              <a:solidFill>
                <a:schemeClr val="accent3"/>
              </a:solidFill>
              <a:ln>
                <a:noFill/>
              </a:ln>
            </c:spPr>
          </c:dPt>
          <c:dPt>
            <c:idx val="2"/>
            <c:bubble3D val="0"/>
            <c:spPr bwMode="auto">
              <a:prstGeom prst="rect">
                <a:avLst/>
              </a:prstGeom>
              <a:solidFill>
                <a:srgbClr val="326E8C"/>
              </a:solidFill>
              <a:ln>
                <a:noFill/>
              </a:ln>
            </c:spPr>
          </c:dPt>
          <c:cat>
            <c:strRef>
              <c:f>Лист1!$A$2:$A$4</c:f>
              <c:strCache>
                <c:ptCount val="3"/>
                <c:pt idx="0">
                  <c:v>внутриобластная</c:v>
                </c:pt>
                <c:pt idx="1">
                  <c:v>межрегиональная</c:v>
                </c:pt>
                <c:pt idx="2">
                  <c:v>международная</c:v>
                </c:pt>
              </c:strCache>
            </c:strRef>
          </c:cat>
          <c:val>
            <c:numRef>
              <c:f>Лист1!$B$2:$B$4</c:f>
              <c:numCache>
                <c:formatCode>0.00</c:formatCode>
                <c:ptCount val="3"/>
                <c:pt idx="0">
                  <c:v>37.03718033040585</c:v>
                </c:pt>
                <c:pt idx="1">
                  <c:v>35.68692691608311</c:v>
                </c:pt>
                <c:pt idx="2">
                  <c:v>27.275892753511044</c:v>
                </c:pt>
              </c:numCache>
            </c:numRef>
          </c:val>
        </c:ser>
        <c:dLbls>
          <c:showBubbleSize val="0"/>
          <c:showCatName val="0"/>
          <c:showLeaderLines val="1"/>
          <c:showLegendKey val="0"/>
          <c:showPercent val="0"/>
          <c:showSerName val="0"/>
          <c:showVal val="0"/>
        </c:dLbls>
        <c:firstSliceAng val="0"/>
      </c:pieChart>
    </c:plotArea>
    <c:plotVisOnly val="1"/>
    <c:dispBlanksAs val="gap"/>
    <c:showDLblsOverMax val="0"/>
  </c:chart>
  <c:spPr bwMode="auto">
    <a:prstGeom prst="rect">
      <a:avLst/>
    </a:prstGeom>
    <a:ln>
      <a:noFill/>
    </a:ln>
  </c:spPr>
  <c:externalData r:id="rId3">
    <c:autoUpdate val="0"/>
  </c:externalData>
  <c:userShapes xmlns:c="http://schemas.openxmlformats.org/drawingml/2006/chart" xmlns:a="http://schemas.openxmlformats.org/drawingml/2006/main" xmlns:r="http://schemas.openxmlformats.org/officeDocument/2006/relationships" xmlns:mc="http://schemas.openxmlformats.org/markup-compatibility/2006" xmlns:c14="http://schemas.microsoft.com/office/drawing/2007/8/2/chart" r:id="rId1"/>
</c:chartSpace>
</file>

<file path=word/charts/chart4.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ru-RU"/>
  <c:roundedCorners val="0"/>
  <mc:AlternateContent>
    <mc:Choice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23317"/>
          <c:y val="0.120666"/>
          <c:w val="0.730021"/>
          <c:h val="0.776566"/>
        </c:manualLayout>
      </c:layout>
      <c:pieChart>
        <c:varyColors val="1"/>
        <c:ser>
          <c:idx val="0"/>
          <c:order val="0"/>
          <c:tx>
            <c:strRef>
              <c:f>Лист1!$B$1</c:f>
              <c:strCache>
                <c:ptCount val="1"/>
                <c:pt idx="0">
                  <c:v xml:space="preserve">Выбывшие </c:v>
                </c:pt>
              </c:strCache>
            </c:strRef>
          </c:tx>
          <c:dPt>
            <c:idx val="0"/>
            <c:bubble3D val="0"/>
            <c:spPr bwMode="auto">
              <a:prstGeom prst="rect">
                <a:avLst/>
              </a:prstGeom>
              <a:solidFill>
                <a:srgbClr val="326E8C"/>
              </a:solidFill>
            </c:spPr>
          </c:dPt>
          <c:dPt>
            <c:idx val="1"/>
            <c:bubble3D val="0"/>
            <c:spPr bwMode="auto">
              <a:prstGeom prst="rect">
                <a:avLst/>
              </a:prstGeom>
              <a:solidFill>
                <a:schemeClr val="accent3"/>
              </a:solidFill>
            </c:spPr>
          </c:dPt>
          <c:dPt>
            <c:idx val="2"/>
            <c:bubble3D val="0"/>
            <c:spPr bwMode="auto">
              <a:prstGeom prst="rect">
                <a:avLst/>
              </a:prstGeom>
              <a:solidFill>
                <a:srgbClr val="96C8BE"/>
              </a:solidFill>
              <a:ln>
                <a:noFill/>
              </a:ln>
            </c:spPr>
          </c:dPt>
          <c:cat>
            <c:strRef>
              <c:f>Лист1!$A$2:$A$4</c:f>
              <c:strCache>
                <c:ptCount val="3"/>
                <c:pt idx="0">
                  <c:v>международная</c:v>
                </c:pt>
                <c:pt idx="1">
                  <c:v>межрегиональная</c:v>
                </c:pt>
                <c:pt idx="2">
                  <c:v>внутриобластная</c:v>
                </c:pt>
              </c:strCache>
            </c:strRef>
          </c:cat>
          <c:val>
            <c:numRef>
              <c:f>Лист1!$B$2:$B$4</c:f>
              <c:numCache>
                <c:formatCode>0.00</c:formatCode>
                <c:ptCount val="3"/>
                <c:pt idx="0">
                  <c:v>30.508429787009145</c:v>
                </c:pt>
                <c:pt idx="1">
                  <c:v>34.51191797473707</c:v>
                </c:pt>
                <c:pt idx="2">
                  <c:v>34.97965223825379</c:v>
                </c:pt>
              </c:numCache>
            </c:numRef>
          </c:val>
        </c:ser>
        <c:dLbls>
          <c:showBubbleSize val="0"/>
          <c:showCatName val="0"/>
          <c:showLeaderLines val="0"/>
          <c:showLegendKey val="0"/>
          <c:showPercent val="0"/>
          <c:showSerName val="0"/>
          <c:showVal val="0"/>
        </c:dLbls>
        <c:firstSliceAng val="0"/>
      </c:pieChart>
    </c:plotArea>
    <c:plotVisOnly val="1"/>
    <c:dispBlanksAs val="gap"/>
    <c:showDLblsOverMax val="0"/>
  </c:chart>
  <c:spPr bwMode="auto">
    <a:prstGeom prst="rect">
      <a:avLst/>
    </a:prstGeom>
    <a:ln>
      <a:noFill/>
    </a:ln>
  </c:spPr>
  <c:txPr>
    <a:bodyPr/>
    <a:lstStyle/>
    <a:p>
      <a:pPr>
        <a:defRPr>
          <a:latin typeface="PT Astra Serif"/>
          <a:ea typeface="PT Astra Serif"/>
        </a:defRPr>
      </a:pPr>
      <a:endParaRPr lang="ru-RU"/>
    </a:p>
  </c:txPr>
  <c:externalData r:id="rId3">
    <c:autoUpdate val="0"/>
  </c:externalData>
  <c:userShapes xmlns:c="http://schemas.openxmlformats.org/drawingml/2006/chart" xmlns:a="http://schemas.openxmlformats.org/drawingml/2006/main" xmlns:r="http://schemas.openxmlformats.org/officeDocument/2006/relationships" xmlns:mc="http://schemas.openxmlformats.org/markup-compatibility/2006" xmlns:c14="http://schemas.microsoft.com/office/drawing/2007/8/2/chart" r:id="rId1"/>
</c:chartSpace>
</file>

<file path=word/charts/chart5.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ru-RU"/>
  <c:roundedCorners val="0"/>
  <mc:AlternateContent>
    <mc:Choice Requires="c14">
      <c14:style val="110"/>
    </mc:Choice>
    <mc:Fallback>
      <c:style val="10"/>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039246"/>
          <c:y val="0.215221"/>
          <c:w val="0.383255"/>
          <c:h val="0.571888"/>
        </c:manualLayout>
      </c:layout>
      <c:doughnutChart>
        <c:varyColors val="1"/>
        <c:ser>
          <c:idx val="0"/>
          <c:order val="0"/>
          <c:tx>
            <c:strRef>
              <c:f>Лист1!$B$1</c:f>
              <c:strCache>
                <c:ptCount val="1"/>
                <c:pt idx="0">
                  <c:v>Столбец1</c:v>
                </c:pt>
              </c:strCache>
            </c:strRef>
          </c:tx>
          <c:spPr bwMode="auto">
            <a:prstGeom prst="rect">
              <a:avLst/>
            </a:prstGeom>
            <a:ln>
              <a:noFill/>
            </a:ln>
            <a:effectLst/>
          </c:spPr>
          <c:dPt>
            <c:idx val="0"/>
            <c:bubble3D val="0"/>
            <c:spPr bwMode="auto">
              <a:prstGeom prst="rect">
                <a:avLst/>
              </a:prstGeom>
              <a:solidFill>
                <a:srgbClr val="008000"/>
              </a:solidFill>
              <a:ln>
                <a:noFill/>
              </a:ln>
              <a:effectLst/>
            </c:spPr>
          </c:dPt>
          <c:dPt>
            <c:idx val="1"/>
            <c:bubble3D val="0"/>
            <c:spPr bwMode="auto">
              <a:prstGeom prst="rect">
                <a:avLst/>
              </a:prstGeom>
              <a:solidFill>
                <a:srgbClr val="326E8C"/>
              </a:solidFill>
              <a:ln>
                <a:noFill/>
              </a:ln>
              <a:effectLst/>
            </c:spPr>
          </c:dPt>
          <c:dPt>
            <c:idx val="2"/>
            <c:bubble3D val="0"/>
            <c:spPr bwMode="auto">
              <a:prstGeom prst="rect">
                <a:avLst/>
              </a:prstGeom>
              <a:solidFill>
                <a:srgbClr val="96C8BE"/>
              </a:solidFill>
              <a:ln>
                <a:noFill/>
              </a:ln>
              <a:effectLst/>
            </c:spPr>
          </c:dPt>
          <c:dPt>
            <c:idx val="3"/>
            <c:bubble3D val="0"/>
            <c:spPr bwMode="auto">
              <a:prstGeom prst="rect">
                <a:avLst/>
              </a:prstGeom>
              <a:solidFill>
                <a:srgbClr val="BFBFBF"/>
              </a:solidFill>
              <a:ln>
                <a:noFill/>
              </a:ln>
              <a:effectLst/>
            </c:spPr>
          </c:dPt>
          <c:dPt>
            <c:idx val="6"/>
            <c:bubble3D val="0"/>
            <c:spPr bwMode="auto">
              <a:prstGeom prst="rect">
                <a:avLst/>
              </a:prstGeom>
              <a:solidFill>
                <a:srgbClr val="464664"/>
              </a:solidFill>
              <a:ln>
                <a:noFill/>
              </a:ln>
              <a:effectLst/>
            </c:spPr>
          </c:dPt>
          <c:dPt>
            <c:idx val="7"/>
            <c:bubble3D val="0"/>
            <c:spPr bwMode="auto">
              <a:prstGeom prst="rect">
                <a:avLst/>
              </a:prstGeom>
              <a:solidFill>
                <a:srgbClr val="8CC850"/>
              </a:solidFill>
              <a:ln>
                <a:noFill/>
              </a:ln>
              <a:effectLst/>
            </c:spPr>
          </c:dPt>
          <c:dPt>
            <c:idx val="9"/>
            <c:bubble3D val="0"/>
            <c:spPr bwMode="auto">
              <a:prstGeom prst="rect">
                <a:avLst/>
              </a:prstGeom>
              <a:solidFill>
                <a:srgbClr val="6432A0"/>
              </a:solidFill>
              <a:ln>
                <a:noFill/>
              </a:ln>
              <a:effectLst/>
            </c:spPr>
          </c:dPt>
          <c:dLbls>
            <c:dLbl>
              <c:idx val="12"/>
              <c:layout>
                <c:manualLayout>
                  <c:x val="-0.002083"/>
                  <c:y val="-0.024823"/>
                </c:manualLayout>
              </c:layout>
              <c:separator xml:space="preserve"> </c:separator>
              <c:showBubbleSize val="0"/>
              <c:showCatName val="0"/>
              <c:showLegendKey val="0"/>
              <c:showPercent val="0"/>
              <c:showSerName val="0"/>
              <c:showVal val="1"/>
              <c:spPr bwMode="auto"/>
              <c:txPr>
                <a:bodyPr rot="0" anchor="b" anchorCtr="1"/>
                <a:lstStyle/>
                <a:p>
                  <a:pPr>
                    <a:defRPr sz="900" b="1">
                      <a:solidFill>
                        <a:schemeClr val="bg1"/>
                      </a:solidFill>
                      <a:latin typeface="PT Astra Serif"/>
                      <a:ea typeface="PT Astra Serif"/>
                    </a:defRPr>
                  </a:pPr>
                  <a:endParaRPr lang="ru-RU"/>
                </a:p>
              </c:txPr>
            </c:dLbl>
            <c:dLbl>
              <c:idx val="13"/>
              <c:layout>
                <c:manualLayout>
                  <c:x val="0.002083"/>
                  <c:y val="-0.056738"/>
                </c:manualLayout>
              </c:layout>
              <c:separator xml:space="preserve"> </c:separator>
              <c:showBubbleSize val="0"/>
              <c:showCatName val="0"/>
              <c:showLegendKey val="0"/>
              <c:showPercent val="0"/>
              <c:showSerName val="0"/>
              <c:showVal val="1"/>
            </c:dLbl>
            <c:separator xml:space="preserve"> </c:separator>
            <c:showBubbleSize val="0"/>
            <c:showCatName val="0"/>
            <c:showLeaderLines val="1"/>
            <c:showLegendKey val="0"/>
            <c:showPercent val="0"/>
            <c:showSerName val="0"/>
            <c:showVal val="1"/>
            <c:spPr bwMode="auto">
              <a:prstGeom prst="rect">
                <a:avLst/>
              </a:prstGeom>
              <a:noFill/>
              <a:ln>
                <a:noFill/>
              </a:ln>
              <a:effectLst/>
            </c:spPr>
            <c:txPr>
              <a:bodyPr anchor="b" anchorCtr="1"/>
              <a:lstStyle/>
              <a:p>
                <a:pPr>
                  <a:defRPr sz="900" b="1">
                    <a:solidFill>
                      <a:schemeClr val="bg1"/>
                    </a:solidFill>
                    <a:latin typeface="PT Astra Serif"/>
                    <a:ea typeface="PT Astra Serif"/>
                  </a:defRPr>
                </a:pPr>
                <a:endParaRPr lang="ru-RU"/>
              </a:p>
            </c:txPr>
          </c:dLbls>
          <c:cat>
            <c:strRef>
              <c:f>Лист1!$A$2:$A$15</c:f>
              <c:strCache>
                <c:ptCount val="14"/>
                <c:pt idx="0">
                  <c:v xml:space="preserve">обрабатывающие производства</c:v>
                </c:pt>
                <c:pt idx="1">
                  <c:v>образование</c:v>
                </c:pt>
                <c:pt idx="2">
                  <c:v xml:space="preserve">деятельность в области здравоохранения и социальных услуг</c:v>
                </c:pt>
                <c:pt idx="3">
                  <c:v xml:space="preserve">государственное управление и обеспечение военной безопасности; социальное обеспечение</c:v>
                </c:pt>
                <c:pt idx="4">
                  <c:v xml:space="preserve">транспортировка и хранение</c:v>
                </c:pt>
                <c:pt idx="5">
                  <c:v xml:space="preserve">деятельность профессиональная, научная и техническая</c:v>
                </c:pt>
                <c:pt idx="6">
                  <c:v xml:space="preserve">торговля оптовая и розничная; ремонт автотранспортных средств и мотоциклов</c:v>
                </c:pt>
                <c:pt idx="7">
                  <c:v xml:space="preserve">добыча полезных ископаемых</c:v>
                </c:pt>
                <c:pt idx="8">
                  <c:v xml:space="preserve">иные виды деятельности</c:v>
                </c:pt>
                <c:pt idx="9">
                  <c:v xml:space="preserve">деятельность в области информации и связи</c:v>
                </c:pt>
                <c:pt idx="10">
                  <c:v xml:space="preserve">обеспечение электрической энергией, газом и паром; кондиционирование воздуха</c:v>
                </c:pt>
                <c:pt idx="11">
                  <c:v>строительство</c:v>
                </c:pt>
                <c:pt idx="12">
                  <c:v xml:space="preserve">сельское хозяйство, лесное хозяйство, охота, рыболовство и рыбоводство</c:v>
                </c:pt>
                <c:pt idx="13">
                  <c:v xml:space="preserve">деятельность финансовая и страховая</c:v>
                </c:pt>
              </c:strCache>
            </c:strRef>
          </c:cat>
          <c:val>
            <c:numRef>
              <c:f>Лист1!$B$2:$B$15</c:f>
              <c:numCache>
                <c:formatCode>#,##0.0</c:formatCode>
                <c:ptCount val="14"/>
                <c:pt idx="0">
                  <c:v>14.3</c:v>
                </c:pt>
                <c:pt idx="1">
                  <c:v>12.6</c:v>
                </c:pt>
                <c:pt idx="2">
                  <c:v>10.2</c:v>
                </c:pt>
                <c:pt idx="3">
                  <c:v>9.5</c:v>
                </c:pt>
                <c:pt idx="4">
                  <c:v>8.9</c:v>
                </c:pt>
                <c:pt idx="5">
                  <c:v>8.7</c:v>
                </c:pt>
                <c:pt idx="6">
                  <c:v>6.9</c:v>
                </c:pt>
                <c:pt idx="7">
                  <c:v>6.6</c:v>
                </c:pt>
                <c:pt idx="8">
                  <c:v>5.9</c:v>
                </c:pt>
                <c:pt idx="9">
                  <c:v>4.7</c:v>
                </c:pt>
                <c:pt idx="10">
                  <c:v>3.7</c:v>
                </c:pt>
                <c:pt idx="11">
                  <c:v>3.7</c:v>
                </c:pt>
                <c:pt idx="12">
                  <c:v>2.2</c:v>
                </c:pt>
                <c:pt idx="13">
                  <c:v>2.1</c:v>
                </c:pt>
              </c:numCache>
            </c:numRef>
          </c:val>
        </c:ser>
        <c:dLbls>
          <c:showBubbleSize val="0"/>
          <c:showCatName val="0"/>
          <c:showLeaderLines val="1"/>
          <c:showLegendKey val="0"/>
          <c:showPercent val="0"/>
          <c:showSerName val="0"/>
          <c:showVal val="1"/>
        </c:dLbls>
        <c:firstSliceAng val="0"/>
        <c:holeSize val="50"/>
      </c:doughnutChart>
    </c:plotArea>
    <c:legend>
      <c:legendPos val="r"/>
      <c:layout>
        <c:manualLayout>
          <c:xMode val="edge"/>
          <c:yMode val="edge"/>
          <c:x val="0.442086"/>
          <c:y val="0.011767"/>
          <c:w val="0.535305"/>
          <c:h val="0.970135"/>
        </c:manualLayout>
      </c:layout>
      <c:overlay val="0"/>
      <c:txPr>
        <a:bodyPr/>
        <a:lstStyle/>
        <a:p>
          <a:pPr>
            <a:defRPr spc="0">
              <a:latin typeface="PT Astra Serif"/>
            </a:defRPr>
          </a:pPr>
          <a:endParaRPr lang="ru-RU"/>
        </a:p>
      </c:txPr>
    </c:legend>
    <c:plotVisOnly val="1"/>
    <c:dispBlanksAs val="gap"/>
    <c:showDLblsOverMax val="0"/>
  </c:chart>
  <c:spPr bwMode="auto">
    <a:prstGeom prst="rect">
      <a:avLst/>
    </a:prstGeom>
    <a:ln>
      <a:noFill/>
    </a:ln>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ru-RU"/>
  <c:roundedCorners val="0"/>
  <mc:AlternateContent>
    <mc:Choice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020207"/>
          <c:y val="0.000000"/>
          <c:w val="0.979793"/>
          <c:h val="0.646626"/>
        </c:manualLayout>
      </c:layout>
      <c:barChart>
        <c:barDir val="col"/>
        <c:grouping val="clustered"/>
        <c:varyColors val="0"/>
        <c:ser>
          <c:idx val="0"/>
          <c:order val="0"/>
          <c:tx>
            <c:strRef>
              <c:f xml:space="preserve">'зп рзп'!$N$3</c:f>
              <c:strCache>
                <c:ptCount val="1"/>
                <c:pt idx="0">
                  <c:v xml:space="preserve">Среднемесячная заработная плата работников организаций в ТО, тыс. руб.</c:v>
                </c:pt>
              </c:strCache>
            </c:strRef>
          </c:tx>
          <c:spPr bwMode="auto">
            <a:prstGeom prst="rect">
              <a:avLst/>
            </a:prstGeom>
            <a:solidFill>
              <a:srgbClr val="A5A5A5"/>
            </a:solidFill>
          </c:spPr>
          <c:invertIfNegative val="0"/>
          <c:dLbls>
            <c:dLblPos val="inBase"/>
            <c:showBubbleSize val="0"/>
            <c:showCatName val="0"/>
            <c:showLeaderLines val="0"/>
            <c:showLegendKey val="0"/>
            <c:showPercent val="0"/>
            <c:showSerName val="0"/>
            <c:showVal val="1"/>
            <c:spPr bwMode="auto">
              <a:prstGeom prst="rect">
                <a:avLst/>
              </a:prstGeom>
              <a:noFill/>
              <a:ln>
                <a:noFill/>
              </a:ln>
              <a:effectLst/>
            </c:spPr>
            <c:txPr>
              <a:bodyPr/>
              <a:lstStyle/>
              <a:p>
                <a:pPr>
                  <a:defRPr sz="1200" b="1" i="0">
                    <a:solidFill>
                      <a:schemeClr val="bg1"/>
                    </a:solidFill>
                    <a:latin typeface="PT Astra Serif"/>
                    <a:cs typeface="Times New Roman"/>
                  </a:defRPr>
                </a:pPr>
                <a:endParaRPr lang="ru-RU"/>
              </a:p>
            </c:txPr>
          </c:dLbls>
          <c:cat>
            <c:strRef>
              <c:f xml:space="preserve">'зп рзп'!$O$2:$Q$2</c:f>
              <c:strCache>
                <c:ptCount val="3"/>
                <c:pt idx="0">
                  <c:v>2021</c:v>
                </c:pt>
                <c:pt idx="1">
                  <c:v>2022</c:v>
                </c:pt>
                <c:pt idx="2">
                  <c:v>2023</c:v>
                </c:pt>
              </c:strCache>
            </c:strRef>
          </c:cat>
          <c:val>
            <c:numRef>
              <c:f xml:space="preserve">'зп рзп'!$O$3:$Q$3</c:f>
              <c:numCache>
                <c:formatCode>0.0</c:formatCode>
                <c:ptCount val="3"/>
                <c:pt idx="0">
                  <c:v>51</c:v>
                </c:pt>
                <c:pt idx="1">
                  <c:v>57.9</c:v>
                </c:pt>
                <c:pt idx="2">
                  <c:v>64.8</c:v>
                </c:pt>
              </c:numCache>
            </c:numRef>
          </c:val>
        </c:ser>
        <c:ser>
          <c:idx val="2"/>
          <c:order val="2"/>
          <c:tx>
            <c:strRef>
              <c:f xml:space="preserve">'зп рзп'!$N$5</c:f>
              <c:strCache>
                <c:ptCount val="1"/>
                <c:pt idx="0">
                  <c:v xml:space="preserve">Среднемесячная заработная плата работников организаций в РФ, тыс. руб.</c:v>
                </c:pt>
              </c:strCache>
            </c:strRef>
          </c:tx>
          <c:spPr bwMode="auto">
            <a:prstGeom prst="rect">
              <a:avLst/>
            </a:prstGeom>
            <a:solidFill>
              <a:srgbClr val="326E8C"/>
            </a:solidFill>
            <a:ln>
              <a:solidFill>
                <a:schemeClr val="bg1">
                  <a:lumMod val="95000"/>
                </a:schemeClr>
              </a:solidFill>
            </a:ln>
          </c:spPr>
          <c:invertIfNegative val="0"/>
          <c:dPt>
            <c:idx val="0"/>
            <c:invertIfNegative val="0"/>
            <c:bubble3D val="0"/>
          </c:dPt>
          <c:dPt>
            <c:idx val="1"/>
            <c:invertIfNegative val="0"/>
            <c:bubble3D val="0"/>
          </c:dPt>
          <c:dPt>
            <c:idx val="2"/>
            <c:invertIfNegative val="0"/>
            <c:bubble3D val="0"/>
          </c:dPt>
          <c:dLbls>
            <c:dLblPos val="inBase"/>
            <c:showBubbleSize val="0"/>
            <c:showCatName val="0"/>
            <c:showLeaderLines val="0"/>
            <c:showLegendKey val="0"/>
            <c:showPercent val="0"/>
            <c:showSerName val="0"/>
            <c:showVal val="1"/>
            <c:spPr bwMode="auto">
              <a:prstGeom prst="rect">
                <a:avLst/>
              </a:prstGeom>
              <a:noFill/>
            </c:spPr>
            <c:txPr>
              <a:bodyPr/>
              <a:lstStyle/>
              <a:p>
                <a:pPr>
                  <a:defRPr sz="1200" b="1" i="0">
                    <a:solidFill>
                      <a:schemeClr val="bg1"/>
                    </a:solidFill>
                    <a:latin typeface="PT Astra Serif"/>
                  </a:defRPr>
                </a:pPr>
                <a:endParaRPr lang="ru-RU"/>
              </a:p>
            </c:txPr>
          </c:dLbls>
          <c:cat>
            <c:strRef>
              <c:f xml:space="preserve">'зп рзп'!$O$2:$Q$2</c:f>
              <c:strCache>
                <c:ptCount val="3"/>
                <c:pt idx="0">
                  <c:v>2021</c:v>
                </c:pt>
                <c:pt idx="1">
                  <c:v>2022</c:v>
                </c:pt>
                <c:pt idx="2">
                  <c:v>2023</c:v>
                </c:pt>
              </c:strCache>
            </c:strRef>
          </c:cat>
          <c:val>
            <c:numRef>
              <c:f xml:space="preserve">'зп рзп'!$O$5:$Q$5</c:f>
              <c:numCache>
                <c:formatCode>0.0</c:formatCode>
                <c:ptCount val="3"/>
                <c:pt idx="0">
                  <c:v>57.2</c:v>
                </c:pt>
                <c:pt idx="1">
                  <c:v>65.3</c:v>
                </c:pt>
                <c:pt idx="2">
                  <c:v>73.7</c:v>
                </c:pt>
              </c:numCache>
            </c:numRef>
          </c:val>
        </c:ser>
        <c:dLbls>
          <c:showBubbleSize val="0"/>
          <c:showCatName val="0"/>
          <c:showLeaderLines val="0"/>
          <c:showLegendKey val="0"/>
          <c:showPercent val="0"/>
          <c:showSerName val="0"/>
          <c:showVal val="0"/>
        </c:dLbls>
        <c:gapWidth val="128"/>
        <c:axId val="325637120"/>
        <c:axId val="301249600"/>
      </c:barChart>
      <c:lineChart>
        <c:grouping val="standard"/>
        <c:varyColors val="0"/>
        <c:ser>
          <c:idx val="1"/>
          <c:order val="1"/>
          <c:tx>
            <c:strRef>
              <c:f xml:space="preserve">'зп рзп'!$N$4</c:f>
              <c:strCache>
                <c:ptCount val="1"/>
                <c:pt idx="0">
                  <c:v xml:space="preserve">Реальная заработная плата, ТО, %</c:v>
                </c:pt>
              </c:strCache>
            </c:strRef>
          </c:tx>
          <c:spPr bwMode="auto">
            <a:prstGeom prst="rect">
              <a:avLst/>
            </a:prstGeom>
            <a:ln w="28575">
              <a:solidFill>
                <a:srgbClr val="008000"/>
              </a:solidFill>
              <a:prstDash val="solid"/>
            </a:ln>
          </c:spPr>
          <c:marker>
            <c:symbol val="circle"/>
            <c:size val="5"/>
            <c:spPr bwMode="auto">
              <a:prstGeom prst="rect">
                <a:avLst/>
              </a:prstGeom>
              <a:solidFill>
                <a:srgbClr val="008000"/>
              </a:solidFill>
              <a:ln>
                <a:solidFill>
                  <a:srgbClr val="00BC55"/>
                </a:solidFill>
              </a:ln>
            </c:spPr>
          </c:marker>
          <c:dLbls>
            <c:dLbl>
              <c:idx val="0"/>
              <c:dLblPos val="r"/>
              <c:layout>
                <c:manualLayout>
                  <c:x val="-0.071474"/>
                  <c:y val="0.038780"/>
                </c:manualLayout>
              </c:layout>
              <c:showBubbleSize val="0"/>
              <c:showCatName val="0"/>
              <c:showLegendKey val="0"/>
              <c:showPercent val="0"/>
              <c:showSerName val="0"/>
              <c:showVal val="1"/>
            </c:dLbl>
            <c:dLbl>
              <c:idx val="1"/>
              <c:dLblPos val="r"/>
              <c:layout>
                <c:manualLayout>
                  <c:x val="-0.064549"/>
                  <c:y val="0.034585"/>
                </c:manualLayout>
              </c:layout>
              <c:showBubbleSize val="0"/>
              <c:showCatName val="0"/>
              <c:showLegendKey val="0"/>
              <c:showPercent val="0"/>
              <c:showSerName val="0"/>
              <c:showVal val="1"/>
            </c:dLbl>
            <c:dLbl>
              <c:idx val="2"/>
              <c:dLblPos val="r"/>
              <c:layout>
                <c:manualLayout>
                  <c:x val="0.002231"/>
                  <c:y val="-0.039254"/>
                </c:manualLayout>
              </c:layout>
              <c:showBubbleSize val="0"/>
              <c:showCatName val="0"/>
              <c:showLegendKey val="0"/>
              <c:showPercent val="0"/>
              <c:showSerName val="0"/>
              <c:showVal val="1"/>
              <c:spPr bwMode="auto"/>
              <c:txPr>
                <a:bodyPr/>
                <a:lstStyle/>
                <a:p>
                  <a:pPr>
                    <a:defRPr sz="1000" b="0" i="0">
                      <a:solidFill>
                        <a:sysClr val="windowText" lastClr="000000"/>
                      </a:solidFill>
                      <a:latin typeface="PT Astra Serif"/>
                      <a:cs typeface="Times New Roman"/>
                    </a:defRPr>
                  </a:pPr>
                  <a:endParaRPr lang="ru-RU"/>
                </a:p>
              </c:txPr>
            </c:dLbl>
            <c:dLblPos val="b"/>
            <c:showBubbleSize val="0"/>
            <c:showCatName val="0"/>
            <c:showLeaderLines val="0"/>
            <c:showLegendKey val="0"/>
            <c:showPercent val="0"/>
            <c:showSerName val="0"/>
            <c:showVal val="1"/>
            <c:spPr bwMode="auto">
              <a:prstGeom prst="rect">
                <a:avLst/>
              </a:prstGeom>
              <a:noFill/>
              <a:ln>
                <a:noFill/>
              </a:ln>
              <a:effectLst/>
            </c:spPr>
            <c:txPr>
              <a:bodyPr/>
              <a:lstStyle/>
              <a:p>
                <a:pPr>
                  <a:defRPr sz="1000" b="0" i="0">
                    <a:solidFill>
                      <a:sysClr val="windowText" lastClr="000000"/>
                    </a:solidFill>
                    <a:latin typeface="PT Astra Serif"/>
                    <a:cs typeface="Times New Roman"/>
                  </a:defRPr>
                </a:pPr>
                <a:endParaRPr lang="ru-RU"/>
              </a:p>
            </c:txPr>
          </c:dLbls>
          <c:cat>
            <c:strRef>
              <c:f xml:space="preserve">'зп рзп'!$O$2:$Q$2</c:f>
              <c:strCache>
                <c:ptCount val="3"/>
                <c:pt idx="0">
                  <c:v>2021</c:v>
                </c:pt>
                <c:pt idx="1">
                  <c:v>2022</c:v>
                </c:pt>
                <c:pt idx="2">
                  <c:v>2023</c:v>
                </c:pt>
              </c:strCache>
            </c:strRef>
          </c:cat>
          <c:val>
            <c:numRef>
              <c:f xml:space="preserve">'зп рзп'!$O$4:$Q$4</c:f>
              <c:numCache>
                <c:formatCode>0.0</c:formatCode>
                <c:ptCount val="3"/>
                <c:pt idx="0">
                  <c:v>99</c:v>
                </c:pt>
                <c:pt idx="1">
                  <c:v>99.5</c:v>
                </c:pt>
                <c:pt idx="2">
                  <c:v>107.9</c:v>
                </c:pt>
              </c:numCache>
            </c:numRef>
          </c:val>
          <c:smooth val="1"/>
        </c:ser>
        <c:ser>
          <c:idx val="3"/>
          <c:order val="3"/>
          <c:tx>
            <c:strRef>
              <c:f xml:space="preserve">'зп рзп'!$N$6</c:f>
              <c:strCache>
                <c:ptCount val="1"/>
                <c:pt idx="0">
                  <c:v xml:space="preserve">Реальная заработная плата, РФ, %</c:v>
                </c:pt>
              </c:strCache>
            </c:strRef>
          </c:tx>
          <c:spPr bwMode="auto">
            <a:prstGeom prst="rect">
              <a:avLst/>
            </a:prstGeom>
            <a:ln w="28575">
              <a:solidFill>
                <a:srgbClr val="326E8C"/>
              </a:solidFill>
            </a:ln>
          </c:spPr>
          <c:marker>
            <c:symbol val="circle"/>
            <c:size val="5"/>
            <c:spPr bwMode="auto">
              <a:prstGeom prst="rect">
                <a:avLst/>
              </a:prstGeom>
              <a:solidFill>
                <a:srgbClr val="326E8C"/>
              </a:solidFill>
              <a:ln>
                <a:solidFill>
                  <a:srgbClr val="ACCBF9">
                    <a:lumMod val="75000"/>
                  </a:srgbClr>
                </a:solidFill>
              </a:ln>
            </c:spPr>
          </c:marker>
          <c:dLbls>
            <c:dLbl>
              <c:idx val="0"/>
              <c:dLblPos val="r"/>
              <c:layout>
                <c:manualLayout>
                  <c:x val="-0.058205"/>
                  <c:y val="-0.055755"/>
                </c:manualLayout>
              </c:layout>
              <c:showBubbleSize val="0"/>
              <c:showCatName val="0"/>
              <c:showLegendKey val="0"/>
              <c:showPercent val="0"/>
              <c:showSerName val="0"/>
              <c:showVal val="1"/>
            </c:dLbl>
            <c:dLbl>
              <c:idx val="1"/>
              <c:dLblPos val="r"/>
              <c:layout>
                <c:manualLayout>
                  <c:x val="-0.053275"/>
                  <c:y val="-0.061448"/>
                </c:manualLayout>
              </c:layout>
              <c:showBubbleSize val="0"/>
              <c:showCatName val="0"/>
              <c:showLegendKey val="0"/>
              <c:showPercent val="0"/>
              <c:showSerName val="0"/>
              <c:showVal val="1"/>
            </c:dLbl>
            <c:dLbl>
              <c:idx val="2"/>
              <c:dLblPos val="r"/>
              <c:layout>
                <c:manualLayout>
                  <c:x val="-0.050878"/>
                  <c:y val="0.067986"/>
                </c:manualLayout>
              </c:layout>
              <c:showBubbleSize val="0"/>
              <c:showCatName val="0"/>
              <c:showLegendKey val="0"/>
              <c:showPercent val="0"/>
              <c:showSerName val="0"/>
              <c:showVal val="1"/>
            </c:dLbl>
            <c:dLbl>
              <c:idx val="3"/>
              <c:dLblPos val="r"/>
              <c:layout>
                <c:manualLayout>
                  <c:x val="-0.077639"/>
                  <c:y val="-0.029878"/>
                </c:manualLayout>
              </c:layout>
              <c:showBubbleSize val="0"/>
              <c:showCatName val="0"/>
              <c:showLegendKey val="0"/>
              <c:showPercent val="0"/>
              <c:showSerName val="0"/>
              <c:showVal val="1"/>
            </c:dLbl>
            <c:dLblPos val="t"/>
            <c:showBubbleSize val="0"/>
            <c:showCatName val="0"/>
            <c:showLeaderLines val="0"/>
            <c:showLegendKey val="0"/>
            <c:showPercent val="0"/>
            <c:showSerName val="0"/>
            <c:showVal val="1"/>
            <c:spPr bwMode="auto">
              <a:prstGeom prst="rect">
                <a:avLst/>
              </a:prstGeom>
              <a:noFill/>
              <a:ln>
                <a:noFill/>
              </a:ln>
              <a:effectLst/>
            </c:spPr>
            <c:txPr>
              <a:bodyPr/>
              <a:lstStyle/>
              <a:p>
                <a:pPr>
                  <a:defRPr sz="1000" b="0" i="0">
                    <a:solidFill>
                      <a:srgbClr val="326E8C"/>
                    </a:solidFill>
                    <a:latin typeface="PT Astra Serif"/>
                  </a:defRPr>
                </a:pPr>
                <a:endParaRPr lang="ru-RU"/>
              </a:p>
            </c:txPr>
          </c:dLbls>
          <c:cat>
            <c:strRef>
              <c:f xml:space="preserve">'зп рзп'!$O$2:$Q$2</c:f>
              <c:strCache>
                <c:ptCount val="3"/>
                <c:pt idx="0">
                  <c:v>2021</c:v>
                </c:pt>
                <c:pt idx="1">
                  <c:v>2022</c:v>
                </c:pt>
                <c:pt idx="2">
                  <c:v>2023</c:v>
                </c:pt>
              </c:strCache>
            </c:strRef>
          </c:cat>
          <c:val>
            <c:numRef>
              <c:f xml:space="preserve">'зп рзп'!$O$6:$Q$6</c:f>
              <c:numCache>
                <c:formatCode>0.0</c:formatCode>
                <c:ptCount val="3"/>
                <c:pt idx="0">
                  <c:v>104.5</c:v>
                </c:pt>
                <c:pt idx="1">
                  <c:v>100.3</c:v>
                </c:pt>
                <c:pt idx="2">
                  <c:v>107.8</c:v>
                </c:pt>
              </c:numCache>
            </c:numRef>
          </c:val>
          <c:smooth val="1"/>
        </c:ser>
        <c:dLbls>
          <c:showBubbleSize val="0"/>
          <c:showCatName val="0"/>
          <c:showLeaderLines val="0"/>
          <c:showLegendKey val="0"/>
          <c:showPercent val="0"/>
          <c:showSerName val="0"/>
          <c:showVal val="0"/>
        </c:dLbls>
        <c:marker val="1"/>
        <c:smooth val="0"/>
        <c:axId val="325637632"/>
        <c:axId val="301250176"/>
      </c:lineChart>
      <c:valAx>
        <c:axId val="301249600"/>
        <c:scaling>
          <c:orientation val="minMax"/>
          <c:max val="100.000000"/>
          <c:min val="0.000000"/>
        </c:scaling>
        <c:delete val="0"/>
        <c:axPos val="r"/>
        <c:numFmt formatCode="0.0" sourceLinked="1"/>
        <c:majorTickMark val="in"/>
        <c:minorTickMark val="none"/>
        <c:tickLblPos val="none"/>
        <c:spPr bwMode="auto">
          <a:prstGeom prst="rect">
            <a:avLst/>
          </a:prstGeom>
          <a:ln>
            <a:noFill/>
          </a:ln>
        </c:spPr>
        <c:crossAx val="325637120"/>
        <c:crosses val="max"/>
        <c:crossBetween val="between"/>
        <c:majorUnit val="20.000000"/>
      </c:valAx>
      <c:catAx>
        <c:axId val="325637120"/>
        <c:scaling>
          <c:orientation val="minMax"/>
        </c:scaling>
        <c:delete val="0"/>
        <c:axPos val="b"/>
        <c:numFmt formatCode="General" sourceLinked="1"/>
        <c:majorTickMark val="out"/>
        <c:minorTickMark val="none"/>
        <c:tickLblPos val="low"/>
        <c:txPr>
          <a:bodyPr/>
          <a:lstStyle/>
          <a:p>
            <a:pPr>
              <a:defRPr>
                <a:latin typeface="PT Astra Serif"/>
              </a:defRPr>
            </a:pPr>
            <a:endParaRPr lang="ru-RU"/>
          </a:p>
        </c:txPr>
        <c:crossAx val="301249600"/>
        <c:crosses val="autoZero"/>
        <c:auto val="1"/>
        <c:lblAlgn val="ctr"/>
        <c:lblOffset val="100"/>
        <c:noMultiLvlLbl val="0"/>
      </c:catAx>
      <c:valAx>
        <c:axId val="301250176"/>
        <c:scaling>
          <c:orientation val="minMax"/>
          <c:max val="115.000000"/>
          <c:min val="1.000000"/>
        </c:scaling>
        <c:delete val="0"/>
        <c:axPos val="l"/>
        <c:numFmt formatCode="0.0" sourceLinked="1"/>
        <c:majorTickMark val="none"/>
        <c:minorTickMark val="none"/>
        <c:tickLblPos val="none"/>
        <c:spPr bwMode="auto">
          <a:prstGeom prst="rect">
            <a:avLst/>
          </a:prstGeom>
          <a:noFill/>
          <a:ln>
            <a:noFill/>
          </a:ln>
        </c:spPr>
        <c:crossAx val="325637632"/>
        <c:crosses val="autoZero"/>
        <c:crossBetween val="between"/>
        <c:majorUnit val="20.000000"/>
      </c:valAx>
      <c:catAx>
        <c:axId val="325637632"/>
        <c:scaling>
          <c:orientation val="minMax"/>
        </c:scaling>
        <c:delete val="1"/>
        <c:axPos val="b"/>
        <c:numFmt formatCode="General" sourceLinked="1"/>
        <c:majorTickMark val="out"/>
        <c:minorTickMark val="none"/>
        <c:tickLblPos val="nextTo"/>
        <c:crossAx val="301250176"/>
        <c:crosses val="autoZero"/>
        <c:auto val="1"/>
        <c:lblAlgn val="ctr"/>
        <c:lblOffset val="100"/>
        <c:noMultiLvlLbl val="0"/>
      </c:catAx>
      <c:spPr bwMode="auto">
        <a:prstGeom prst="rect">
          <a:avLst/>
        </a:prstGeom>
        <a:ln>
          <a:noFill/>
        </a:ln>
      </c:spPr>
    </c:plotArea>
    <c:legend>
      <c:legendPos val="b"/>
      <c:layout>
        <c:manualLayout>
          <c:xMode val="edge"/>
          <c:yMode val="edge"/>
          <c:x val="0.000000"/>
          <c:y val="0.736821"/>
          <c:w val="1.000000"/>
          <c:h val="0.260733"/>
        </c:manualLayout>
      </c:layout>
      <c:overlay val="0"/>
      <c:spPr bwMode="auto">
        <a:prstGeom prst="rect">
          <a:avLst/>
        </a:prstGeom>
        <a:solidFill>
          <a:srgbClr val="FFFFFF"/>
        </a:solidFill>
        <a:ln w="25400">
          <a:noFill/>
        </a:ln>
      </c:spPr>
      <c:txPr>
        <a:bodyPr/>
        <a:lstStyle/>
        <a:p>
          <a:pPr>
            <a:defRPr sz="1000" b="0" i="0" u="none" strike="noStrike">
              <a:solidFill>
                <a:srgbClr val="000000"/>
              </a:solidFill>
              <a:latin typeface="PT Astra Serif"/>
              <a:ea typeface="Times New Roman"/>
              <a:cs typeface="Times New Roman"/>
            </a:defRPr>
          </a:pPr>
          <a:endParaRPr lang="ru-RU"/>
        </a:p>
      </c:txPr>
    </c:legend>
    <c:plotVisOnly val="1"/>
    <c:dispBlanksAs val="gap"/>
    <c:showDLblsOverMax val="0"/>
  </c:chart>
  <c:spPr bwMode="auto">
    <a:prstGeom prst="rect">
      <a:avLst/>
    </a:prstGeom>
    <a:solidFill>
      <a:sysClr val="window" lastClr="ffffff"/>
    </a:solidFill>
    <a:ln>
      <a:noFill/>
    </a:ln>
  </c:sp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ru-RU"/>
  <c:roundedCorners val="0"/>
  <mc:AlternateContent>
    <mc:Choice Requires="c14">
      <c14:style val="102"/>
    </mc:Choice>
    <mc:Fallback>
      <c:style val="2"/>
    </mc:Fallback>
  </mc:AlternateContent>
  <c:chart>
    <c:autoTitleDeleted val="1"/>
    <c:plotArea>
      <c:layout>
        <c:manualLayout>
          <c:layoutTarget val="inner"/>
          <c:xMode val="edge"/>
          <c:yMode val="edge"/>
          <c:x val="0.026129"/>
          <c:y val="0.371204"/>
          <c:w val="0.973483"/>
          <c:h val="0.443098"/>
        </c:manualLayout>
      </c:layout>
      <c:lineChart>
        <c:grouping val="standard"/>
        <c:varyColors val="0"/>
        <c:ser>
          <c:idx val="0"/>
          <c:order val="0"/>
          <c:tx>
            <c:strRef>
              <c:f>Лист1!$B$1</c:f>
              <c:strCache>
                <c:ptCount val="1"/>
                <c:pt idx="0">
                  <c:v xml:space="preserve">Ряд 1</c:v>
                </c:pt>
              </c:strCache>
            </c:strRef>
          </c:tx>
          <c:spPr bwMode="auto">
            <a:prstGeom prst="rect">
              <a:avLst/>
            </a:prstGeom>
            <a:ln w="28575" cap="rnd">
              <a:solidFill>
                <a:schemeClr val="tx1">
                  <a:lumMod val="65000"/>
                  <a:lumOff val="35000"/>
                </a:schemeClr>
              </a:solidFill>
              <a:round/>
            </a:ln>
            <a:effectLst/>
          </c:spPr>
          <c:marker>
            <c:symbol val="circle"/>
            <c:size val="5"/>
            <c:spPr bwMode="auto">
              <a:prstGeom prst="rect">
                <a:avLst/>
              </a:prstGeom>
              <a:solidFill>
                <a:schemeClr val="bg1"/>
              </a:solidFill>
              <a:ln w="28575">
                <a:solidFill>
                  <a:schemeClr val="tx1">
                    <a:lumMod val="65000"/>
                    <a:lumOff val="35000"/>
                  </a:schemeClr>
                </a:solidFill>
              </a:ln>
              <a:effectLst/>
            </c:spPr>
          </c:marker>
          <c:dLbls>
            <c:dLbl>
              <c:idx val="0"/>
              <c:dLblPos val="r"/>
              <c:layout>
                <c:manualLayout>
                  <c:x val="-0.024455"/>
                  <c:y val="-0.093745"/>
                </c:manualLayout>
              </c:layout>
              <c:showBubbleSize val="0"/>
              <c:showCatName val="0"/>
              <c:showLegendKey val="0"/>
              <c:showPercent val="0"/>
              <c:showSerName val="0"/>
              <c:showVal val="1"/>
            </c:dLbl>
            <c:dLbl>
              <c:idx val="3"/>
              <c:dLblPos val="r"/>
              <c:layout>
                <c:manualLayout>
                  <c:x val="-0.020526"/>
                  <c:y val="0.129076"/>
                </c:manualLayout>
              </c:layout>
              <c:showBubbleSize val="0"/>
              <c:showCatName val="0"/>
              <c:showLegendKey val="0"/>
              <c:showPercent val="0"/>
              <c:showSerName val="0"/>
              <c:showVal val="1"/>
            </c:dLbl>
            <c:dLbl>
              <c:idx val="7"/>
              <c:dLblPos val="r"/>
              <c:layout>
                <c:manualLayout>
                  <c:x val="-0.021745"/>
                  <c:y val="-0.180808"/>
                </c:manualLayout>
              </c:layout>
              <c:showBubbleSize val="0"/>
              <c:showCatName val="0"/>
              <c:showLegendKey val="0"/>
              <c:showPercent val="0"/>
              <c:showSerName val="0"/>
              <c:showVal val="1"/>
            </c:dLbl>
            <c:dLbl>
              <c:idx val="8"/>
              <c:dLblPos val="r"/>
              <c:layout>
                <c:manualLayout>
                  <c:x val="-0.026457"/>
                  <c:y val="-0.116143"/>
                </c:manualLayout>
              </c:layout>
              <c:showBubbleSize val="0"/>
              <c:showCatName val="0"/>
              <c:showLegendKey val="0"/>
              <c:showPercent val="0"/>
              <c:showSerName val="0"/>
              <c:showVal val="1"/>
            </c:dLbl>
            <c:dLbl>
              <c:idx val="9"/>
              <c:dLblPos val="r"/>
              <c:layout>
                <c:manualLayout>
                  <c:x val="-0.029480"/>
                  <c:y val="-0.114047"/>
                </c:manualLayout>
              </c:layout>
              <c:showBubbleSize val="0"/>
              <c:showCatName val="0"/>
              <c:showLegendKey val="0"/>
              <c:showPercent val="0"/>
              <c:showSerName val="0"/>
              <c:showVal val="1"/>
            </c:dLbl>
            <c:dLbl>
              <c:idx val="11"/>
              <c:dLblPos val="r"/>
              <c:layout>
                <c:manualLayout>
                  <c:x val="-0.026612"/>
                  <c:y val="-0.124847"/>
                </c:manualLayout>
              </c:layout>
              <c:showBubbleSize val="0"/>
              <c:showCatName val="0"/>
              <c:showLegendKey val="0"/>
              <c:showPercent val="0"/>
              <c:showSerName val="0"/>
              <c:showVal val="1"/>
              <c:tx>
                <c:rich>
                  <a:bodyPr/>
                  <a:lstStyle/>
                  <a:p>
                    <a:pPr>
                      <a:defRPr/>
                    </a:pPr>
                    <a:r>
                      <a:rPr lang="ru-RU" sz="1200">
                        <a:solidFill>
                          <a:srgbClr val="328246"/>
                        </a:solidFill>
                        <a:latin typeface="PT Astra Serif"/>
                        <a:ea typeface="PT Astra Serif"/>
                      </a:rPr>
                      <a:t>42,8</a:t>
                    </a:r>
                    <a:endParaRPr lang="en-US"/>
                  </a:p>
                </c:rich>
              </c:tx>
            </c:dLbl>
            <c:dLblPos val="t"/>
            <c:showBubbleSize val="0"/>
            <c:showCatName val="0"/>
            <c:showLeaderLines val="0"/>
            <c:showLegendKey val="0"/>
            <c:showPercent val="0"/>
            <c:showSerName val="0"/>
            <c:showVal val="1"/>
            <c:spPr bwMode="auto">
              <a:prstGeom prst="rect">
                <a:avLst/>
              </a:prstGeom>
              <a:noFill/>
              <a:ln>
                <a:noFill/>
              </a:ln>
              <a:effectLst/>
            </c:spPr>
            <c:txPr>
              <a:bodyPr rot="0" spcFirstLastPara="1" vertOverflow="ellipsis" vert="horz" wrap="square" lIns="38100" tIns="19050" rIns="38100" bIns="19050" anchor="ctr" anchorCtr="1">
                <a:spAutoFit/>
              </a:bodyPr>
              <a:lstStyle/>
              <a:p>
                <a:pPr>
                  <a:defRPr sz="1200" b="1" i="0" u="none" strike="noStrike">
                    <a:solidFill>
                      <a:srgbClr val="328246"/>
                    </a:solidFill>
                    <a:latin typeface="PT Astra Serif"/>
                    <a:ea typeface="PT Astra Serif"/>
                    <a:cs typeface="Arial"/>
                  </a:defRPr>
                </a:pPr>
                <a:endParaRPr lang="ru-RU"/>
              </a:p>
            </c:txPr>
          </c:dLbls>
          <c:cat>
            <c:strRef>
              <c:f>Лист1!$A$2:$A$20</c:f>
              <c:strCache>
                <c:ptCount val="9"/>
                <c:pt idx="2">
                  <c:v xml:space="preserve">Категория 1</c:v>
                </c:pt>
                <c:pt idx="6">
                  <c:v xml:space="preserve">Категория 2</c:v>
                </c:pt>
                <c:pt idx="7">
                  <c:v xml:space="preserve">Категория 3</c:v>
                </c:pt>
                <c:pt idx="8">
                  <c:v xml:space="preserve">Категория 4</c:v>
                </c:pt>
              </c:strCache>
            </c:strRef>
          </c:cat>
          <c:val>
            <c:numRef>
              <c:f>Лист1!$B$2:$B$20</c:f>
              <c:numCache>
                <c:formatCode>0.0</c:formatCode>
                <c:ptCount val="19"/>
                <c:pt idx="0">
                  <c:v>1.5</c:v>
                </c:pt>
                <c:pt idx="1">
                  <c:v>3.8</c:v>
                </c:pt>
                <c:pt idx="2">
                  <c:v>6.2</c:v>
                </c:pt>
                <c:pt idx="3">
                  <c:v>31.7</c:v>
                </c:pt>
                <c:pt idx="4">
                  <c:v>4</c:v>
                </c:pt>
                <c:pt idx="5">
                  <c:v>5.3</c:v>
                </c:pt>
                <c:pt idx="6">
                  <c:v>8.7</c:v>
                </c:pt>
                <c:pt idx="7">
                  <c:v>4.9</c:v>
                </c:pt>
                <c:pt idx="8">
                  <c:v>34.5</c:v>
                </c:pt>
                <c:pt idx="9">
                  <c:v>42.3</c:v>
                </c:pt>
                <c:pt idx="10">
                  <c:v>11.8</c:v>
                </c:pt>
                <c:pt idx="11">
                  <c:v>42.8</c:v>
                </c:pt>
                <c:pt idx="12">
                  <c:v>10.1</c:v>
                </c:pt>
                <c:pt idx="13">
                  <c:v>24.2</c:v>
                </c:pt>
                <c:pt idx="14">
                  <c:v>25.3</c:v>
                </c:pt>
                <c:pt idx="15">
                  <c:v>10.1</c:v>
                </c:pt>
                <c:pt idx="16">
                  <c:v>4.4</c:v>
                </c:pt>
                <c:pt idx="17">
                  <c:v>17.5</c:v>
                </c:pt>
                <c:pt idx="18">
                  <c:v>10.5</c:v>
                </c:pt>
              </c:numCache>
            </c:numRef>
          </c:val>
          <c:smooth val="0"/>
        </c:ser>
        <c:dLbls>
          <c:showBubbleSize val="0"/>
          <c:showCatName val="0"/>
          <c:showLeaderLines val="0"/>
          <c:showLegendKey val="0"/>
          <c:showPercent val="0"/>
          <c:showSerName val="0"/>
          <c:showVal val="0"/>
        </c:dLbls>
        <c:marker val="1"/>
        <c:smooth val="0"/>
        <c:axId val="324932608"/>
        <c:axId val="301262528"/>
      </c:lineChart>
      <c:catAx>
        <c:axId val="324932608"/>
        <c:scaling>
          <c:orientation val="minMax"/>
        </c:scaling>
        <c:delete val="1"/>
        <c:axPos val="b"/>
        <c:numFmt formatCode="General" sourceLinked="1"/>
        <c:majorTickMark val="none"/>
        <c:minorTickMark val="none"/>
        <c:tickLblPos val="nextTo"/>
        <c:crossAx val="301262528"/>
        <c:crosses val="autoZero"/>
        <c:auto val="1"/>
        <c:lblAlgn val="ctr"/>
        <c:lblOffset val="100"/>
        <c:noMultiLvlLbl val="0"/>
      </c:catAx>
      <c:valAx>
        <c:axId val="301262528"/>
        <c:scaling>
          <c:orientation val="minMax"/>
        </c:scaling>
        <c:delete val="1"/>
        <c:axPos val="l"/>
        <c:numFmt formatCode="0.0" sourceLinked="1"/>
        <c:majorTickMark val="none"/>
        <c:minorTickMark val="none"/>
        <c:tickLblPos val="nextTo"/>
        <c:crossAx val="324932608"/>
        <c:crosses val="autoZero"/>
        <c:crossBetween val="between"/>
      </c:valAx>
      <c:spPr bwMode="auto">
        <a:prstGeom prst="rect">
          <a:avLst/>
        </a:prstGeom>
        <a:noFill/>
        <a:ln>
          <a:noFill/>
        </a:ln>
        <a:effectLst/>
      </c:spPr>
    </c:plotArea>
    <c:plotVisOnly val="1"/>
    <c:dispBlanksAs val="gap"/>
    <c:showDLblsOverMax val="0"/>
  </c:chart>
  <c:spPr bwMode="auto">
    <a:prstGeom prst="rect">
      <a:avLst/>
    </a:prstGeom>
    <a:noFill/>
    <a:ln>
      <a:noFill/>
    </a:ln>
    <a:effectLst/>
  </c:spPr>
  <c:txPr>
    <a:bodyPr/>
    <a:lstStyle/>
    <a:p>
      <a:pPr>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ru-RU"/>
  <c:roundedCorners val="0"/>
  <mc:AlternateContent>
    <mc:Choice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021938"/>
          <c:y val="0.025611"/>
          <c:w val="0.951888"/>
          <c:h val="0.939126"/>
        </c:manualLayout>
      </c:layout>
      <c:barChart>
        <c:barDir val="col"/>
        <c:grouping val="clustered"/>
        <c:varyColors val="0"/>
        <c:ser>
          <c:idx val="0"/>
          <c:order val="0"/>
          <c:tx>
            <c:strRef>
              <c:f>Лист1!$B$1</c:f>
              <c:strCache>
                <c:ptCount val="1"/>
                <c:pt idx="0">
                  <c:v xml:space="preserve">Среднемесячная номинальная начисленная заработная плата работников организаций (тыс. руб.)</c:v>
                </c:pt>
              </c:strCache>
            </c:strRef>
          </c:tx>
          <c:spPr bwMode="auto">
            <a:prstGeom prst="rect">
              <a:avLst/>
            </a:prstGeom>
            <a:solidFill>
              <a:sysClr val="window" lastClr="ffffff"/>
            </a:solidFill>
          </c:spPr>
          <c:invertIfNegative val="0"/>
          <c:dPt>
            <c:idx val="4"/>
            <c:invertIfNegative val="0"/>
            <c:bubble3D val="0"/>
          </c:dPt>
          <c:dLbls>
            <c:dLbl>
              <c:idx val="4"/>
              <c:layout/>
              <c:showBubbleSize val="0"/>
              <c:showCatName val="0"/>
              <c:showLegendKey val="0"/>
              <c:showPercent val="0"/>
              <c:showSerName val="0"/>
              <c:showVal val="1"/>
              <c:tx>
                <c:rich>
                  <a:bodyPr/>
                  <a:lstStyle/>
                  <a:p>
                    <a:pPr>
                      <a:defRPr/>
                    </a:pPr>
                    <a:r>
                      <a:rPr lang="en-US"/>
                      <a:t>46</a:t>
                    </a:r>
                    <a:r>
                      <a:rPr lang="ru-RU"/>
                      <a:t>,0</a:t>
                    </a:r>
                    <a:endParaRPr lang="en-US"/>
                  </a:p>
                </c:rich>
              </c:tx>
            </c:dLbl>
            <c:dLbl>
              <c:idx val="8"/>
              <c:layout>
                <c:manualLayout>
                  <c:x val="0.000000"/>
                  <c:y val="-0.044347"/>
                </c:manualLayout>
              </c:layout>
              <c:showBubbleSize val="0"/>
              <c:showCatName val="0"/>
              <c:showLegendKey val="0"/>
              <c:showPercent val="0"/>
              <c:showSerName val="0"/>
              <c:showVal val="1"/>
            </c:dLbl>
            <c:dLbl>
              <c:idx val="9"/>
              <c:layout>
                <c:manualLayout>
                  <c:x val="-0.001071"/>
                  <c:y val="-0.044347"/>
                </c:manualLayout>
              </c:layout>
              <c:showBubbleSize val="0"/>
              <c:showCatName val="0"/>
              <c:showLegendKey val="0"/>
              <c:showPercent val="0"/>
              <c:showSerName val="0"/>
              <c:showVal val="1"/>
            </c:dLbl>
            <c:dLbl>
              <c:idx val="10"/>
              <c:layout>
                <c:manualLayout>
                  <c:x val="0.000000"/>
                  <c:y val="-0.029564"/>
                </c:manualLayout>
              </c:layout>
              <c:showBubbleSize val="0"/>
              <c:showCatName val="0"/>
              <c:showLegendKey val="0"/>
              <c:showPercent val="0"/>
              <c:showSerName val="0"/>
              <c:showVal val="1"/>
            </c:dLbl>
            <c:showBubbleSize val="0"/>
            <c:showCatName val="0"/>
            <c:showLeaderLines val="0"/>
            <c:showLegendKey val="0"/>
            <c:showPercent val="0"/>
            <c:showSerName val="0"/>
            <c:showVal val="1"/>
            <c:txPr>
              <a:bodyPr/>
              <a:lstStyle/>
              <a:p>
                <a:pPr>
                  <a:defRPr sz="1200" b="1">
                    <a:latin typeface="PT Astra Serif"/>
                    <a:ea typeface="PT Astra Serif"/>
                  </a:defRPr>
                </a:pPr>
                <a:endParaRPr lang="ru-RU"/>
              </a:p>
            </c:txPr>
          </c:dLbls>
          <c:cat>
            <c:strRef>
              <c:f>Лист1!$A$2:$A$20</c:f>
              <c:strCache>
                <c:ptCount val="19"/>
                <c:pt idx="0">
                  <c:v>прочее</c:v>
                </c:pt>
                <c:pt idx="1">
                  <c:v xml:space="preserve">гостиницы и общепит</c:v>
                </c:pt>
                <c:pt idx="2">
                  <c:v>торговля</c:v>
                </c:pt>
                <c:pt idx="3">
                  <c:v xml:space="preserve">административная деятельность</c:v>
                </c:pt>
                <c:pt idx="4">
                  <c:v xml:space="preserve">операции с недвижимым имуществом</c:v>
                </c:pt>
                <c:pt idx="5">
                  <c:v xml:space="preserve">водоснабжение и утилизация отходов</c:v>
                </c:pt>
                <c:pt idx="6">
                  <c:v xml:space="preserve">сельское хозяйство, охота, рыболовство и рыбоводство </c:v>
                </c:pt>
                <c:pt idx="7">
                  <c:v xml:space="preserve">деятельность в области культуры, спорта, организации досуга и развлечений</c:v>
                </c:pt>
                <c:pt idx="8">
                  <c:v xml:space="preserve">деятельность в области здравоохранения и социальных услуг</c:v>
                </c:pt>
                <c:pt idx="9">
                  <c:v>образование</c:v>
                </c:pt>
                <c:pt idx="10">
                  <c:v>строительство</c:v>
                </c:pt>
                <c:pt idx="11">
                  <c:v xml:space="preserve">обрабатывающие производства</c:v>
                </c:pt>
                <c:pt idx="12">
                  <c:v xml:space="preserve">обеспечение электрической энергией, газом и паром; кондиционирование воздуха</c:v>
                </c:pt>
                <c:pt idx="13">
                  <c:v xml:space="preserve">транспортировка и хранение</c:v>
                </c:pt>
                <c:pt idx="14">
                  <c:v xml:space="preserve">государственное управление и обеспечение военной безопасности; социальное обеспечение</c:v>
                </c:pt>
                <c:pt idx="15">
                  <c:v xml:space="preserve">деятельность в области информации и связи</c:v>
                </c:pt>
                <c:pt idx="16">
                  <c:v xml:space="preserve">деятельность финансовая и страховая</c:v>
                </c:pt>
                <c:pt idx="17">
                  <c:v xml:space="preserve">деятельность профессиональная, научная и техническая</c:v>
                </c:pt>
                <c:pt idx="18">
                  <c:v xml:space="preserve">добыча полезных искапаемых</c:v>
                </c:pt>
              </c:strCache>
            </c:strRef>
          </c:cat>
          <c:val>
            <c:numRef>
              <c:f>Лист1!$B$2:$B$20</c:f>
              <c:numCache>
                <c:formatCode>#,##0.0</c:formatCode>
                <c:ptCount val="19"/>
                <c:pt idx="0">
                  <c:v>31.4</c:v>
                </c:pt>
                <c:pt idx="1">
                  <c:v>37.6</c:v>
                </c:pt>
                <c:pt idx="2">
                  <c:v>41.4</c:v>
                </c:pt>
                <c:pt idx="3" formatCode="0.0">
                  <c:v>41.1</c:v>
                </c:pt>
                <c:pt idx="4" formatCode="General">
                  <c:v>46</c:v>
                </c:pt>
                <c:pt idx="5">
                  <c:v>46</c:v>
                </c:pt>
                <c:pt idx="6" formatCode="General">
                  <c:v>49.8</c:v>
                </c:pt>
                <c:pt idx="7">
                  <c:v>50.4</c:v>
                </c:pt>
                <c:pt idx="8" formatCode="General">
                  <c:v>56.9</c:v>
                </c:pt>
                <c:pt idx="9" formatCode="0.0">
                  <c:v>57</c:v>
                </c:pt>
                <c:pt idx="10" formatCode="0.0">
                  <c:v>59.5</c:v>
                </c:pt>
                <c:pt idx="11" formatCode="0.0">
                  <c:v>64.3</c:v>
                </c:pt>
                <c:pt idx="12" formatCode="0.0">
                  <c:v>71.1</c:v>
                </c:pt>
                <c:pt idx="13" formatCode="0.0">
                  <c:v>71.1</c:v>
                </c:pt>
                <c:pt idx="14" formatCode="0.0">
                  <c:v>73.1</c:v>
                </c:pt>
                <c:pt idx="15" formatCode="General">
                  <c:v>89.9</c:v>
                </c:pt>
                <c:pt idx="16" formatCode="General">
                  <c:v>91.9</c:v>
                </c:pt>
                <c:pt idx="17" formatCode="General">
                  <c:v>95.4</c:v>
                </c:pt>
                <c:pt idx="18" formatCode="General">
                  <c:v>120.1</c:v>
                </c:pt>
              </c:numCache>
            </c:numRef>
          </c:val>
        </c:ser>
        <c:dLbls>
          <c:showBubbleSize val="0"/>
          <c:showCatName val="0"/>
          <c:showLeaderLines val="0"/>
          <c:showLegendKey val="0"/>
          <c:showPercent val="0"/>
          <c:showSerName val="0"/>
          <c:showVal val="1"/>
        </c:dLbls>
        <c:gapWidth val="16"/>
        <c:overlap val="100"/>
        <c:axId val="328172032"/>
        <c:axId val="301263680"/>
      </c:barChart>
      <c:catAx>
        <c:axId val="328172032"/>
        <c:scaling>
          <c:orientation val="minMax"/>
        </c:scaling>
        <c:delete val="1"/>
        <c:axPos val="b"/>
        <c:numFmt formatCode="General" sourceLinked="0"/>
        <c:majorTickMark val="out"/>
        <c:minorTickMark val="none"/>
        <c:tickLblPos val="low"/>
        <c:crossAx val="301263680"/>
        <c:crosses val="autoZero"/>
        <c:crossesAt val="1.000000"/>
        <c:auto val="1"/>
        <c:lblAlgn val="ctr"/>
        <c:lblOffset val="100"/>
        <c:tickMarkSkip val="10"/>
        <c:noMultiLvlLbl val="0"/>
      </c:catAx>
      <c:valAx>
        <c:axId val="301263680"/>
        <c:scaling>
          <c:orientation val="minMax"/>
        </c:scaling>
        <c:delete val="1"/>
        <c:axPos val="l"/>
        <c:numFmt formatCode="#,##0.0" sourceLinked="1"/>
        <c:majorTickMark val="out"/>
        <c:minorTickMark val="none"/>
        <c:tickLblPos val="nextTo"/>
        <c:crossAx val="328172032"/>
        <c:crosses val="autoZero"/>
        <c:crossBetween val="between"/>
      </c:valAx>
      <c:spPr bwMode="auto">
        <a:prstGeom prst="rect">
          <a:avLst/>
        </a:prstGeom>
        <a:solidFill>
          <a:srgbClr val="9BBB59">
            <a:lumMod val="20000"/>
            <a:lumOff val="80000"/>
            <a:alpha val="82000"/>
          </a:srgbClr>
        </a:solidFill>
      </c:spPr>
    </c:plotArea>
    <c:plotVisOnly val="1"/>
    <c:dispBlanksAs val="gap"/>
    <c:showDLblsOverMax val="0"/>
  </c:chart>
  <c:spPr bwMode="auto">
    <a:prstGeom prst="rect">
      <a:avLst/>
    </a:prstGeom>
    <a:ln>
      <a:noFill/>
    </a:ln>
  </c:spPr>
  <c:externalData r:id="rId3">
    <c:autoUpdate val="0"/>
  </c:externalData>
  <c:userShapes xmlns:c="http://schemas.openxmlformats.org/drawingml/2006/chart" xmlns:a="http://schemas.openxmlformats.org/drawingml/2006/main" xmlns:r="http://schemas.openxmlformats.org/officeDocument/2006/relationships" xmlns:mc="http://schemas.openxmlformats.org/markup-compatibility/2006" xmlns:c14="http://schemas.microsoft.com/office/drawing/2007/8/2/chart" r:id="rId1"/>
</c:chartSpace>
</file>

<file path=word/charts/chart9.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ru-RU"/>
  <c:roundedCorners val="0"/>
  <mc:AlternateContent>
    <mc:Choice Requires="c14">
      <c14:style val="102"/>
    </mc:Choice>
    <mc:Fallback>
      <c:style val="2"/>
    </mc:Fallback>
  </mc:AlternateContent>
  <c:chart>
    <c:autoTitleDeleted val="0"/>
    <c:plotArea>
      <c:layout>
        <c:manualLayout>
          <c:layoutTarget val="inner"/>
          <c:xMode val="edge"/>
          <c:yMode val="edge"/>
          <c:x val="0.594086"/>
          <c:y val="0.023664"/>
          <c:w val="0.379815"/>
          <c:h val="0.897211"/>
        </c:manualLayout>
      </c:layout>
      <c:barChart>
        <c:barDir val="col"/>
        <c:grouping val="percentStacked"/>
        <c:varyColors val="0"/>
        <c:ser>
          <c:idx val="0"/>
          <c:order val="0"/>
          <c:tx>
            <c:strRef>
              <c:f>стр.3_2!$A$2</c:f>
              <c:strCache>
                <c:ptCount val="1"/>
                <c:pt idx="0">
                  <c:v xml:space="preserve">Добыча полезных ископаемых</c:v>
                </c:pt>
              </c:strCache>
            </c:strRef>
          </c:tx>
          <c:spPr bwMode="auto">
            <a:prstGeom prst="rect">
              <a:avLst/>
            </a:prstGeom>
            <a:solidFill>
              <a:schemeClr val="bg2">
                <a:lumMod val="50000"/>
                <a:alpha val="33000"/>
              </a:schemeClr>
            </a:solidFill>
          </c:spPr>
          <c:invertIfNegative val="0"/>
          <c:dLbls>
            <c:numFmt formatCode="#,##0.0" sourceLinked="0"/>
            <c:showBubbleSize val="0"/>
            <c:showCatName val="0"/>
            <c:showLeaderLines val="0"/>
            <c:showLegendKey val="0"/>
            <c:showPercent val="0"/>
            <c:showSerName val="0"/>
            <c:showVal val="1"/>
            <c:txPr>
              <a:bodyPr/>
              <a:lstStyle/>
              <a:p>
                <a:pPr>
                  <a:defRPr b="1">
                    <a:solidFill>
                      <a:sysClr val="windowText" lastClr="000000"/>
                    </a:solidFill>
                    <a:latin typeface="PT Astra Serif"/>
                    <a:ea typeface="PT Astra Serif"/>
                    <a:cs typeface="Times New Roman"/>
                  </a:defRPr>
                </a:pPr>
                <a:endParaRPr lang="ru-RU"/>
              </a:p>
            </c:txPr>
          </c:dLbls>
          <c:cat>
            <c:numRef>
              <c:f>стр.3_2!$B$1:$C$1</c:f>
              <c:numCache>
                <c:formatCode>General</c:formatCode>
                <c:ptCount val="2"/>
                <c:pt idx="0">
                  <c:v>2019</c:v>
                </c:pt>
                <c:pt idx="1">
                  <c:v>2023</c:v>
                </c:pt>
              </c:numCache>
            </c:numRef>
          </c:cat>
          <c:val>
            <c:numRef>
              <c:f>стр.3_2!$B$2:$C$2</c:f>
              <c:numCache>
                <c:formatCode>General</c:formatCode>
                <c:ptCount val="2"/>
                <c:pt idx="0">
                  <c:v>44.2</c:v>
                </c:pt>
                <c:pt idx="1">
                  <c:v>39.1</c:v>
                </c:pt>
              </c:numCache>
            </c:numRef>
          </c:val>
        </c:ser>
        <c:ser>
          <c:idx val="1"/>
          <c:order val="1"/>
          <c:tx>
            <c:strRef>
              <c:f>стр.3_2!$A$3</c:f>
              <c:strCache>
                <c:ptCount val="1"/>
                <c:pt idx="0">
                  <c:v xml:space="preserve">Обрабатывающая промышленность</c:v>
                </c:pt>
              </c:strCache>
            </c:strRef>
          </c:tx>
          <c:spPr bwMode="auto">
            <a:prstGeom prst="rect">
              <a:avLst/>
            </a:prstGeom>
            <a:solidFill>
              <a:srgbClr val="92D050">
                <a:alpha val="60000"/>
              </a:srgbClr>
            </a:solidFill>
          </c:spPr>
          <c:invertIfNegative val="0"/>
          <c:dLbls>
            <c:numFmt formatCode="#,##0.0" sourceLinked="0"/>
            <c:showBubbleSize val="0"/>
            <c:showCatName val="0"/>
            <c:showLeaderLines val="0"/>
            <c:showLegendKey val="0"/>
            <c:showPercent val="0"/>
            <c:showSerName val="0"/>
            <c:showVal val="1"/>
            <c:txPr>
              <a:bodyPr/>
              <a:lstStyle/>
              <a:p>
                <a:pPr>
                  <a:defRPr b="1">
                    <a:solidFill>
                      <a:sysClr val="windowText" lastClr="000000"/>
                    </a:solidFill>
                    <a:latin typeface="PT Astra Serif"/>
                    <a:ea typeface="PT Astra Serif"/>
                    <a:cs typeface="Times New Roman"/>
                  </a:defRPr>
                </a:pPr>
                <a:endParaRPr lang="ru-RU"/>
              </a:p>
            </c:txPr>
          </c:dLbls>
          <c:cat>
            <c:numRef>
              <c:f>стр.3_2!$B$1:$C$1</c:f>
              <c:numCache>
                <c:formatCode>General</c:formatCode>
                <c:ptCount val="2"/>
                <c:pt idx="0">
                  <c:v>2019</c:v>
                </c:pt>
                <c:pt idx="1">
                  <c:v>2023</c:v>
                </c:pt>
              </c:numCache>
            </c:numRef>
          </c:cat>
          <c:val>
            <c:numRef>
              <c:f>стр.3_2!$B$3:$C$3</c:f>
              <c:numCache>
                <c:formatCode>General</c:formatCode>
                <c:ptCount val="2"/>
                <c:pt idx="0">
                  <c:v>45.7</c:v>
                </c:pt>
                <c:pt idx="1">
                  <c:v>51.6</c:v>
                </c:pt>
              </c:numCache>
            </c:numRef>
          </c:val>
        </c:ser>
        <c:ser>
          <c:idx val="2"/>
          <c:order val="2"/>
          <c:tx>
            <c:strRef>
              <c:f>стр.3_2!$A$4</c:f>
              <c:strCache>
                <c:ptCount val="1"/>
                <c:pt idx="0">
                  <c:v xml:space="preserve">Обеспечение электрической энергией, газом и паром; кондиционирование воздуха</c:v>
                </c:pt>
              </c:strCache>
            </c:strRef>
          </c:tx>
          <c:spPr bwMode="auto">
            <a:prstGeom prst="rect">
              <a:avLst/>
            </a:prstGeom>
            <a:solidFill>
              <a:srgbClr val="FFD4B0">
                <a:alpha val="60000"/>
              </a:srgbClr>
            </a:solidFill>
          </c:spPr>
          <c:invertIfNegative val="0"/>
          <c:dLbls>
            <c:numFmt formatCode="#,##0.0" sourceLinked="0"/>
            <c:showBubbleSize val="0"/>
            <c:showCatName val="0"/>
            <c:showLeaderLines val="0"/>
            <c:showLegendKey val="0"/>
            <c:showPercent val="0"/>
            <c:showSerName val="0"/>
            <c:showVal val="1"/>
            <c:txPr>
              <a:bodyPr/>
              <a:lstStyle/>
              <a:p>
                <a:pPr>
                  <a:defRPr b="1">
                    <a:solidFill>
                      <a:sysClr val="windowText" lastClr="000000"/>
                    </a:solidFill>
                    <a:latin typeface="PT Astra Serif"/>
                    <a:ea typeface="PT Astra Serif"/>
                    <a:cs typeface="Times New Roman"/>
                  </a:defRPr>
                </a:pPr>
                <a:endParaRPr lang="ru-RU"/>
              </a:p>
            </c:txPr>
          </c:dLbls>
          <c:cat>
            <c:numRef>
              <c:f>стр.3_2!$B$1:$C$1</c:f>
              <c:numCache>
                <c:formatCode>General</c:formatCode>
                <c:ptCount val="2"/>
                <c:pt idx="0">
                  <c:v>2019</c:v>
                </c:pt>
                <c:pt idx="1">
                  <c:v>2023</c:v>
                </c:pt>
              </c:numCache>
            </c:numRef>
          </c:cat>
          <c:val>
            <c:numRef>
              <c:f>стр.3_2!$B$4:$C$4</c:f>
              <c:numCache>
                <c:formatCode>General</c:formatCode>
                <c:ptCount val="2"/>
                <c:pt idx="0">
                  <c:v>8.1</c:v>
                </c:pt>
                <c:pt idx="1">
                  <c:v>7.6</c:v>
                </c:pt>
              </c:numCache>
            </c:numRef>
          </c:val>
        </c:ser>
        <c:ser>
          <c:idx val="3"/>
          <c:order val="3"/>
          <c:tx>
            <c:strRef>
              <c:f>стр.3_2!$A$5</c:f>
              <c:strCache>
                <c:ptCount val="1"/>
                <c:pt idx="0">
                  <c:v xml:space="preserve">Водоснабжение; водоотведение, организация сбора и утилизации отходов, деятельность по ликвидации загрязнений</c:v>
                </c:pt>
              </c:strCache>
            </c:strRef>
          </c:tx>
          <c:spPr bwMode="auto"/>
          <c:invertIfNegative val="0"/>
          <c:dLbls>
            <c:dLbl>
              <c:idx val="0"/>
              <c:layout>
                <c:manualLayout>
                  <c:x val="0.000000"/>
                  <c:y val="-0.039233"/>
                </c:manualLayout>
              </c:layout>
              <c:showBubbleSize val="0"/>
              <c:showCatName val="0"/>
              <c:showLegendKey val="0"/>
              <c:showPercent val="0"/>
              <c:showSerName val="0"/>
              <c:showVal val="1"/>
              <c:tx>
                <c:rich>
                  <a:bodyPr/>
                  <a:lstStyle/>
                  <a:p>
                    <a:pPr>
                      <a:defRPr/>
                    </a:pPr>
                    <a:r>
                      <a:rPr lang="en-US"/>
                      <a:t>2</a:t>
                    </a:r>
                    <a:r>
                      <a:rPr lang="ru-RU"/>
                      <a:t>,0</a:t>
                    </a:r>
                    <a:endParaRPr lang="en-US"/>
                  </a:p>
                </c:rich>
              </c:tx>
            </c:dLbl>
            <c:dLbl>
              <c:idx val="1"/>
              <c:layout>
                <c:manualLayout>
                  <c:x val="0.000000"/>
                  <c:y val="-0.038224"/>
                </c:manualLayout>
              </c:layout>
              <c:showBubbleSize val="0"/>
              <c:showCatName val="0"/>
              <c:showLegendKey val="0"/>
              <c:showPercent val="0"/>
              <c:showSerName val="0"/>
              <c:showVal val="1"/>
            </c:dLbl>
            <c:dLbl>
              <c:idx val="2"/>
              <c:layout>
                <c:manualLayout>
                  <c:x val="0.005178"/>
                  <c:y val="-0.034188"/>
                </c:manualLayout>
              </c:layout>
              <c:showBubbleSize val="0"/>
              <c:showCatName val="0"/>
              <c:showLegendKey val="0"/>
              <c:showPercent val="0"/>
              <c:showSerName val="0"/>
              <c:showVal val="1"/>
            </c:dLbl>
            <c:dLbl>
              <c:idx val="3"/>
              <c:layout>
                <c:manualLayout>
                  <c:x val="0.007767"/>
                  <c:y val="-0.029915"/>
                </c:manualLayout>
              </c:layout>
              <c:showBubbleSize val="0"/>
              <c:showCatName val="0"/>
              <c:showLegendKey val="0"/>
              <c:showPercent val="0"/>
              <c:showSerName val="0"/>
              <c:showVal val="1"/>
            </c:dLbl>
            <c:showBubbleSize val="0"/>
            <c:showCatName val="0"/>
            <c:showLeaderLines val="0"/>
            <c:showLegendKey val="0"/>
            <c:showPercent val="0"/>
            <c:showSerName val="0"/>
            <c:showVal val="1"/>
            <c:txPr>
              <a:bodyPr/>
              <a:lstStyle/>
              <a:p>
                <a:pPr>
                  <a:defRPr b="1">
                    <a:latin typeface="PT Astra Serif"/>
                    <a:ea typeface="PT Astra Serif"/>
                    <a:cs typeface="Times New Roman"/>
                  </a:defRPr>
                </a:pPr>
                <a:endParaRPr lang="ru-RU"/>
              </a:p>
            </c:txPr>
          </c:dLbls>
          <c:cat>
            <c:numRef>
              <c:f>стр.3_2!$B$1:$C$1</c:f>
              <c:numCache>
                <c:formatCode>General</c:formatCode>
                <c:ptCount val="2"/>
                <c:pt idx="0">
                  <c:v>2019</c:v>
                </c:pt>
                <c:pt idx="1">
                  <c:v>2023</c:v>
                </c:pt>
              </c:numCache>
            </c:numRef>
          </c:cat>
          <c:val>
            <c:numRef>
              <c:f>стр.3_2!$B$5:$C$5</c:f>
              <c:numCache>
                <c:formatCode>General</c:formatCode>
                <c:ptCount val="2"/>
                <c:pt idx="0">
                  <c:v>2</c:v>
                </c:pt>
                <c:pt idx="1">
                  <c:v>1.7</c:v>
                </c:pt>
              </c:numCache>
            </c:numRef>
          </c:val>
        </c:ser>
        <c:dLbls>
          <c:showBubbleSize val="0"/>
          <c:showCatName val="0"/>
          <c:showLeaderLines val="0"/>
          <c:showLegendKey val="0"/>
          <c:showPercent val="0"/>
          <c:showSerName val="0"/>
          <c:showVal val="0"/>
        </c:dLbls>
        <c:gapWidth val="96"/>
        <c:overlap val="100"/>
        <c:axId val="326202368"/>
        <c:axId val="301265408"/>
      </c:barChart>
      <c:catAx>
        <c:axId val="326202368"/>
        <c:scaling>
          <c:orientation val="minMax"/>
        </c:scaling>
        <c:delete val="0"/>
        <c:axPos val="b"/>
        <c:numFmt formatCode="General" sourceLinked="1"/>
        <c:majorTickMark val="out"/>
        <c:minorTickMark val="none"/>
        <c:tickLblPos val="nextTo"/>
        <c:spPr bwMode="auto">
          <a:prstGeom prst="rect">
            <a:avLst/>
          </a:prstGeom>
          <a:ln>
            <a:solidFill>
              <a:srgbClr val="808000"/>
            </a:solidFill>
          </a:ln>
        </c:spPr>
        <c:txPr>
          <a:bodyPr/>
          <a:lstStyle/>
          <a:p>
            <a:pPr>
              <a:defRPr>
                <a:solidFill>
                  <a:sysClr val="windowText" lastClr="000000"/>
                </a:solidFill>
                <a:latin typeface="PT Astra Serif"/>
                <a:ea typeface="PT Astra Serif"/>
                <a:cs typeface="Times New Roman"/>
              </a:defRPr>
            </a:pPr>
            <a:endParaRPr lang="ru-RU"/>
          </a:p>
        </c:txPr>
        <c:crossAx val="301265408"/>
        <c:crosses val="autoZero"/>
        <c:auto val="1"/>
        <c:lblAlgn val="ctr"/>
        <c:lblOffset val="100"/>
        <c:noMultiLvlLbl val="1"/>
      </c:catAx>
      <c:valAx>
        <c:axId val="301265408"/>
        <c:scaling>
          <c:orientation val="minMax"/>
          <c:max val="1.100000"/>
          <c:min val="0.000000"/>
        </c:scaling>
        <c:delete val="0"/>
        <c:axPos val="l"/>
        <c:numFmt formatCode="0%" sourceLinked="1"/>
        <c:majorTickMark val="out"/>
        <c:minorTickMark val="none"/>
        <c:tickLblPos val="nextTo"/>
        <c:spPr bwMode="auto">
          <a:prstGeom prst="rect">
            <a:avLst/>
          </a:prstGeom>
          <a:ln>
            <a:solidFill>
              <a:srgbClr val="808000"/>
            </a:solidFill>
          </a:ln>
        </c:spPr>
        <c:txPr>
          <a:bodyPr/>
          <a:lstStyle/>
          <a:p>
            <a:pPr>
              <a:defRPr>
                <a:solidFill>
                  <a:sysClr val="windowText" lastClr="000000"/>
                </a:solidFill>
                <a:latin typeface="PT Astra Serif"/>
                <a:ea typeface="PT Astra Serif"/>
                <a:cs typeface="Times New Roman"/>
              </a:defRPr>
            </a:pPr>
            <a:endParaRPr lang="ru-RU"/>
          </a:p>
        </c:txPr>
        <c:crossAx val="326202368"/>
        <c:crosses val="autoZero"/>
        <c:crossBetween val="between"/>
        <c:majorUnit val="0.200000"/>
        <c:minorUnit val="0.040000"/>
      </c:valAx>
    </c:plotArea>
    <c:legend>
      <c:legendPos val="r"/>
      <c:legendEntry>
        <c:idx val="0"/>
        <c:txPr>
          <a:bodyPr/>
          <a:lstStyle/>
          <a:p>
            <a:pPr>
              <a:defRPr>
                <a:solidFill>
                  <a:sysClr val="windowText" lastClr="000000"/>
                </a:solidFill>
                <a:latin typeface="PT Astra Serif"/>
                <a:ea typeface="PT Astra Serif"/>
                <a:cs typeface="Times New Roman"/>
              </a:defRPr>
            </a:pPr>
            <a:endParaRPr lang="ru-RU"/>
          </a:p>
        </c:txPr>
      </c:legendEntry>
      <c:legendEntry>
        <c:idx val="1"/>
        <c:txPr>
          <a:bodyPr/>
          <a:lstStyle/>
          <a:p>
            <a:pPr>
              <a:defRPr>
                <a:solidFill>
                  <a:sysClr val="windowText" lastClr="000000"/>
                </a:solidFill>
                <a:latin typeface="PT Astra Serif"/>
                <a:ea typeface="PT Astra Serif"/>
                <a:cs typeface="Times New Roman"/>
              </a:defRPr>
            </a:pPr>
            <a:endParaRPr lang="ru-RU"/>
          </a:p>
        </c:txPr>
      </c:legendEntry>
      <c:legendEntry>
        <c:idx val="2"/>
        <c:txPr>
          <a:bodyPr/>
          <a:lstStyle/>
          <a:p>
            <a:pPr>
              <a:defRPr>
                <a:solidFill>
                  <a:sysClr val="windowText" lastClr="000000"/>
                </a:solidFill>
                <a:latin typeface="PT Astra Serif"/>
                <a:ea typeface="PT Astra Serif"/>
                <a:cs typeface="Times New Roman"/>
              </a:defRPr>
            </a:pPr>
            <a:endParaRPr lang="ru-RU"/>
          </a:p>
        </c:txPr>
      </c:legendEntry>
      <c:legendEntry>
        <c:idx val="3"/>
        <c:txPr>
          <a:bodyPr/>
          <a:lstStyle/>
          <a:p>
            <a:pPr>
              <a:defRPr>
                <a:solidFill>
                  <a:sysClr val="windowText" lastClr="000000"/>
                </a:solidFill>
                <a:latin typeface="PT Astra Serif"/>
                <a:ea typeface="PT Astra Serif"/>
                <a:cs typeface="Times New Roman"/>
              </a:defRPr>
            </a:pPr>
            <a:endParaRPr lang="ru-RU"/>
          </a:p>
        </c:txPr>
      </c:legendEntry>
      <c:layout>
        <c:manualLayout>
          <c:xMode val="edge"/>
          <c:yMode val="edge"/>
          <c:x val="0.001418"/>
          <c:y val="0.029459"/>
          <c:w val="0.470863"/>
          <c:h val="0.960825"/>
        </c:manualLayout>
      </c:layout>
      <c:overlay val="0"/>
      <c:txPr>
        <a:bodyPr/>
        <a:lstStyle/>
        <a:p>
          <a:pPr>
            <a:defRPr>
              <a:solidFill>
                <a:sysClr val="windowText" lastClr="000000"/>
              </a:solidFill>
              <a:latin typeface="Times New Roman"/>
              <a:cs typeface="Times New Roman"/>
            </a:defRPr>
          </a:pPr>
          <a:endParaRPr lang="ru-RU"/>
        </a:p>
      </c:txPr>
    </c:legend>
    <c:plotVisOnly val="1"/>
    <c:dispBlanksAs val="gap"/>
    <c:showDLblsOverMax val="0"/>
  </c:chart>
  <c:spPr bwMode="auto">
    <a:prstGeom prst="rect">
      <a:avLst/>
    </a:prstGeom>
    <a:ln>
      <a:noFill/>
    </a:ln>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ru-RU"/>
  <c:roundedCorners val="0"/>
  <mc:AlternateContent>
    <mc:Choice Requires="c14">
      <c14:style val="102"/>
    </mc:Choice>
    <mc:Fallback>
      <c:style val="2"/>
    </mc:Fallback>
  </mc:AlternateContent>
  <c:chart>
    <c:autoTitleDeleted val="1"/>
    <c:plotArea>
      <c:layout>
        <c:manualLayout>
          <c:layoutTarget val="inner"/>
          <c:xMode val="edge"/>
          <c:yMode val="edge"/>
          <c:x val="0.351430"/>
          <c:y val="0.209406"/>
          <c:w val="0.388210"/>
          <c:h val="0.429477"/>
        </c:manualLayout>
      </c:layout>
      <c:doughnutChart>
        <c:varyColors val="1"/>
        <c:ser>
          <c:idx val="0"/>
          <c:order val="0"/>
          <c:tx>
            <c:strRef>
              <c:f>структура!$L$288</c:f>
              <c:strCache>
                <c:ptCount val="1"/>
                <c:pt idx="0">
                  <c:v xml:space="preserve">8 мес. 2022</c:v>
                </c:pt>
              </c:strCache>
            </c:strRef>
          </c:tx>
          <c:spPr bwMode="auto">
            <a:prstGeom prst="rect">
              <a:avLst/>
            </a:prstGeom>
            <a:solidFill>
              <a:srgbClr val="85A644"/>
            </a:solidFill>
          </c:spPr>
          <c:dPt>
            <c:idx val="0"/>
            <c:bubble3D val="0"/>
            <c:spPr bwMode="auto">
              <a:prstGeom prst="rect">
                <a:avLst/>
              </a:prstGeom>
              <a:solidFill>
                <a:srgbClr val="85A644">
                  <a:alpha val="63999"/>
                </a:srgbClr>
              </a:solidFill>
            </c:spPr>
          </c:dPt>
          <c:dPt>
            <c:idx val="1"/>
            <c:bubble3D val="0"/>
            <c:spPr bwMode="auto">
              <a:prstGeom prst="rect">
                <a:avLst/>
              </a:prstGeom>
              <a:solidFill>
                <a:schemeClr val="accent1">
                  <a:lumMod val="50000"/>
                  <a:alpha val="86000"/>
                </a:schemeClr>
              </a:solidFill>
            </c:spPr>
          </c:dPt>
          <c:dPt>
            <c:idx val="2"/>
            <c:bubble3D val="0"/>
            <c:spPr bwMode="auto">
              <a:prstGeom prst="rect">
                <a:avLst/>
              </a:prstGeom>
              <a:solidFill>
                <a:schemeClr val="accent3">
                  <a:lumMod val="50000"/>
                  <a:alpha val="81000"/>
                </a:schemeClr>
              </a:solidFill>
            </c:spPr>
          </c:dPt>
          <c:dPt>
            <c:idx val="3"/>
            <c:bubble3D val="0"/>
            <c:spPr bwMode="auto">
              <a:prstGeom prst="rect">
                <a:avLst/>
              </a:prstGeom>
              <a:solidFill>
                <a:schemeClr val="accent3">
                  <a:lumMod val="75000"/>
                  <a:alpha val="77000"/>
                </a:schemeClr>
              </a:solidFill>
            </c:spPr>
          </c:dPt>
          <c:dPt>
            <c:idx val="5"/>
            <c:bubble3D val="0"/>
            <c:spPr bwMode="auto">
              <a:prstGeom prst="rect">
                <a:avLst/>
              </a:prstGeom>
              <a:solidFill>
                <a:srgbClr val="808000">
                  <a:alpha val="83922"/>
                </a:srgbClr>
              </a:solidFill>
            </c:spPr>
          </c:dPt>
          <c:dLbls>
            <c:dLbl>
              <c:idx val="0"/>
              <c:layout>
                <c:manualLayout>
                  <c:x val="0.080671"/>
                  <c:y val="-0.202653"/>
                </c:manualLayout>
              </c:layout>
              <c:showBubbleSize val="0"/>
              <c:showCatName val="1"/>
              <c:showLegendKey val="0"/>
              <c:showPercent val="1"/>
              <c:showSerName val="0"/>
              <c:showVal val="0"/>
              <c:tx>
                <c:rich>
                  <a:bodyPr/>
                  <a:lstStyle/>
                  <a:p>
                    <a:pPr>
                      <a:defRPr/>
                    </a:pPr>
                    <a:r>
                      <a:rPr lang="ru-RU" sz="800">
                        <a:latin typeface="PT Astra Serif"/>
                        <a:ea typeface="PT Astra Serif"/>
                        <a:cs typeface="Arial"/>
                      </a:rPr>
                      <a:t>Нефтехимия и лекарства</a:t>
                    </a:r>
                    <a:br>
                      <a:rPr lang="ru-RU" sz="800">
                        <a:latin typeface="PT Astra Serif"/>
                        <a:ea typeface="PT Astra Serif"/>
                        <a:cs typeface="Arial"/>
                      </a:rPr>
                    </a:br>
                    <a:r>
                      <a:rPr lang="ru-RU" sz="800" b="1">
                        <a:solidFill>
                          <a:srgbClr val="0070C0"/>
                        </a:solidFill>
                        <a:latin typeface="PT Astra Serif"/>
                        <a:ea typeface="PT Astra Serif"/>
                        <a:cs typeface="Arial"/>
                      </a:rPr>
                      <a:t>35,5%</a:t>
                    </a:r>
                    <a:endParaRPr lang="ru-RU" sz="1100" b="1">
                      <a:solidFill>
                        <a:srgbClr val="0070C0"/>
                      </a:solidFill>
                    </a:endParaRPr>
                  </a:p>
                </c:rich>
              </c:tx>
            </c:dLbl>
            <c:dLbl>
              <c:idx val="1"/>
              <c:layout>
                <c:manualLayout>
                  <c:x val="0.164662"/>
                  <c:y val="0.173097"/>
                </c:manualLayout>
              </c:layout>
              <c:showBubbleSize val="0"/>
              <c:showCatName val="1"/>
              <c:showLegendKey val="0"/>
              <c:showPercent val="1"/>
              <c:showSerName val="0"/>
              <c:showVal val="0"/>
              <c:tx>
                <c:rich>
                  <a:bodyPr/>
                  <a:lstStyle/>
                  <a:p>
                    <a:pPr>
                      <a:defRPr/>
                    </a:pPr>
                    <a:r>
                      <a:rPr lang="ru-RU" sz="800">
                        <a:latin typeface="PT Astra Serif"/>
                        <a:ea typeface="PT Astra Serif"/>
                        <a:cs typeface="Arial"/>
                      </a:rPr>
                      <a:t>Металлургия и прочее</a:t>
                    </a:r>
                    <a:r>
                      <a:rPr lang="ru-RU" sz="800">
                        <a:latin typeface="PT Astra Serif"/>
                        <a:ea typeface="PT Astra Serif"/>
                        <a:cs typeface="Arial"/>
                      </a:rPr>
                      <a:t> </a:t>
                    </a:r>
                    <a:r>
                      <a:rPr lang="ru-RU" sz="800">
                        <a:latin typeface="PT Astra Serif"/>
                        <a:ea typeface="PT Astra Serif"/>
                        <a:cs typeface="Arial"/>
                      </a:rPr>
                      <a:t>машиностроение</a:t>
                    </a:r>
                    <a:br>
                      <a:rPr lang="ru-RU" sz="800">
                        <a:latin typeface="PT Astra Serif"/>
                        <a:ea typeface="PT Astra Serif"/>
                        <a:cs typeface="Arial"/>
                      </a:rPr>
                    </a:br>
                    <a:r>
                      <a:rPr lang="ru-RU" sz="800" b="1">
                        <a:solidFill>
                          <a:srgbClr val="0070C0"/>
                        </a:solidFill>
                        <a:latin typeface="PT Astra Serif"/>
                        <a:ea typeface="PT Astra Serif"/>
                        <a:cs typeface="Arial"/>
                      </a:rPr>
                      <a:t>10,8%</a:t>
                    </a:r>
                    <a:endParaRPr lang="ru-RU" sz="1100" b="1">
                      <a:solidFill>
                        <a:srgbClr val="0070C0"/>
                      </a:solidFill>
                    </a:endParaRPr>
                  </a:p>
                </c:rich>
              </c:tx>
            </c:dLbl>
            <c:dLbl>
              <c:idx val="2"/>
              <c:layout>
                <c:manualLayout>
                  <c:x val="-0.122201"/>
                  <c:y val="0.234611"/>
                </c:manualLayout>
              </c:layout>
              <c:showBubbleSize val="0"/>
              <c:showCatName val="1"/>
              <c:showLegendKey val="0"/>
              <c:showPercent val="1"/>
              <c:showSerName val="0"/>
              <c:showVal val="0"/>
              <c:tx>
                <c:rich>
                  <a:bodyPr/>
                  <a:lstStyle/>
                  <a:p>
                    <a:pPr>
                      <a:defRPr/>
                    </a:pPr>
                    <a:r>
                      <a:rPr lang="ru-RU" sz="800">
                        <a:solidFill>
                          <a:schemeClr val="tx1"/>
                        </a:solidFill>
                        <a:latin typeface="PT Astra Serif"/>
                        <a:ea typeface="PT Astra Serif"/>
                        <a:cs typeface="Arial"/>
                      </a:rPr>
                      <a:t>Электроника и электрооборудование</a:t>
                    </a:r>
                    <a:br>
                      <a:rPr lang="ru-RU" sz="800">
                        <a:solidFill>
                          <a:schemeClr val="tx1"/>
                        </a:solidFill>
                        <a:latin typeface="PT Astra Serif"/>
                        <a:ea typeface="PT Astra Serif"/>
                        <a:cs typeface="Arial"/>
                      </a:rPr>
                    </a:br>
                    <a:r>
                      <a:rPr lang="ru-RU" sz="800" b="1">
                        <a:solidFill>
                          <a:srgbClr val="0070C0"/>
                        </a:solidFill>
                        <a:latin typeface="PT Astra Serif"/>
                        <a:ea typeface="PT Astra Serif"/>
                        <a:cs typeface="Arial"/>
                      </a:rPr>
                      <a:t>18,3%</a:t>
                    </a:r>
                    <a:endParaRPr lang="ru-RU" sz="1100" b="1">
                      <a:solidFill>
                        <a:srgbClr val="0070C0"/>
                      </a:solidFill>
                    </a:endParaRPr>
                  </a:p>
                </c:rich>
              </c:tx>
            </c:dLbl>
            <c:dLbl>
              <c:idx val="3"/>
              <c:layout>
                <c:manualLayout>
                  <c:x val="-0.240172"/>
                  <c:y val="0.162450"/>
                </c:manualLayout>
              </c:layout>
              <c:showBubbleSize val="0"/>
              <c:showCatName val="1"/>
              <c:showLegendKey val="0"/>
              <c:showPercent val="1"/>
              <c:showSerName val="0"/>
              <c:showVal val="0"/>
              <c:tx>
                <c:rich>
                  <a:bodyPr/>
                  <a:lstStyle/>
                  <a:p>
                    <a:pPr>
                      <a:defRPr/>
                    </a:pPr>
                    <a:r>
                      <a:rPr lang="ru-RU" sz="800" b="0">
                        <a:latin typeface="PT Astra Serif"/>
                        <a:ea typeface="PT Astra Serif"/>
                        <a:cs typeface="Arial"/>
                      </a:rPr>
                      <a:t>Пищевое производство и напитки</a:t>
                    </a:r>
                    <a:br>
                      <a:rPr lang="ru-RU" sz="800" b="0">
                        <a:latin typeface="PT Astra Serif"/>
                        <a:ea typeface="PT Astra Serif"/>
                        <a:cs typeface="Arial"/>
                      </a:rPr>
                    </a:br>
                    <a:r>
                      <a:rPr lang="ru-RU" sz="800" b="1">
                        <a:solidFill>
                          <a:srgbClr val="0070C0"/>
                        </a:solidFill>
                        <a:latin typeface="PT Astra Serif"/>
                        <a:ea typeface="PT Astra Serif"/>
                        <a:cs typeface="Arial"/>
                      </a:rPr>
                      <a:t>21,1%</a:t>
                    </a:r>
                    <a:endParaRPr lang="ru-RU" sz="1100" b="1">
                      <a:solidFill>
                        <a:srgbClr val="0070C0"/>
                      </a:solidFill>
                    </a:endParaRPr>
                  </a:p>
                </c:rich>
              </c:tx>
            </c:dLbl>
            <c:dLbl>
              <c:idx val="4"/>
              <c:layout>
                <c:manualLayout>
                  <c:x val="-0.202087"/>
                  <c:y val="-0.084691"/>
                </c:manualLayout>
              </c:layout>
              <c:showBubbleSize val="0"/>
              <c:showCatName val="1"/>
              <c:showLegendKey val="0"/>
              <c:showPercent val="1"/>
              <c:showSerName val="0"/>
              <c:showVal val="0"/>
              <c:tx>
                <c:rich>
                  <a:bodyPr/>
                  <a:lstStyle/>
                  <a:p>
                    <a:pPr>
                      <a:defRPr/>
                    </a:pPr>
                    <a:r>
                      <a:rPr lang="ru-RU" sz="800">
                        <a:latin typeface="PT Astra Serif"/>
                        <a:ea typeface="PT Astra Serif"/>
                        <a:cs typeface="Arial"/>
                      </a:rPr>
                      <a:t>Обработка древесины, производство изделий из дерева, издательство и полиграфия</a:t>
                    </a:r>
                    <a:br>
                      <a:rPr lang="ru-RU" sz="800">
                        <a:latin typeface="PT Astra Serif"/>
                        <a:ea typeface="PT Astra Serif"/>
                        <a:cs typeface="Arial"/>
                      </a:rPr>
                    </a:br>
                    <a:r>
                      <a:rPr lang="ru-RU" sz="800" b="1">
                        <a:solidFill>
                          <a:srgbClr val="006699"/>
                        </a:solidFill>
                        <a:latin typeface="PT Astra Serif"/>
                        <a:ea typeface="PT Astra Serif"/>
                        <a:cs typeface="Arial"/>
                      </a:rPr>
                      <a:t>9,0%</a:t>
                    </a:r>
                    <a:endParaRPr lang="ru-RU" sz="1100" b="1">
                      <a:solidFill>
                        <a:srgbClr val="006699"/>
                      </a:solidFill>
                    </a:endParaRPr>
                  </a:p>
                </c:rich>
              </c:tx>
            </c:dLbl>
            <c:dLbl>
              <c:idx val="5"/>
              <c:layout>
                <c:manualLayout>
                  <c:x val="-0.009891"/>
                  <c:y val="-0.155787"/>
                </c:manualLayout>
              </c:layout>
              <c:showBubbleSize val="0"/>
              <c:showCatName val="1"/>
              <c:showLegendKey val="0"/>
              <c:showPercent val="1"/>
              <c:showSerName val="0"/>
              <c:showVal val="0"/>
              <c:tx>
                <c:rich>
                  <a:bodyPr/>
                  <a:lstStyle/>
                  <a:p>
                    <a:pPr>
                      <a:defRPr/>
                    </a:pPr>
                    <a:r>
                      <a:rPr lang="ru-RU" sz="800">
                        <a:solidFill>
                          <a:schemeClr val="tx1"/>
                        </a:solidFill>
                        <a:latin typeface="PT Astra Serif"/>
                        <a:ea typeface="PT Astra Serif"/>
                        <a:cs typeface="Arial"/>
                      </a:rPr>
                      <a:t>Прочие</a:t>
                    </a:r>
                    <a:br>
                      <a:rPr lang="ru-RU" sz="800">
                        <a:solidFill>
                          <a:schemeClr val="tx1"/>
                        </a:solidFill>
                        <a:latin typeface="PT Astra Serif"/>
                        <a:ea typeface="PT Astra Serif"/>
                        <a:cs typeface="Arial"/>
                      </a:rPr>
                    </a:br>
                    <a:r>
                      <a:rPr lang="ru-RU" sz="800" b="1">
                        <a:solidFill>
                          <a:srgbClr val="0070C0"/>
                        </a:solidFill>
                        <a:latin typeface="PT Astra Serif"/>
                        <a:ea typeface="PT Astra Serif"/>
                        <a:cs typeface="Arial"/>
                      </a:rPr>
                      <a:t>5,3%</a:t>
                    </a:r>
                    <a:endParaRPr lang="ru-RU" sz="1100" b="1">
                      <a:solidFill>
                        <a:srgbClr val="0070C0"/>
                      </a:solidFill>
                    </a:endParaRPr>
                  </a:p>
                </c:rich>
              </c:tx>
            </c:dLbl>
            <c:showBubbleSize val="0"/>
            <c:showCatName val="1"/>
            <c:showLeaderLines val="1"/>
            <c:showLegendKey val="0"/>
            <c:showPercent val="1"/>
            <c:showSerName val="0"/>
            <c:showVal val="0"/>
            <c:txPr>
              <a:bodyPr/>
              <a:lstStyle/>
              <a:p>
                <a:pPr>
                  <a:defRPr sz="800">
                    <a:latin typeface="PT Astra Serif"/>
                    <a:ea typeface="PT Astra Serif"/>
                    <a:cs typeface="Arial"/>
                  </a:defRPr>
                </a:pPr>
                <a:endParaRPr lang="ru-RU"/>
              </a:p>
            </c:txPr>
          </c:dLbls>
          <c:cat>
            <c:strRef>
              <c:f>структура!$K$289:$K$294</c:f>
              <c:strCache>
                <c:ptCount val="6"/>
                <c:pt idx="0">
                  <c:v xml:space="preserve">Нефтехимия и лекарства</c:v>
                </c:pt>
                <c:pt idx="1">
                  <c:v xml:space="preserve">Металлургия и прочее машиностроение</c:v>
                </c:pt>
                <c:pt idx="2">
                  <c:v xml:space="preserve">Электроника и электрооборудование</c:v>
                </c:pt>
                <c:pt idx="3">
                  <c:v xml:space="preserve">Пищевое производство и напитки</c:v>
                </c:pt>
                <c:pt idx="4">
                  <c:v xml:space="preserve">Обработка древесины, производство изделий из дерева, издательство и полиграфия</c:v>
                </c:pt>
                <c:pt idx="5">
                  <c:v>Прочие</c:v>
                </c:pt>
              </c:strCache>
            </c:strRef>
          </c:cat>
          <c:val>
            <c:numRef>
              <c:f>структура!$L$289:$L$294</c:f>
              <c:numCache>
                <c:formatCode>General</c:formatCode>
                <c:ptCount val="6"/>
                <c:pt idx="0">
                  <c:v>35.5</c:v>
                </c:pt>
                <c:pt idx="1">
                  <c:v>10.8</c:v>
                </c:pt>
                <c:pt idx="2">
                  <c:v>18.3</c:v>
                </c:pt>
                <c:pt idx="3">
                  <c:v>21.1</c:v>
                </c:pt>
                <c:pt idx="4">
                  <c:v>9</c:v>
                </c:pt>
                <c:pt idx="5">
                  <c:v>5.3</c:v>
                </c:pt>
              </c:numCache>
            </c:numRef>
          </c:val>
        </c:ser>
        <c:dLbls>
          <c:showBubbleSize val="0"/>
          <c:showCatName val="0"/>
          <c:showLeaderLines val="1"/>
          <c:showLegendKey val="0"/>
          <c:showPercent val="0"/>
          <c:showSerName val="0"/>
          <c:showVal val="0"/>
        </c:dLbls>
        <c:firstSliceAng val="0"/>
        <c:holeSize val="51"/>
      </c:doughnutChart>
    </c:plotArea>
    <c:plotVisOnly val="1"/>
    <c:dispBlanksAs val="gap"/>
    <c:showDLblsOverMax val="0"/>
  </c:chart>
  <c:spPr bwMode="auto">
    <a:prstGeom prst="rect">
      <a:avLst/>
    </a:prstGeom>
    <a:ln>
      <a:noFill/>
    </a:ln>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ru-RU"/>
  <c:roundedCorners val="0"/>
  <mc:AlternateContent>
    <mc:Choice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036555"/>
          <c:y val="0.212348"/>
          <c:w val="0.635446"/>
          <c:h val="0.537697"/>
        </c:manualLayout>
      </c:layout>
      <c:doughnutChart>
        <c:varyColors val="1"/>
        <c:ser>
          <c:idx val="0"/>
          <c:order val="0"/>
          <c:dPt>
            <c:idx val="0"/>
            <c:bubble3D val="0"/>
            <c:spPr bwMode="auto">
              <a:prstGeom prst="rect">
                <a:avLst/>
              </a:prstGeom>
              <a:solidFill>
                <a:srgbClr val="BFBFBF">
                  <a:alpha val="52000"/>
                </a:srgbClr>
              </a:solidFill>
            </c:spPr>
          </c:dPt>
          <c:dPt>
            <c:idx val="1"/>
            <c:bubble3D val="0"/>
            <c:spPr bwMode="auto">
              <a:prstGeom prst="rect">
                <a:avLst/>
              </a:prstGeom>
              <a:solidFill>
                <a:srgbClr val="008000"/>
              </a:solidFill>
            </c:spPr>
          </c:dPt>
          <c:dPt>
            <c:idx val="2"/>
            <c:bubble3D val="0"/>
            <c:spPr bwMode="auto">
              <a:prstGeom prst="rect">
                <a:avLst/>
              </a:prstGeom>
              <a:solidFill>
                <a:srgbClr val="0070C0">
                  <a:alpha val="58999"/>
                </a:srgbClr>
              </a:solidFill>
            </c:spPr>
          </c:dPt>
          <c:dLbls>
            <c:dLbl>
              <c:idx val="1"/>
              <c:layout>
                <c:manualLayout>
                  <c:x val="0.019704"/>
                  <c:y val="0.107900"/>
                </c:manualLayout>
              </c:layout>
              <c:showBubbleSize val="0"/>
              <c:showCatName val="0"/>
              <c:showLegendKey val="0"/>
              <c:showPercent val="0"/>
              <c:showSerName val="0"/>
              <c:showVal val="1"/>
            </c:dLbl>
            <c:showBubbleSize val="0"/>
            <c:showCatName val="0"/>
            <c:showLeaderLines val="1"/>
            <c:showLegendKey val="0"/>
            <c:showPercent val="0"/>
            <c:showSerName val="0"/>
            <c:showVal val="1"/>
            <c:spPr bwMode="auto">
              <a:prstGeom prst="rect">
                <a:avLst/>
              </a:prstGeom>
              <a:noFill/>
              <a:ln>
                <a:noFill/>
              </a:ln>
              <a:effectLst/>
            </c:spPr>
            <c:txPr>
              <a:bodyPr/>
              <a:lstStyle/>
              <a:p>
                <a:pPr>
                  <a:defRPr sz="1000" b="0">
                    <a:latin typeface="PT Astra Serif"/>
                    <a:ea typeface="PT Astra Serif"/>
                  </a:defRPr>
                </a:pPr>
                <a:endParaRPr lang="ru-RU"/>
              </a:p>
            </c:txPr>
          </c:dLbls>
          <c:cat>
            <c:strRef>
              <c:f>Графики!$U$72:$U$74</c:f>
              <c:strCache>
                <c:ptCount val="3"/>
                <c:pt idx="0">
                  <c:v>электроэнергия</c:v>
                </c:pt>
                <c:pt idx="1">
                  <c:v xml:space="preserve"> газообразное топливо</c:v>
                </c:pt>
                <c:pt idx="2">
                  <c:v xml:space="preserve"> пар и горячая вода</c:v>
                </c:pt>
              </c:strCache>
            </c:strRef>
          </c:cat>
          <c:val>
            <c:numRef>
              <c:f>Графики!$V$72:$V$74</c:f>
              <c:numCache>
                <c:formatCode>0.0%</c:formatCode>
                <c:ptCount val="3"/>
                <c:pt idx="0">
                  <c:v>0.518</c:v>
                </c:pt>
                <c:pt idx="1">
                  <c:v>0.024</c:v>
                </c:pt>
                <c:pt idx="2">
                  <c:v>0.458</c:v>
                </c:pt>
              </c:numCache>
            </c:numRef>
          </c:val>
        </c:ser>
        <c:dLbls>
          <c:showBubbleSize val="0"/>
          <c:showCatName val="0"/>
          <c:showLeaderLines val="1"/>
          <c:showLegendKey val="0"/>
          <c:showPercent val="0"/>
          <c:showSerName val="0"/>
          <c:showVal val="0"/>
        </c:dLbls>
        <c:firstSliceAng val="0"/>
        <c:holeSize val="50"/>
      </c:doughnutChart>
    </c:plotArea>
    <c:legend>
      <c:legendPos val="r"/>
      <c:layout>
        <c:manualLayout>
          <c:xMode val="edge"/>
          <c:yMode val="edge"/>
          <c:x val="0.582249"/>
          <c:y val="0.215628"/>
          <c:w val="0.384073"/>
          <c:h val="0.521048"/>
        </c:manualLayout>
      </c:layout>
      <c:overlay val="0"/>
      <c:txPr>
        <a:bodyPr/>
        <a:lstStyle/>
        <a:p>
          <a:pPr>
            <a:defRPr sz="1000">
              <a:latin typeface="PT Astra Serif"/>
              <a:ea typeface="PT Astra Serif"/>
            </a:defRPr>
          </a:pPr>
          <a:endParaRPr lang="ru-RU"/>
        </a:p>
      </c:txPr>
    </c:legend>
    <c:plotVisOnly val="1"/>
    <c:dispBlanksAs val="gap"/>
    <c:showDLblsOverMax val="0"/>
  </c:chart>
  <c:spPr bwMode="auto">
    <a:prstGeom prst="rect">
      <a:avLst/>
    </a:prstGeom>
    <a:ln>
      <a:noFill/>
    </a:ln>
  </c:sp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ru-RU"/>
  <c:roundedCorners val="0"/>
  <mc:AlternateContent>
    <mc:Choice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035172"/>
          <c:y val="0.105328"/>
          <c:w val="0.328968"/>
          <c:h val="0.505192"/>
        </c:manualLayout>
      </c:layout>
      <c:doughnutChart>
        <c:varyColors val="1"/>
        <c:ser>
          <c:idx val="0"/>
          <c:order val="0"/>
          <c:dPt>
            <c:idx val="0"/>
            <c:bubble3D val="0"/>
            <c:spPr bwMode="auto">
              <a:prstGeom prst="rect">
                <a:avLst/>
              </a:prstGeom>
              <a:solidFill>
                <a:srgbClr val="326E8C"/>
              </a:solidFill>
            </c:spPr>
          </c:dPt>
          <c:dPt>
            <c:idx val="1"/>
            <c:bubble3D val="0"/>
            <c:spPr bwMode="auto">
              <a:prstGeom prst="rect">
                <a:avLst/>
              </a:prstGeom>
              <a:solidFill>
                <a:srgbClr val="464664"/>
              </a:solidFill>
            </c:spPr>
          </c:dPt>
          <c:dPt>
            <c:idx val="2"/>
            <c:bubble3D val="0"/>
            <c:spPr bwMode="auto">
              <a:prstGeom prst="rect">
                <a:avLst/>
              </a:prstGeom>
              <a:solidFill>
                <a:srgbClr val="A5A5A5"/>
              </a:solidFill>
            </c:spPr>
          </c:dPt>
          <c:dPt>
            <c:idx val="3"/>
            <c:bubble3D val="0"/>
            <c:spPr bwMode="auto">
              <a:prstGeom prst="rect">
                <a:avLst/>
              </a:prstGeom>
              <a:solidFill>
                <a:srgbClr val="328246"/>
              </a:solidFill>
            </c:spPr>
          </c:dPt>
          <c:dPt>
            <c:idx val="4"/>
            <c:bubble3D val="0"/>
            <c:spPr bwMode="auto">
              <a:prstGeom prst="rect">
                <a:avLst/>
              </a:prstGeom>
              <a:solidFill>
                <a:srgbClr val="2F939D"/>
              </a:solidFill>
            </c:spPr>
          </c:dPt>
          <c:dPt>
            <c:idx val="5"/>
            <c:bubble3D val="0"/>
            <c:spPr bwMode="auto">
              <a:prstGeom prst="rect">
                <a:avLst/>
              </a:prstGeom>
              <a:solidFill>
                <a:srgbClr val="96C8BE"/>
              </a:solidFill>
            </c:spPr>
          </c:dPt>
          <c:dPt>
            <c:idx val="6"/>
            <c:bubble3D val="0"/>
            <c:spPr bwMode="auto">
              <a:prstGeom prst="rect">
                <a:avLst/>
              </a:prstGeom>
              <a:solidFill>
                <a:srgbClr val="4A66AC">
                  <a:lumMod val="60000"/>
                  <a:lumOff val="40000"/>
                </a:srgbClr>
              </a:solidFill>
            </c:spPr>
          </c:dPt>
          <c:dPt>
            <c:idx val="7"/>
            <c:bubble3D val="0"/>
            <c:spPr bwMode="auto">
              <a:prstGeom prst="rect">
                <a:avLst/>
              </a:prstGeom>
              <a:solidFill>
                <a:srgbClr val="CA4A5C"/>
              </a:solidFill>
            </c:spPr>
          </c:dPt>
          <c:dPt>
            <c:idx val="8"/>
            <c:bubble3D val="0"/>
            <c:spPr bwMode="auto">
              <a:prstGeom prst="rect">
                <a:avLst/>
              </a:prstGeom>
              <a:solidFill>
                <a:srgbClr val="93A96B"/>
              </a:solidFill>
            </c:spPr>
          </c:dPt>
          <c:dLbls>
            <c:showBubbleSize val="0"/>
            <c:showCatName val="0"/>
            <c:showLeaderLines val="1"/>
            <c:showLegendKey val="0"/>
            <c:showPercent val="0"/>
            <c:showSerName val="0"/>
            <c:showVal val="1"/>
            <c:txPr>
              <a:bodyPr/>
              <a:lstStyle/>
              <a:p>
                <a:pPr>
                  <a:defRPr sz="1000"/>
                </a:pPr>
                <a:endParaRPr lang="ru-RU"/>
              </a:p>
            </c:txPr>
          </c:dLbls>
          <c:cat>
            <c:strRef>
              <c:f xml:space="preserve">'По большим долям июнь '!$A$4:$A$11</c:f>
              <c:strCache>
                <c:ptCount val="8"/>
                <c:pt idx="0">
                  <c:v xml:space="preserve">Раздел G
Торговля оптовая и розничная; ремонт автотранспортных средств и мотоциклов</c:v>
                </c:pt>
                <c:pt idx="1">
                  <c:v xml:space="preserve">Раздел H
Транспортировка и хранение</c:v>
                </c:pt>
                <c:pt idx="2">
                  <c:v xml:space="preserve">Раздел F
Строительство</c:v>
                </c:pt>
                <c:pt idx="3">
                  <c:v xml:space="preserve">Раздел M
Деятельность профессиональная, научная и техническая</c:v>
                </c:pt>
                <c:pt idx="4">
                  <c:v xml:space="preserve">Раздел C
Обрабатывающие производства</c:v>
                </c:pt>
                <c:pt idx="5">
                  <c:v xml:space="preserve">Раздел L
Деятельность по операциям с недвижимым имуществом</c:v>
                </c:pt>
                <c:pt idx="6">
                  <c:v xml:space="preserve">Раздел S
Предоставление прочих видов услуг</c:v>
                </c:pt>
                <c:pt idx="7">
                  <c:v xml:space="preserve">Раздел J
Деятельность в области информации и связи</c:v>
                </c:pt>
              </c:strCache>
            </c:strRef>
          </c:cat>
          <c:val>
            <c:numRef>
              <c:f xml:space="preserve">'По большим долям июнь '!$E$4:$E$12</c:f>
              <c:numCache>
                <c:formatCode>0.00</c:formatCode>
                <c:ptCount val="9"/>
                <c:pt idx="0">
                  <c:v>32.115226746934006</c:v>
                </c:pt>
                <c:pt idx="1">
                  <c:v>10.363441876663599</c:v>
                </c:pt>
                <c:pt idx="2">
                  <c:v>8.868379810443045</c:v>
                </c:pt>
                <c:pt idx="3">
                  <c:v>8.582303042364238</c:v>
                </c:pt>
                <c:pt idx="4">
                  <c:v>7.771337595462574</c:v>
                </c:pt>
                <c:pt idx="5">
                  <c:v>7.45789696261101</c:v>
                </c:pt>
                <c:pt idx="6">
                  <c:v>4.970272892360506</c:v>
                </c:pt>
                <c:pt idx="7">
                  <c:v>4.378218363640887</c:v>
                </c:pt>
                <c:pt idx="8">
                  <c:v>15.49292270952013</c:v>
                </c:pt>
              </c:numCache>
            </c:numRef>
          </c:val>
        </c:ser>
        <c:dLbls>
          <c:showBubbleSize val="0"/>
          <c:showCatName val="0"/>
          <c:showLeaderLines val="1"/>
          <c:showLegendKey val="0"/>
          <c:showPercent val="0"/>
          <c:showSerName val="0"/>
          <c:showVal val="0"/>
        </c:dLbls>
        <c:firstSliceAng val="0"/>
        <c:holeSize val="50"/>
      </c:doughnutChart>
    </c:plotArea>
    <c:legend>
      <c:legendPos val="r"/>
      <c:layout>
        <c:manualLayout>
          <c:xMode val="edge"/>
          <c:yMode val="edge"/>
          <c:x val="0.353591"/>
          <c:y val="0.026444"/>
          <c:w val="0.644694"/>
          <c:h val="0.961746"/>
        </c:manualLayout>
      </c:layout>
      <c:overlay val="0"/>
      <c:txPr>
        <a:bodyPr/>
        <a:lstStyle/>
        <a:p>
          <a:pPr>
            <a:defRPr sz="1000"/>
          </a:pPr>
          <a:endParaRPr lang="ru-RU"/>
        </a:p>
      </c:txPr>
    </c:legend>
    <c:plotVisOnly val="1"/>
    <c:dispBlanksAs val="gap"/>
    <c:showDLblsOverMax val="0"/>
  </c:chart>
  <c:spPr bwMode="auto">
    <a:prstGeom prst="rect">
      <a:avLst/>
    </a:prstGeom>
    <a:ln>
      <a:noFill/>
    </a:ln>
  </c:spPr>
  <c:txPr>
    <a:bodyPr/>
    <a:lstStyle/>
    <a:p>
      <a:pPr>
        <a:defRPr sz="800">
          <a:latin typeface="PT Astra Serif"/>
          <a:ea typeface="PT Astra Serif"/>
        </a:defRPr>
      </a:pPr>
      <a:endParaRPr lang="ru-RU"/>
    </a:p>
  </c:txPr>
  <c:externalData r:id="rId3">
    <c:autoUpdate val="0"/>
  </c:externalData>
  <c:userShapes xmlns:c="http://schemas.openxmlformats.org/drawingml/2006/chart" xmlns:a="http://schemas.openxmlformats.org/drawingml/2006/main" xmlns:r="http://schemas.openxmlformats.org/officeDocument/2006/relationships" xmlns:mc="http://schemas.openxmlformats.org/markup-compatibility/2006" xmlns:c14="http://schemas.microsoft.com/office/drawing/2007/8/2/chart" r:id="rId1"/>
</c:chartSpace>
</file>

<file path=word/charts/chart13.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ru-RU"/>
  <c:roundedCorners val="0"/>
  <mc:AlternateContent>
    <mc:Choice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0968"/>
          <c:y val="0.021964"/>
          <c:w val="0.563562"/>
          <c:h val="0.671081"/>
        </c:manualLayout>
      </c:layout>
      <c:doughnutChart>
        <c:varyColors val="1"/>
        <c:ser>
          <c:idx val="0"/>
          <c:order val="0"/>
          <c:spPr bwMode="auto">
            <a:prstGeom prst="rect">
              <a:avLst/>
            </a:prstGeom>
            <a:solidFill>
              <a:srgbClr val="F79646">
                <a:lumMod val="40000"/>
                <a:lumOff val="60000"/>
              </a:srgbClr>
            </a:solidFill>
            <a:ln w="12360">
              <a:solidFill>
                <a:srgbClr val="000000"/>
              </a:solidFill>
              <a:prstDash val="solid"/>
            </a:ln>
          </c:spPr>
          <c:dPt>
            <c:idx val="0"/>
            <c:bubble3D val="0"/>
            <c:spPr bwMode="auto">
              <a:prstGeom prst="rect">
                <a:avLst/>
              </a:prstGeom>
              <a:solidFill>
                <a:srgbClr val="9BBB59">
                  <a:lumMod val="60000"/>
                  <a:lumOff val="40000"/>
                </a:srgbClr>
              </a:solidFill>
              <a:ln w="12360">
                <a:noFill/>
                <a:prstDash val="solid"/>
              </a:ln>
            </c:spPr>
          </c:dPt>
          <c:dPt>
            <c:idx val="1"/>
            <c:bubble3D val="0"/>
            <c:spPr bwMode="auto">
              <a:prstGeom prst="rect">
                <a:avLst/>
              </a:prstGeom>
              <a:solidFill>
                <a:srgbClr val="4F81BD">
                  <a:lumMod val="60000"/>
                  <a:lumOff val="40000"/>
                </a:srgbClr>
              </a:solidFill>
              <a:ln w="12360">
                <a:noFill/>
                <a:prstDash val="solid"/>
              </a:ln>
            </c:spPr>
          </c:dPt>
          <c:dPt>
            <c:idx val="2"/>
            <c:bubble3D val="0"/>
            <c:spPr bwMode="auto">
              <a:prstGeom prst="rect">
                <a:avLst/>
              </a:prstGeom>
              <a:solidFill>
                <a:sysClr val="window" lastClr="ffffff">
                  <a:lumMod val="50000"/>
                </a:sysClr>
              </a:solidFill>
              <a:ln w="12360">
                <a:noFill/>
                <a:prstDash val="solid"/>
              </a:ln>
            </c:spPr>
          </c:dPt>
          <c:dLbls>
            <c:dLbl>
              <c:idx val="0"/>
              <c:layout>
                <c:manualLayout>
                  <c:x val="-0.018875"/>
                  <c:y val="-0.041618"/>
                </c:manualLayout>
              </c:layout>
              <c:showBubbleSize val="0"/>
              <c:showCatName val="0"/>
              <c:showLegendKey val="0"/>
              <c:showPercent val="0"/>
              <c:showSerName val="0"/>
              <c:showVal val="1"/>
              <c:tx>
                <c:rich>
                  <a:bodyPr/>
                  <a:lstStyle/>
                  <a:p>
                    <a:pPr>
                      <a:defRPr/>
                    </a:pPr>
                    <a:r>
                      <a:rPr lang="en-US" sz="1000">
                        <a:solidFill>
                          <a:sysClr val="windowText" lastClr="000000"/>
                        </a:solidFill>
                        <a:latin typeface="PT Astra Serif"/>
                        <a:ea typeface="PT Astra Serif"/>
                      </a:rPr>
                      <a:t>35,</a:t>
                    </a:r>
                    <a:r>
                      <a:rPr lang="ru-RU" sz="1000">
                        <a:solidFill>
                          <a:sysClr val="windowText" lastClr="000000"/>
                        </a:solidFill>
                        <a:latin typeface="PT Astra Serif"/>
                        <a:ea typeface="PT Astra Serif"/>
                      </a:rPr>
                      <a:t>0</a:t>
                    </a:r>
                    <a:r>
                      <a:rPr lang="en-US" sz="1000">
                        <a:solidFill>
                          <a:sysClr val="windowText" lastClr="000000"/>
                        </a:solidFill>
                        <a:latin typeface="PT Astra Serif"/>
                        <a:ea typeface="PT Astra Serif"/>
                      </a:rPr>
                      <a:t>%</a:t>
                    </a:r>
                    <a:endParaRPr lang="en-US" sz="1000">
                      <a:latin typeface="PT Astra Serif"/>
                      <a:ea typeface="PT Astra Serif"/>
                    </a:endParaRPr>
                  </a:p>
                </c:rich>
              </c:tx>
            </c:dLbl>
            <c:dLbl>
              <c:idx val="1"/>
              <c:layout>
                <c:manualLayout>
                  <c:x val="0.026505"/>
                  <c:y val="-0.000192"/>
                </c:manualLayout>
              </c:layout>
              <c:showBubbleSize val="0"/>
              <c:showCatName val="0"/>
              <c:showLegendKey val="0"/>
              <c:showPercent val="0"/>
              <c:showSerName val="0"/>
              <c:showVal val="1"/>
              <c:spPr bwMode="auto"/>
              <c:txPr>
                <a:bodyPr/>
                <a:lstStyle/>
                <a:p>
                  <a:pPr>
                    <a:defRPr sz="1000" b="1" i="0">
                      <a:solidFill>
                        <a:sysClr val="windowText" lastClr="000000"/>
                      </a:solidFill>
                      <a:latin typeface="PT Astra Serif"/>
                      <a:ea typeface="PT Astra Serif"/>
                    </a:defRPr>
                  </a:pPr>
                  <a:endParaRPr lang="ru-RU"/>
                </a:p>
              </c:txPr>
            </c:dLbl>
            <c:dLbl>
              <c:idx val="2"/>
              <c:layout>
                <c:manualLayout>
                  <c:x val="0.002117"/>
                  <c:y val="-0.005142"/>
                </c:manualLayout>
              </c:layout>
              <c:showBubbleSize val="0"/>
              <c:showCatName val="0"/>
              <c:showLegendKey val="0"/>
              <c:showPercent val="0"/>
              <c:showSerName val="0"/>
              <c:showVal val="1"/>
              <c:spPr bwMode="auto"/>
              <c:txPr>
                <a:bodyPr/>
                <a:lstStyle/>
                <a:p>
                  <a:pPr>
                    <a:defRPr sz="1000" b="1" i="0">
                      <a:solidFill>
                        <a:sysClr val="windowText" lastClr="000000"/>
                      </a:solidFill>
                      <a:latin typeface="PT Astra Serif"/>
                      <a:ea typeface="PT Astra Serif"/>
                    </a:defRPr>
                  </a:pPr>
                  <a:endParaRPr lang="ru-RU"/>
                </a:p>
              </c:txPr>
            </c:dLbl>
            <c:showBubbleSize val="0"/>
            <c:showCatName val="0"/>
            <c:showLeaderLines val="1"/>
            <c:showLegendKey val="0"/>
            <c:showPercent val="0"/>
            <c:showSerName val="0"/>
            <c:showVal val="1"/>
            <c:txPr>
              <a:bodyPr/>
              <a:lstStyle/>
              <a:p>
                <a:pPr>
                  <a:defRPr sz="1200" b="1" i="0">
                    <a:solidFill>
                      <a:sysClr val="windowText" lastClr="000000"/>
                    </a:solidFill>
                    <a:latin typeface="Times New Roman"/>
                  </a:defRPr>
                </a:pPr>
                <a:endParaRPr lang="ru-RU"/>
              </a:p>
            </c:txPr>
          </c:dLbls>
          <c:cat>
            <c:strRef>
              <c:f xml:space="preserve">'[Диаграмма в Microsoft Word]строительство'!$A$46:$A$48</c:f>
              <c:strCache>
                <c:ptCount val="3"/>
                <c:pt idx="0">
                  <c:v xml:space="preserve">Строительство зданий</c:v>
                </c:pt>
                <c:pt idx="1">
                  <c:v xml:space="preserve">Строительство инженерных сооружений</c:v>
                </c:pt>
                <c:pt idx="2">
                  <c:v xml:space="preserve">Работы строительные специализированные</c:v>
                </c:pt>
              </c:strCache>
            </c:strRef>
          </c:cat>
          <c:val>
            <c:numRef>
              <c:f xml:space="preserve">'[Диаграмма в Microsoft Word]строительство'!$B$46:$B$48</c:f>
              <c:numCache>
                <c:formatCode>0.0%</c:formatCode>
                <c:ptCount val="3"/>
                <c:pt idx="0">
                  <c:v>0.3505002293150548</c:v>
                </c:pt>
                <c:pt idx="1">
                  <c:v>0.49551908490332747</c:v>
                </c:pt>
                <c:pt idx="2">
                  <c:v>0.1539806857816178</c:v>
                </c:pt>
              </c:numCache>
            </c:numRef>
          </c:val>
        </c:ser>
        <c:dLbls>
          <c:showBubbleSize val="0"/>
          <c:showCatName val="0"/>
          <c:showLeaderLines val="1"/>
          <c:showLegendKey val="0"/>
          <c:showPercent val="0"/>
          <c:showSerName val="0"/>
          <c:showVal val="0"/>
        </c:dLbls>
        <c:firstSliceAng val="0"/>
        <c:holeSize val="50"/>
      </c:doughnutChart>
    </c:plotArea>
    <c:legend>
      <c:legendPos val="t"/>
      <c:layout>
        <c:manualLayout>
          <c:xMode val="edge"/>
          <c:yMode val="edge"/>
          <c:x val="0.046135"/>
          <c:y val="0.696749"/>
          <c:w val="0.931728"/>
          <c:h val="0.254372"/>
        </c:manualLayout>
      </c:layout>
      <c:overlay val="0"/>
      <c:txPr>
        <a:bodyPr/>
        <a:lstStyle/>
        <a:p>
          <a:pPr>
            <a:defRPr sz="1000" b="0" i="0" u="none" strike="noStrike">
              <a:solidFill>
                <a:sysClr val="windowText" lastClr="000000"/>
              </a:solidFill>
              <a:latin typeface="Times New Roman"/>
              <a:ea typeface="Times New Roman"/>
              <a:cs typeface="Times New Roman"/>
            </a:defRPr>
          </a:pPr>
          <a:endParaRPr lang="ru-RU"/>
        </a:p>
      </c:txPr>
    </c:legend>
    <c:plotVisOnly val="1"/>
    <c:dispBlanksAs val="zero"/>
    <c:showDLblsOverMax val="0"/>
  </c:chart>
  <c:spPr bwMode="auto">
    <a:prstGeom prst="rect">
      <a:avLst/>
    </a:prstGeom>
    <a:solidFill>
      <a:srgbClr val="FFFFFF"/>
    </a:solidFill>
    <a:ln>
      <a:noFill/>
    </a:ln>
  </c:spPr>
  <c:txPr>
    <a:bodyPr/>
    <a:lstStyle/>
    <a:p>
      <a:pPr>
        <a:defRPr sz="800" b="0" i="0" u="none" strike="noStrike">
          <a:solidFill>
            <a:srgbClr val="000000"/>
          </a:solidFill>
          <a:latin typeface="Arial Cyr"/>
          <a:ea typeface="Arial Cyr"/>
          <a:cs typeface="Arial Cyr"/>
        </a:defRPr>
      </a:pPr>
      <a:endParaRPr lang="ru-RU"/>
    </a:p>
  </c:txPr>
  <c:externalData r:id="rId2">
    <c:autoUpdate val="0"/>
  </c:externalData>
</c:chartSpace>
</file>

<file path=word/drawings/_rels/.rels><?xml version="1.0" encoding="UTF-8" standalone="yes"?><Relationships xmlns="http://schemas.openxmlformats.org/package/2006/relationships"></Relationships>
</file>

<file path=word/drawings/drawing1.xml><?xml version="1.0" encoding="utf-8"?>
<c:userShapes xmlns:c="http://schemas.openxmlformats.org/drawingml/2006/chart" xmlns:cdr="http://schemas.openxmlformats.org/drawingml/2006/chartDrawing" xmlns:a="http://schemas.openxmlformats.org/drawingml/2006/main" xmlns:r="http://schemas.openxmlformats.org/officeDocument/2006/relationships">
  <cdr:relSizeAnchor>
    <cdr:from>
      <cdr:x>0.33878999999999998</cdr:x>
      <cdr:y>0.27273999999999998</cdr:y>
    </cdr:from>
    <cdr:to>
      <cdr:x>0.70155999999999996</cdr:x>
      <cdr:y>0.52959000000000001</cdr:y>
    </cdr:to>
    <cdr:sp>
      <cdr:nvSpPr>
        <cdr:cNvPr id="2" name="Надпись 2"/>
        <cdr:cNvSpPr txBox="1">
          <a:spLocks noChangeArrowheads="1"/>
        </cdr:cNvSpPr>
      </cdr:nvSpPr>
      <cdr:spPr bwMode="auto">
        <a:xfrm>
          <a:off x="848694" y="505195"/>
          <a:ext cx="908766" cy="475771"/>
        </a:xfrm>
        <a:prstGeom prst="rect">
          <a:avLst/>
        </a:prstGeom>
        <a:noFill/>
        <a:ln w="9525">
          <a:noFill/>
          <a:miter lim="800000"/>
          <a:headEnd/>
          <a:tailEnd/>
        </a:ln>
      </cdr:spPr>
      <cdr:txBody>
        <a:bodyPr rot="0" vert="horz" wrap="square" lIns="91440" tIns="45720" rIns="91440" bIns="45720" anchor="t" anchorCtr="0">
          <a:spAutoFit/>
        </a:bodyPr>
        <a:lstStyle/>
        <a:p>
          <a:pPr algn="ctr">
            <a:defRPr/>
          </a:pPr>
          <a:r>
            <a:rPr lang="ru-RU" sz="1600" b="1">
              <a:solidFill>
                <a:schemeClr val="bg1"/>
              </a:solidFill>
              <a:latin typeface="PT Astra Serif"/>
              <a:ea typeface="PT Astra Serif"/>
            </a:rPr>
            <a:t>9 573</a:t>
          </a:r>
          <a:endParaRPr lang="ru-RU" sz="1600" b="1">
            <a:solidFill>
              <a:schemeClr val="bg1"/>
            </a:solidFill>
            <a:latin typeface="PT Astra Serif"/>
            <a:ea typeface="PT Astra Serif"/>
          </a:endParaRPr>
        </a:p>
        <a:p>
          <a:pPr algn="ctr">
            <a:defRPr/>
          </a:pPr>
          <a:r>
            <a:rPr lang="ru-RU" sz="1000" b="1">
              <a:solidFill>
                <a:schemeClr val="bg1"/>
              </a:solidFill>
              <a:latin typeface="PT Astra Serif"/>
              <a:ea typeface="PT Astra Serif"/>
            </a:rPr>
            <a:t>37,0%</a:t>
          </a:r>
          <a:endParaRPr lang="ru-RU" sz="1000" b="1">
            <a:solidFill>
              <a:schemeClr val="bg1"/>
            </a:solidFill>
            <a:latin typeface="PT Astra Serif"/>
            <a:ea typeface="PT Astra Serif"/>
          </a:endParaRPr>
        </a:p>
      </cdr:txBody>
    </cdr:sp>
  </cdr:relSizeAnchor>
  <cdr:relSizeAnchor>
    <cdr:from>
      <cdr:x>0.15740999999999999</cdr:x>
      <cdr:y>0.55123999999999995</cdr:y>
    </cdr:from>
    <cdr:to>
      <cdr:x>0.52019000000000004</cdr:x>
      <cdr:y>0.80808999999999997</cdr:y>
    </cdr:to>
    <cdr:sp>
      <cdr:nvSpPr>
        <cdr:cNvPr id="3" name="Надпись 2"/>
        <cdr:cNvSpPr txBox="1">
          <a:spLocks noChangeArrowheads="1"/>
        </cdr:cNvSpPr>
      </cdr:nvSpPr>
      <cdr:spPr bwMode="auto">
        <a:xfrm>
          <a:off x="394324" y="1021058"/>
          <a:ext cx="908791" cy="475771"/>
        </a:xfrm>
        <a:prstGeom prst="rect">
          <a:avLst/>
        </a:prstGeom>
        <a:noFill/>
        <a:ln w="9525">
          <a:noFill/>
          <a:miter lim="800000"/>
          <a:headEnd/>
          <a:tailEnd/>
        </a:ln>
      </cdr:spPr>
      <cdr:txBody>
        <a:bodyPr rot="0" vert="horz" wrap="square" lIns="91440" tIns="45720" rIns="91440" bIns="45720" anchor="t" anchorCtr="0">
          <a:spAutoFit/>
        </a:bodyPr>
        <a:lstStyle/>
        <a:p>
          <a:pPr algn="ctr">
            <a:defRPr/>
          </a:pPr>
          <a:r>
            <a:rPr lang="ru-RU" sz="1600" b="1">
              <a:solidFill>
                <a:schemeClr val="bg1"/>
              </a:solidFill>
              <a:latin typeface="PT Astra Serif"/>
              <a:ea typeface="PT Astra Serif"/>
            </a:rPr>
            <a:t>9 224</a:t>
          </a:r>
          <a:endParaRPr/>
        </a:p>
        <a:p>
          <a:pPr algn="ctr">
            <a:defRPr/>
          </a:pPr>
          <a:r>
            <a:rPr lang="ru-RU" sz="1000" b="1">
              <a:solidFill>
                <a:schemeClr val="bg1"/>
              </a:solidFill>
              <a:latin typeface="PT Astra Serif"/>
              <a:ea typeface="PT Astra Serif"/>
            </a:rPr>
            <a:t>35,7%</a:t>
          </a:r>
          <a:endParaRPr/>
        </a:p>
      </cdr:txBody>
    </cdr:sp>
  </cdr:relSizeAnchor>
  <cdr:relSizeAnchor>
    <cdr:from>
      <cdr:x>0.17623</cdr:x>
      <cdr:y>5.3987099999999995e-07</cdr:y>
    </cdr:from>
    <cdr:to>
      <cdr:x>0.22536</cdr:x>
      <cdr:y>0.077270000000000005</cdr:y>
    </cdr:to>
    <cdr:cxnSp>
      <cdr:nvCxnSpPr>
        <cdr:cNvPr id="4" name="Прямая соединительная линия 3"/>
        <cdr:cNvCxnSpPr>
          <a:cxnSpLocks/>
        </cdr:cNvCxnSpPr>
      </cdr:nvCxnSpPr>
      <cdr:spPr bwMode="auto">
        <a:xfrm flipH="1" flipV="1">
          <a:off x="441463" y="1"/>
          <a:ext cx="123079" cy="143122"/>
        </a:xfrm>
        <a:prstGeom prst="line">
          <a:avLst/>
        </a:prstGeom>
        <a:ln w="9525">
          <a:solidFill>
            <a:schemeClr val="accent3"/>
          </a:solidFill>
        </a:ln>
      </cdr:spPr>
      <cdr:style>
        <a:lnRef idx="1">
          <a:schemeClr val="accent1"/>
        </a:lnRef>
        <a:fillRef idx="0">
          <a:schemeClr val="accent1"/>
        </a:fillRef>
        <a:effectRef idx="0">
          <a:schemeClr val="accent1"/>
        </a:effectRef>
        <a:fontRef idx="minor">
          <a:schemeClr val="tx1"/>
        </a:fontRef>
      </cdr:style>
    </cdr:cxnSp>
  </cdr:relSizeAnchor>
</c:userShapes>
</file>

<file path=word/drawings/drawing2.xml><?xml version="1.0" encoding="utf-8"?>
<c:userShapes xmlns:c="http://schemas.openxmlformats.org/drawingml/2006/chart" xmlns:cdr="http://schemas.openxmlformats.org/drawingml/2006/chartDrawing" xmlns:a="http://schemas.openxmlformats.org/drawingml/2006/main" xmlns:r="http://schemas.openxmlformats.org/officeDocument/2006/relationships">
  <cdr:relSizeAnchor>
    <cdr:from>
      <cdr:x>0.82862999999999998</cdr:x>
      <cdr:y>0.10797</cdr:y>
    </cdr:from>
    <cdr:to>
      <cdr:x>0.95957000000000003</cdr:x>
      <cdr:y>0.24990999999999999</cdr:y>
    </cdr:to>
    <cdr:cxnSp>
      <cdr:nvCxnSpPr>
        <cdr:cNvPr id="6" name="Прямая соединительная линия 5"/>
        <cdr:cNvCxnSpPr>
          <a:cxnSpLocks/>
        </cdr:cNvCxnSpPr>
      </cdr:nvCxnSpPr>
      <cdr:spPr bwMode="auto">
        <a:xfrm flipV="1">
          <a:off x="1908974" y="210272"/>
          <a:ext cx="301657" cy="276435"/>
        </a:xfrm>
        <a:prstGeom prst="line">
          <a:avLst/>
        </a:prstGeom>
        <a:ln>
          <a:solidFill>
            <a:schemeClr val="accent3"/>
          </a:solidFill>
        </a:ln>
      </cdr:spPr>
      <cdr:style>
        <a:lnRef idx="1">
          <a:schemeClr val="accent1"/>
        </a:lnRef>
        <a:fillRef idx="0">
          <a:schemeClr val="accent1"/>
        </a:fillRef>
        <a:effectRef idx="0">
          <a:schemeClr val="accent1"/>
        </a:effectRef>
        <a:fontRef idx="minor">
          <a:schemeClr val="tx1"/>
        </a:fontRef>
      </cdr:style>
    </cdr:cxnSp>
  </cdr:relSizeAnchor>
  <cdr:relSizeAnchor>
    <cdr:from>
      <cdr:x>0.56355999999999995</cdr:x>
      <cdr:y>0.29196</cdr:y>
    </cdr:from>
    <cdr:to>
      <cdr:x>0.92634000000000005</cdr:x>
      <cdr:y>0.53625999999999996</cdr:y>
    </cdr:to>
    <cdr:sp>
      <cdr:nvSpPr>
        <cdr:cNvPr id="3" name="Надпись 2"/>
        <cdr:cNvSpPr txBox="1">
          <a:spLocks noChangeArrowheads="1"/>
        </cdr:cNvSpPr>
      </cdr:nvSpPr>
      <cdr:spPr bwMode="auto">
        <a:xfrm>
          <a:off x="1298315" y="568611"/>
          <a:ext cx="835765" cy="475771"/>
        </a:xfrm>
        <a:prstGeom prst="rect">
          <a:avLst/>
        </a:prstGeom>
        <a:noFill/>
        <a:ln w="9525">
          <a:noFill/>
          <a:miter lim="800000"/>
          <a:headEnd/>
          <a:tailEnd/>
        </a:ln>
      </cdr:spPr>
      <cdr:txBody>
        <a:bodyPr rot="0" vert="horz" wrap="square" lIns="91440" tIns="45720" rIns="91440" bIns="45720" anchor="t" anchorCtr="0">
          <a:spAutoFit/>
        </a:bodyPr>
        <a:lstStyle/>
        <a:p>
          <a:pPr algn="ctr">
            <a:defRPr/>
          </a:pPr>
          <a:r>
            <a:rPr lang="ru-RU" sz="1600" b="1">
              <a:solidFill>
                <a:schemeClr val="bg1"/>
              </a:solidFill>
              <a:latin typeface="PT Astra Serif"/>
              <a:ea typeface="PT Astra Serif"/>
            </a:rPr>
            <a:t>9 135</a:t>
          </a:r>
          <a:endParaRPr/>
        </a:p>
        <a:p>
          <a:pPr algn="ctr">
            <a:defRPr/>
          </a:pPr>
          <a:r>
            <a:rPr lang="ru-RU" sz="1000" b="1">
              <a:solidFill>
                <a:schemeClr val="bg1"/>
              </a:solidFill>
              <a:latin typeface="PT Astra Serif"/>
              <a:ea typeface="PT Astra Serif"/>
            </a:rPr>
            <a:t>29,7%</a:t>
          </a:r>
          <a:endParaRPr/>
        </a:p>
      </cdr:txBody>
    </cdr:sp>
  </cdr:relSizeAnchor>
  <cdr:relSizeAnchor>
    <cdr:from>
      <cdr:x>0.24143000000000001</cdr:x>
      <cdr:y>0.28000999999999998</cdr:y>
    </cdr:from>
    <cdr:to>
      <cdr:x>0.60421000000000002</cdr:x>
      <cdr:y>0.52429999999999999</cdr:y>
    </cdr:to>
    <cdr:sp>
      <cdr:nvSpPr>
        <cdr:cNvPr id="4" name="Надпись 2"/>
        <cdr:cNvSpPr txBox="1">
          <a:spLocks noChangeArrowheads="1"/>
        </cdr:cNvSpPr>
      </cdr:nvSpPr>
      <cdr:spPr bwMode="auto">
        <a:xfrm>
          <a:off x="556196" y="545324"/>
          <a:ext cx="835765" cy="475771"/>
        </a:xfrm>
        <a:prstGeom prst="rect">
          <a:avLst/>
        </a:prstGeom>
        <a:noFill/>
        <a:ln w="9525">
          <a:noFill/>
          <a:miter lim="800000"/>
          <a:headEnd/>
          <a:tailEnd/>
        </a:ln>
      </cdr:spPr>
      <cdr:txBody>
        <a:bodyPr rot="0" vert="horz" wrap="square" lIns="91440" tIns="45720" rIns="91440" bIns="45720" anchor="t" anchorCtr="0">
          <a:spAutoFit/>
        </a:bodyPr>
        <a:lstStyle/>
        <a:p>
          <a:pPr algn="ctr">
            <a:defRPr/>
          </a:pPr>
          <a:r>
            <a:rPr lang="ru-RU" sz="1600" b="1">
              <a:solidFill>
                <a:schemeClr val="bg1"/>
              </a:solidFill>
              <a:latin typeface="PT Astra Serif"/>
              <a:ea typeface="PT Astra Serif"/>
            </a:rPr>
            <a:t>9 573</a:t>
          </a:r>
          <a:endParaRPr/>
        </a:p>
        <a:p>
          <a:pPr algn="ctr">
            <a:defRPr/>
          </a:pPr>
          <a:r>
            <a:rPr lang="ru-RU" sz="1000" b="1">
              <a:solidFill>
                <a:schemeClr val="bg1"/>
              </a:solidFill>
              <a:latin typeface="PT Astra Serif"/>
              <a:ea typeface="PT Astra Serif"/>
            </a:rPr>
            <a:t>31,2%</a:t>
          </a:r>
          <a:endParaRPr/>
        </a:p>
      </cdr:txBody>
    </cdr:sp>
  </cdr:relSizeAnchor>
  <cdr:relSizeAnchor>
    <cdr:from>
      <cdr:x>0.41061999999999999</cdr:x>
      <cdr:y>0.61041999999999996</cdr:y>
    </cdr:from>
    <cdr:to>
      <cdr:x>0.77339999999999998</cdr:x>
      <cdr:y>0.85470999999999997</cdr:y>
    </cdr:to>
    <cdr:sp>
      <cdr:nvSpPr>
        <cdr:cNvPr id="5" name="Надпись 2"/>
        <cdr:cNvSpPr txBox="1">
          <a:spLocks noChangeArrowheads="1"/>
        </cdr:cNvSpPr>
      </cdr:nvSpPr>
      <cdr:spPr bwMode="auto">
        <a:xfrm>
          <a:off x="945978" y="1188820"/>
          <a:ext cx="835765" cy="475771"/>
        </a:xfrm>
        <a:prstGeom prst="rect">
          <a:avLst/>
        </a:prstGeom>
        <a:noFill/>
        <a:ln w="9525">
          <a:noFill/>
          <a:miter lim="800000"/>
          <a:headEnd/>
          <a:tailEnd/>
        </a:ln>
      </cdr:spPr>
      <cdr:txBody>
        <a:bodyPr rot="0" vert="horz" wrap="square" lIns="91440" tIns="45720" rIns="91440" bIns="45720" anchor="t" anchorCtr="0">
          <a:spAutoFit/>
        </a:bodyPr>
        <a:lstStyle/>
        <a:p>
          <a:pPr algn="ctr">
            <a:defRPr/>
          </a:pPr>
          <a:r>
            <a:rPr lang="ru-RU" sz="1600" b="1">
              <a:solidFill>
                <a:schemeClr val="bg1"/>
              </a:solidFill>
              <a:latin typeface="PT Astra Serif"/>
              <a:ea typeface="PT Astra Serif"/>
            </a:rPr>
            <a:t>11 999</a:t>
          </a:r>
          <a:endParaRPr/>
        </a:p>
        <a:p>
          <a:pPr algn="ctr">
            <a:defRPr/>
          </a:pPr>
          <a:r>
            <a:rPr lang="ru-RU" sz="1000" b="1">
              <a:solidFill>
                <a:schemeClr val="bg1"/>
              </a:solidFill>
              <a:latin typeface="PT Astra Serif"/>
              <a:ea typeface="PT Astra Serif"/>
            </a:rPr>
            <a:t>39,1%</a:t>
          </a:r>
          <a:endParaRPr/>
        </a:p>
      </cdr:txBody>
    </cdr:sp>
  </cdr:relSizeAnchor>
</c:userShapes>
</file>

<file path=word/drawings/drawing3.xml><?xml version="1.0" encoding="utf-8"?>
<c:userShapes xmlns:c="http://schemas.openxmlformats.org/drawingml/2006/chart" xmlns:cdr="http://schemas.openxmlformats.org/drawingml/2006/chartDrawing" xmlns:a="http://schemas.openxmlformats.org/drawingml/2006/main" xmlns:r="http://schemas.openxmlformats.org/officeDocument/2006/relationships">
  <cdr:relSizeAnchor>
    <cdr:from>
      <cdr:x>0.89936000000000005</cdr:x>
      <cdr:y>0.92832999999999999</cdr:y>
    </cdr:from>
    <cdr:to>
      <cdr:x>0.98306000000000004</cdr:x>
      <cdr:y>1</cdr:y>
    </cdr:to>
    <cdr:sp>
      <cdr:nvSpPr>
        <cdr:cNvPr id="3" name="Надпись 2"/>
        <cdr:cNvSpPr txBox="1">
          <a:spLocks noChangeArrowheads="1"/>
        </cdr:cNvSpPr>
      </cdr:nvSpPr>
      <cdr:spPr bwMode="auto">
        <a:xfrm>
          <a:off x="5799455" y="4118776"/>
          <a:ext cx="539750" cy="317970"/>
        </a:xfrm>
        <a:prstGeom prst="rect">
          <a:avLst/>
        </a:prstGeom>
        <a:noFill/>
        <a:ln w="9525">
          <a:noFill/>
          <a:miter lim="800000"/>
          <a:headEnd/>
          <a:tailEnd/>
        </a:ln>
      </cdr:spPr>
    </cdr:sp>
  </cdr:relSizeAnchor>
  <cdr:relSizeAnchor>
    <cdr:from>
      <cdr:x>0.72626999999999997</cdr:x>
      <cdr:y>0.41321000000000002</cdr:y>
    </cdr:from>
    <cdr:to>
      <cdr:x>0.85697999999999996</cdr:x>
      <cdr:y>0.45340999999999998</cdr:y>
    </cdr:to>
    <cdr:sp>
      <cdr:nvSpPr>
        <cdr:cNvPr id="4" name="Надпись 2"/>
        <cdr:cNvSpPr txBox="1">
          <a:spLocks noChangeArrowheads="1"/>
        </cdr:cNvSpPr>
      </cdr:nvSpPr>
      <cdr:spPr bwMode="auto">
        <a:xfrm>
          <a:off x="4683318" y="2043485"/>
          <a:ext cx="842853" cy="198783"/>
        </a:xfrm>
        <a:prstGeom prst="rect">
          <a:avLst/>
        </a:prstGeom>
        <a:noFill/>
        <a:ln w="9525">
          <a:noFill/>
          <a:miter lim="800000"/>
          <a:headEnd/>
          <a:tailEnd/>
        </a:ln>
      </cdr:spPr>
      <cdr:txBody>
        <a:bodyPr rot="0" vert="horz" wrap="square" lIns="91440" tIns="45720" rIns="91440" bIns="45720" anchor="t" anchorCtr="0">
          <a:noAutofit/>
        </a:bodyPr>
        <a:lstStyle/>
        <a:p>
          <a:pPr>
            <a:defRPr/>
          </a:pPr>
          <a:endParaRPr lang="ru-RU" sz="800">
            <a:latin typeface="PT Astra Serif"/>
            <a:ea typeface="PT Astra Serif"/>
          </a:endParaRPr>
        </a:p>
      </cdr:txBody>
    </cdr:sp>
  </cdr:relSizeAnchor>
  <cdr:relSizeAnchor>
    <cdr:from>
      <cdr:x>0.68405000000000005</cdr:x>
      <cdr:y>0</cdr:y>
    </cdr:from>
    <cdr:to>
      <cdr:x>0.83440999999999999</cdr:x>
      <cdr:y>0.0344</cdr:y>
    </cdr:to>
    <cdr:sp>
      <cdr:nvSpPr>
        <cdr:cNvPr id="7" name="Надпись 2"/>
        <cdr:cNvSpPr txBox="1">
          <a:spLocks noChangeArrowheads="1"/>
        </cdr:cNvSpPr>
      </cdr:nvSpPr>
      <cdr:spPr bwMode="auto">
        <a:xfrm>
          <a:off x="5467544" y="-3745079"/>
          <a:ext cx="1201811" cy="50780"/>
        </a:xfrm>
        <a:prstGeom prst="rect">
          <a:avLst/>
        </a:prstGeom>
        <a:noFill/>
        <a:ln w="9525">
          <a:noFill/>
          <a:miter lim="800000"/>
          <a:headEnd/>
          <a:tailEnd/>
        </a:ln>
      </cdr:spPr>
      <cdr:txBody>
        <a:bodyPr/>
        <a:lstStyle/>
        <a:p>
          <a:pPr>
            <a:defRPr/>
          </a:pPr>
          <a:endParaRPr lang="ru-RU"/>
        </a:p>
      </cdr:txBody>
    </cdr:sp>
  </cdr:relSizeAnchor>
  <cdr:relSizeAnchor>
    <cdr:from>
      <cdr:x>0.85573999999999995</cdr:x>
      <cdr:y>0.95030999999999999</cdr:y>
    </cdr:from>
    <cdr:to>
      <cdr:x>1</cdr:x>
      <cdr:y>1</cdr:y>
    </cdr:to>
    <cdr:sp>
      <cdr:nvSpPr>
        <cdr:cNvPr id="8" name="Надпись 2"/>
        <cdr:cNvSpPr txBox="1">
          <a:spLocks noChangeArrowheads="1"/>
        </cdr:cNvSpPr>
      </cdr:nvSpPr>
      <cdr:spPr bwMode="auto">
        <a:xfrm>
          <a:off x="5799455" y="6618605"/>
          <a:ext cx="930275" cy="245745"/>
        </a:xfrm>
        <a:prstGeom prst="rect">
          <a:avLst/>
        </a:prstGeom>
        <a:noFill/>
        <a:ln w="9525">
          <a:noFill/>
          <a:miter lim="800000"/>
          <a:headEnd/>
          <a:tailEnd/>
        </a:ln>
      </cdr:spPr>
    </cdr:sp>
  </cdr:relSizeAnchor>
  <cdr:relSizeAnchor>
    <cdr:from>
      <cdr:x>0.68557000000000001</cdr:x>
      <cdr:y>0.09325</cdr:y>
    </cdr:from>
    <cdr:to>
      <cdr:x>0.82984000000000002</cdr:x>
      <cdr:y>0.13345000000000001</cdr:y>
    </cdr:to>
    <cdr:sp>
      <cdr:nvSpPr>
        <cdr:cNvPr id="11" name="Надпись 2"/>
        <cdr:cNvSpPr txBox="1">
          <a:spLocks noChangeArrowheads="1"/>
        </cdr:cNvSpPr>
      </cdr:nvSpPr>
      <cdr:spPr bwMode="auto">
        <a:xfrm>
          <a:off x="4420870" y="461176"/>
          <a:ext cx="930275" cy="198782"/>
        </a:xfrm>
        <a:prstGeom prst="rect">
          <a:avLst/>
        </a:prstGeom>
        <a:noFill/>
        <a:ln w="9525">
          <a:noFill/>
          <a:miter lim="800000"/>
          <a:headEnd/>
          <a:tailEnd/>
        </a:ln>
      </cdr:spPr>
      <cdr:txBody>
        <a:bodyPr rot="0" vert="horz" wrap="square" lIns="91440" tIns="45720" rIns="91440" bIns="45720" anchor="t" anchorCtr="0">
          <a:noAutofit/>
        </a:bodyPr>
        <a:lstStyle/>
        <a:p>
          <a:pPr>
            <a:defRPr/>
          </a:pPr>
          <a:endParaRPr lang="ru-RU" sz="800">
            <a:latin typeface="PT Astra Serif"/>
            <a:ea typeface="PT Astra Serif"/>
          </a:endParaRPr>
        </a:p>
      </cdr:txBody>
    </cdr:sp>
  </cdr:relSizeAnchor>
  <cdr:relSizeAnchor>
    <cdr:from>
      <cdr:x>0.71442000000000005</cdr:x>
      <cdr:y>0.59167999999999998</cdr:y>
    </cdr:from>
    <cdr:to>
      <cdr:x>0.85868999999999995</cdr:x>
      <cdr:y>0.62866</cdr:y>
    </cdr:to>
    <cdr:sp>
      <cdr:nvSpPr>
        <cdr:cNvPr id="14" name="Надпись 2"/>
        <cdr:cNvSpPr txBox="1">
          <a:spLocks noChangeArrowheads="1"/>
        </cdr:cNvSpPr>
      </cdr:nvSpPr>
      <cdr:spPr bwMode="auto">
        <a:xfrm>
          <a:off x="4606873" y="2926080"/>
          <a:ext cx="930313" cy="182880"/>
        </a:xfrm>
        <a:prstGeom prst="rect">
          <a:avLst/>
        </a:prstGeom>
        <a:noFill/>
        <a:ln w="9525">
          <a:noFill/>
          <a:miter lim="800000"/>
          <a:headEnd/>
          <a:tailEnd/>
        </a:ln>
      </cdr:spPr>
      <cdr:txBody>
        <a:bodyPr/>
        <a:lstStyle/>
        <a:p>
          <a:pPr>
            <a:defRPr/>
          </a:pPr>
          <a:endParaRPr lang="ru-RU" sz="800">
            <a:latin typeface="PT Astra Serif"/>
            <a:ea typeface="PT Astra Serif"/>
          </a:endParaRPr>
        </a:p>
      </cdr:txBody>
    </cdr:sp>
  </cdr:relSizeAnchor>
  <cdr:relSizeAnchor>
    <cdr:from>
      <cdr:x>0.72750999999999999</cdr:x>
      <cdr:y>0.44857999999999998</cdr:y>
    </cdr:from>
    <cdr:to>
      <cdr:x>0.86314000000000002</cdr:x>
      <cdr:y>0.49198999999999998</cdr:y>
    </cdr:to>
    <cdr:sp>
      <cdr:nvSpPr>
        <cdr:cNvPr id="20" name="Надпись 2"/>
        <cdr:cNvSpPr txBox="1">
          <a:spLocks noChangeArrowheads="1"/>
        </cdr:cNvSpPr>
      </cdr:nvSpPr>
      <cdr:spPr bwMode="auto">
        <a:xfrm>
          <a:off x="4691268" y="2218414"/>
          <a:ext cx="874645" cy="214685"/>
        </a:xfrm>
        <a:prstGeom prst="rect">
          <a:avLst/>
        </a:prstGeom>
        <a:noFill/>
        <a:ln w="9525">
          <a:noFill/>
          <a:miter lim="800000"/>
          <a:headEnd/>
          <a:tailEnd/>
        </a:ln>
      </cdr:spPr>
      <cdr:txBody>
        <a:bodyPr/>
        <a:lstStyle/>
        <a:p>
          <a:pPr>
            <a:defRPr/>
          </a:pPr>
          <a:endParaRPr lang="ru-RU" sz="800">
            <a:latin typeface="PT Astra Serif"/>
            <a:ea typeface="PT Astra Serif"/>
          </a:endParaRPr>
        </a:p>
      </cdr:txBody>
    </cdr:sp>
  </cdr:relSizeAnchor>
  <cdr:relSizeAnchor>
    <cdr:from>
      <cdr:x>0.71689000000000003</cdr:x>
      <cdr:y>0.66786999999999996</cdr:y>
    </cdr:from>
    <cdr:to>
      <cdr:x>0.86114999999999997</cdr:x>
      <cdr:y>0.70325000000000004</cdr:y>
    </cdr:to>
    <cdr:sp>
      <cdr:nvSpPr>
        <cdr:cNvPr id="24" name="Надпись 2"/>
        <cdr:cNvSpPr txBox="1">
          <a:spLocks noChangeArrowheads="1"/>
        </cdr:cNvSpPr>
      </cdr:nvSpPr>
      <cdr:spPr bwMode="auto">
        <a:xfrm>
          <a:off x="4622826" y="3302885"/>
          <a:ext cx="930250" cy="174938"/>
        </a:xfrm>
        <a:prstGeom prst="rect">
          <a:avLst/>
        </a:prstGeom>
        <a:noFill/>
        <a:ln w="9525">
          <a:noFill/>
          <a:miter lim="800000"/>
          <a:headEnd/>
          <a:tailEnd/>
        </a:ln>
      </cdr:spPr>
      <cdr:txBody>
        <a:bodyPr rot="0" vert="horz" wrap="square" lIns="91440" tIns="45720" rIns="91440" bIns="45720" anchor="t" anchorCtr="0">
          <a:noAutofit/>
        </a:bodyPr>
        <a:lstStyle/>
        <a:p>
          <a:pPr>
            <a:defRPr/>
          </a:pPr>
          <a:endParaRPr lang="ru-RU" sz="800">
            <a:latin typeface="PT Astra Serif"/>
            <a:ea typeface="PT Astra Serif"/>
          </a:endParaRPr>
        </a:p>
      </cdr:txBody>
    </cdr:sp>
  </cdr:relSizeAnchor>
  <cdr:relSizeAnchor>
    <cdr:from>
      <cdr:x>0.81799999999999995</cdr:x>
      <cdr:y>0.16314000000000001</cdr:y>
    </cdr:from>
    <cdr:to>
      <cdr:x>0.96226</cdr:x>
      <cdr:y>0.20655000000000001</cdr:y>
    </cdr:to>
    <cdr:sp>
      <cdr:nvSpPr>
        <cdr:cNvPr id="26" name="Надпись 2"/>
        <cdr:cNvSpPr txBox="1">
          <a:spLocks noChangeArrowheads="1"/>
        </cdr:cNvSpPr>
      </cdr:nvSpPr>
      <cdr:spPr bwMode="auto">
        <a:xfrm>
          <a:off x="5274833" y="908026"/>
          <a:ext cx="930250" cy="241611"/>
        </a:xfrm>
        <a:prstGeom prst="rect">
          <a:avLst/>
        </a:prstGeom>
        <a:noFill/>
        <a:ln w="9525">
          <a:noFill/>
          <a:miter lim="800000"/>
          <a:headEnd/>
          <a:tailEnd/>
        </a:ln>
      </cdr:spPr>
      <cdr:txBody>
        <a:bodyPr rot="0" vert="horz" wrap="square" lIns="91440" tIns="45720" rIns="91440" bIns="45720" anchor="t" anchorCtr="0">
          <a:noAutofit/>
        </a:bodyPr>
        <a:lstStyle/>
        <a:p>
          <a:pPr>
            <a:defRPr/>
          </a:pPr>
          <a:endParaRPr lang="ru-RU" sz="800">
            <a:latin typeface="PT Astra Serif"/>
            <a:ea typeface="PT Astra Serif"/>
          </a:endParaRPr>
        </a:p>
      </cdr:txBody>
    </cdr:sp>
  </cdr:relSizeAnchor>
  <cdr:relSizeAnchor>
    <cdr:from>
      <cdr:x>0.93806</cdr:x>
      <cdr:y>0.82221999999999995</cdr:y>
    </cdr:from>
    <cdr:to>
      <cdr:x>0.97145000000000004</cdr:x>
      <cdr:y>0.90937000000000001</cdr:y>
    </cdr:to>
    <cdr:pic>
      <cdr:nvPicPr>
        <cdr:cNvPr id="12" name="Рисунок 11"/>
        <cdr:cNvPicPr/>
      </cdr:nvPicPr>
      <cdr:blipFill>
        <a:blip/>
        <a:stretch/>
      </cdr:blipFill>
      <cdr:spPr bwMode="auto">
        <a:xfrm>
          <a:off x="9485392" y="2242991"/>
          <a:ext cx="337631" cy="237742"/>
        </a:xfrm>
        <a:prstGeom prst="rect">
          <a:avLst/>
        </a:prstGeom>
      </cdr:spPr>
    </cdr:pic>
  </cdr:relSizeAnchor>
  <cdr:relSizeAnchor>
    <cdr:from>
      <cdr:x>0.88649</cdr:x>
      <cdr:y>0.83198000000000005</cdr:y>
    </cdr:from>
    <cdr:to>
      <cdr:x>0.91535</cdr:x>
      <cdr:y>0.92488999999999999</cdr:y>
    </cdr:to>
    <cdr:pic>
      <cdr:nvPicPr>
        <cdr:cNvPr id="13" name="Рисунок 12"/>
        <cdr:cNvPicPr>
          <a:picLocks noChangeAspect="1"/>
        </cdr:cNvPicPr>
      </cdr:nvPicPr>
      <cdr:blipFill>
        <a:blip/>
        <a:stretch/>
      </cdr:blipFill>
      <cdr:spPr bwMode="auto">
        <a:xfrm>
          <a:off x="8963937" y="2269612"/>
          <a:ext cx="291825" cy="253454"/>
        </a:xfrm>
        <a:prstGeom prst="rect">
          <a:avLst/>
        </a:prstGeom>
      </cdr:spPr>
    </cdr:pic>
  </cdr:relSizeAnchor>
</c:userShapes>
</file>

<file path=word/drawings/drawing4.xml><?xml version="1.0" encoding="utf-8"?>
<c:userShapes xmlns:c="http://schemas.openxmlformats.org/drawingml/2006/chart" xmlns:cdr="http://schemas.openxmlformats.org/drawingml/2006/chartDrawing" xmlns:a="http://schemas.openxmlformats.org/drawingml/2006/main" xmlns:r="http://schemas.openxmlformats.org/officeDocument/2006/relationships">
  <cdr:relSizeAnchor>
    <cdr:from>
      <cdr:x>0.34464</cdr:x>
      <cdr:y>0.85953000000000002</cdr:y>
    </cdr:from>
    <cdr:to>
      <cdr:x>0.67469999999999997</cdr:x>
      <cdr:y>0.94718000000000002</cdr:y>
    </cdr:to>
    <cdr:sp>
      <cdr:nvSpPr>
        <cdr:cNvPr id="2" name="Поле 1"/>
        <cdr:cNvSpPr txBox="1"/>
      </cdr:nvSpPr>
      <cdr:spPr bwMode="auto">
        <a:xfrm>
          <a:off x="2167464" y="3136735"/>
          <a:ext cx="2075761" cy="319864"/>
        </a:xfrm>
        <a:prstGeom prst="rect">
          <a:avLst/>
        </a:prstGeom>
        <a:noFill/>
        <a:ln w="25400" cap="flat" cmpd="sng" algn="ctr">
          <a:noFill/>
          <a:prstDash val="solid"/>
        </a:ln>
        <a:effectLst/>
      </cdr:spPr>
      <cdr:txBody>
        <a:bodyPr rot="0" spcFirstLastPara="0" vertOverflow="clip" horzOverflow="overflow" vert="horz" wrap="none" lIns="91440" tIns="45720" rIns="91440" bIns="45720" numCol="1" spcCol="0" rtlCol="0" fromWordArt="0" anchor="t" anchorCtr="0" forceAA="0" compatLnSpc="1">
          <a:prstTxWarp prst="textNoShape"/>
          <a:noAutofit/>
        </a:bodyPr>
        <a:lstStyle/>
        <a:p>
          <a:pPr algn="l">
            <a:defRPr/>
          </a:pPr>
          <a:r>
            <a:rPr lang="ru-RU" sz="1000">
              <a:latin typeface="PT Astra Serif"/>
              <a:ea typeface="PT Astra Serif"/>
            </a:rPr>
            <a:t>       Другие виды деятельности</a:t>
          </a:r>
          <a:endParaRPr/>
        </a:p>
      </cdr:txBody>
    </cdr:sp>
  </cdr:relSizeAnchor>
</c:userShape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word/theme/themeOverride1.xml><?xml version="1.0" encoding="utf-8"?>
<a:themeOverride xmlns:a="http://schemas.openxmlformats.org/drawingml/2006/main" xmlns:r="http://schemas.openxmlformats.org/officeDocument/2006/relationships" xmlns:p="http://schemas.openxmlformats.org/presentation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Overrid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B49EBD-7A8B-4002-8596-BEDB30888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Р7-Офис/2024.1.3.422</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Вероника Евгеньевна Назарова</dc:creator>
  <cp:revision>4</cp:revision>
  <dcterms:created xsi:type="dcterms:W3CDTF">2024-06-21T02:33:00Z</dcterms:created>
  <dcterms:modified xsi:type="dcterms:W3CDTF">2024-09-09T04:47:58Z</dcterms:modified>
</cp:coreProperties>
</file>